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Обоснование раз</w:t>
      </w:r>
      <w:r>
        <w:rPr>
          <w:rFonts w:ascii="Tinos" w:hAnsi="Tinos" w:eastAsia="Tinos" w:cs="Tinos"/>
          <w:sz w:val="24"/>
          <w:szCs w:val="24"/>
        </w:rPr>
        <w:t xml:space="preserve">мера арендной платы с учетом ч.6</w:t>
      </w:r>
      <w:r>
        <w:rPr>
          <w:rFonts w:ascii="Tinos" w:hAnsi="Tinos" w:eastAsia="Tinos" w:cs="Tinos"/>
          <w:sz w:val="24"/>
          <w:szCs w:val="24"/>
        </w:rPr>
        <w:t xml:space="preserve"> ст.22 ФЗ-44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«О контрактной системе в сфере закупок, товаров, услуг, для обеспечения государственных и муниципальных нужд»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Обоснование начальной (максимальной) цены контракта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b w:val="0"/>
          <w:bCs w:val="0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Оказание услуг по дезинсекции</w:t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</w:rPr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bCs/>
          <w:i/>
          <w:sz w:val="24"/>
          <w:szCs w:val="24"/>
        </w:rPr>
      </w:pPr>
      <w:r>
        <w:rPr>
          <w:rFonts w:ascii="Tinos" w:hAnsi="Tinos" w:cs="Tinos"/>
          <w:i/>
          <w:iCs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bCs/>
          <w:i/>
          <w:sz w:val="24"/>
          <w:szCs w:val="24"/>
        </w:rPr>
      </w:pPr>
      <w:r>
        <w:rPr>
          <w:rFonts w:ascii="Tinos" w:hAnsi="Tinos" w:cs="Tinos"/>
          <w:i/>
          <w:iCs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i/>
          <w:iCs/>
          <w:sz w:val="24"/>
          <w:szCs w:val="24"/>
        </w:rPr>
      </w:pPr>
      <w:r>
        <w:rPr>
          <w:rFonts w:ascii="Tinos" w:hAnsi="Tinos" w:eastAsia="Tinos" w:cs="Tinos"/>
          <w:i/>
          <w:iCs/>
          <w:sz w:val="24"/>
          <w:szCs w:val="24"/>
          <w:lang w:eastAsia="ru-RU"/>
        </w:rPr>
      </w:r>
      <w:r>
        <w:rPr>
          <w:rFonts w:ascii="Tinos" w:hAnsi="Tinos" w:cs="Tinos"/>
          <w:i/>
          <w:iCs/>
          <w:sz w:val="24"/>
          <w:szCs w:val="24"/>
        </w:rPr>
      </w:r>
      <w:r>
        <w:rPr>
          <w:rFonts w:ascii="Tinos" w:hAnsi="Tinos" w:cs="Tinos"/>
          <w:i/>
          <w:iCs/>
          <w:sz w:val="24"/>
          <w:szCs w:val="24"/>
        </w:rPr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1595"/>
      </w:tblGrid>
      <w:tr>
        <w:tblPrEx/>
        <w:trPr>
          <w:trHeight w:val="2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Основные характеристики объекта закупки 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1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Оказание услуг по дезинсекции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131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Используемый метод определения НМЦК с обоснованием:    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1595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Метод сопоставим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ых рыночных цен (анализа рынка).</w:t>
            </w:r>
            <w:r>
              <w:rPr>
                <w:rFonts w:ascii="Tinos" w:hAnsi="Tinos" w:eastAsia="Tinos" w:cs="Tinos"/>
                <w:sz w:val="24"/>
                <w:szCs w:val="24"/>
              </w:rPr>
              <w:br/>
              <w:t xml:space="preserve">В соответствии с ч.6 статьи 22 Федерального закона от 05.04.2013 N 44-Ф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Расчет НМЦК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159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Оказание услуг по дезинсекции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- 12000,80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руб.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(расчет приложен в виде отдельного файла Приложение №1)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lang w:eastAsia="ru-RU"/>
        </w:rPr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lang w:eastAsia="ru-RU"/>
        </w:rPr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sz w:val="26"/>
          <w:szCs w:val="26"/>
          <w:highlight w:val="none"/>
          <w:lang w:eastAsia="ru-RU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sz w:val="26"/>
          <w:szCs w:val="26"/>
          <w:highlight w:val="none"/>
          <w:lang w:eastAsia="ru-RU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ind w:right="-29"/>
        <w:jc w:val="right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right="-29"/>
        <w:jc w:val="right"/>
        <w:spacing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ind w:right="-29"/>
        <w:jc w:val="right"/>
        <w:spacing w:after="0" w:afterAutospacing="0" w:line="240" w:lineRule="auto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риложение № 1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к обоснованию начальной (максимальной) цены контракта,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right"/>
        <w:spacing w:after="0" w:afterAutospacing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цены контракта, заключаемого с единственным поставщиком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right"/>
        <w:spacing w:after="0" w:afterAutospacing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(подрядчиком, исполнителем) на 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поверку геодезических приборов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right"/>
        <w:spacing w:after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  <w:lang w:eastAsia="ru-RU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Расчет начальной (максимальной) цены контракта методом сопоставимых рыночных цен (анализ рынка)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В соответствии с пунктом 3.7.1 приказа Минэкономразвития России от 2 октября 2013 г. № 567 «Об утверждении методических рекомендаций по применению метод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ов определения начальной (максимальной) цены контракта, цены контракта, заключаемого с единственным поставщиком (подрядчиком, исполнителем)» направлены запросы о предоставлении ценовой Информации исполнителям, обладающим опытом оказания аналогичных услуг.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В целях определения НМЦК был осуществлен сбор ценовой информации среди 3 поставщиков, осуществляющих поставки товаров (выполнение работ, оказание услуг), являющихся объектом закупки.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spacing w:after="0" w:line="360" w:lineRule="auto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При расчете использовался </w:t>
      </w: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метод «сопоставимых рыночных цен (анализ рынка)»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, согласно предоставленным коммерческим предложениям Исполнителями, обладающими опытом оказания аналогичных услуг, выполнен расчет, в результате которого определяется стоимость </w:t>
      </w:r>
      <w:r>
        <w:rPr>
          <w:rFonts w:ascii="Tinos" w:hAnsi="Tinos" w:eastAsia="Tinos" w:cs="Tinos"/>
          <w:color w:val="000000"/>
          <w:sz w:val="22"/>
          <w:szCs w:val="22"/>
          <w:lang w:eastAsia="ru-RU"/>
        </w:rPr>
        <w:t xml:space="preserve">оказания услуг по с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опровождению систем информационного обеспечения деятельности.</w:t>
      </w: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ind w:firstLine="851"/>
        <w:jc w:val="both"/>
        <w:spacing w:after="0" w:line="360" w:lineRule="auto"/>
        <w:rPr>
          <w:rFonts w:ascii="Tinos" w:hAnsi="Tinos" w:cs="Tinos"/>
          <w:sz w:val="22"/>
          <w:szCs w:val="22"/>
        </w:rPr>
        <w:outlineLvl w:val="0"/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Начальная (максимальная) цена контракта была определена по формуле: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left="5664" w:firstLine="708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position w:val="-24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4000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390902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8.25pt;height:31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где: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851"/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position w:val="-10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238125"/>
                <wp:effectExtent l="0" t="0" r="9525" b="9525"/>
                <wp:docPr id="2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279834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76274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3.25pt;height:1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НМЦК,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определяемая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методом сопоставимых рыночных цен (анализа рынка);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0" t="0" r="9525" b="9525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889199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3824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.75pt;height:11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- количество (объем) закупаемого товара (работы, услуги);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0" t="0" r="9525" b="9525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38960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3824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.75pt;height:11.2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количество значений, используемых в расчете;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0" t="0" r="9525" b="9525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131714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5725" cy="16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.75pt;height:12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номер источника ценовой информации;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540"/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38125"/>
                <wp:effectExtent l="0" t="0" r="0" b="9525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32552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52399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цена единицы товара, работы, услуг представленная в источнике с номером </w:t>
      </w: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0" t="0" r="9525" b="9525"/>
                <wp:docPr id="7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08573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5725" cy="16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.75pt;height:12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567"/>
        <w:jc w:val="both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В целях определения однородности совокупности значений цен, используемых в расчете начальной (максимальной) цены контракта, определен коэффициент вариации цен по следующей формуле: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709"/>
        <w:jc w:val="both"/>
        <w:spacing w:after="0" w:line="360" w:lineRule="auto"/>
        <w:rPr>
          <w:rFonts w:ascii="Tinos" w:hAnsi="Tinos" w:cs="Tinos"/>
          <w:sz w:val="22"/>
          <w:szCs w:val="22"/>
        </w:rPr>
        <w:outlineLvl w:val="0"/>
      </w:pPr>
      <w:r>
        <w:rPr>
          <w:rFonts w:ascii="Tinos" w:hAnsi="Tinos" w:eastAsia="Tinos" w:cs="Tinos"/>
          <w:sz w:val="22"/>
          <w:szCs w:val="22"/>
          <w:lang w:eastAsia="ru-RU"/>
        </w:rPr>
      </w: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29070" cy="627321"/>
                <wp:effectExtent l="0" t="0" r="4445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475480" name="Рисунок 2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33499" cy="629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04.65pt;height:49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где: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  <w:outlineLvl w:val="0"/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V – коэффициент вариации,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fldChar w:fldCharType="begin"/>
      </w:r>
      <w:r>
        <w:rPr>
          <w:rFonts w:ascii="Tinos" w:hAnsi="Tinos" w:eastAsia="Tinos" w:cs="Tinos"/>
          <w:sz w:val="22"/>
          <w:szCs w:val="22"/>
          <w:lang w:eastAsia="ru-RU"/>
        </w:rPr>
        <w:instrText xml:space="preserve"> QUOTE </w:instrText>
      </w:r>
      <w:r>
        <w:rPr>
          <w:rFonts w:ascii="Tinos" w:hAnsi="Tinos" w:eastAsia="Tinos" w:cs="Tinos"/>
          <w:position w:val="-45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609600"/>
                <wp:effectExtent l="0" t="0" r="0" b="0"/>
                <wp:docPr id="9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77878" name="Рисунок 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49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06.50pt;height:48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instrText xml:space="preserve"> </w:instrText>
      </w:r>
      <w:r>
        <w:rPr>
          <w:rFonts w:ascii="Tinos" w:hAnsi="Tinos" w:eastAsia="Tinos" w:cs="Tinos"/>
          <w:sz w:val="22"/>
          <w:szCs w:val="22"/>
          <w:lang w:eastAsia="ru-RU"/>
        </w:rPr>
        <w:fldChar w:fldCharType="separate"/>
      </w:r>
      <w:r>
        <w:rPr>
          <w:rFonts w:ascii="Tinos" w:hAnsi="Tinos" w:eastAsia="Tinos" w:cs="Tinos"/>
          <w:position w:val="-45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39702" cy="637954"/>
                <wp:effectExtent l="0" t="0" r="0" b="0"/>
                <wp:docPr id="10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571114" name="Рисунок 2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49" cy="6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5.49pt;height:50.23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fldChar w:fldCharType="end"/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– среднеквадратичное отклонение,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ц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i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– цена услуги, указанная в источнике с номером i,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ц – средняя арифметическая величина цены услуги,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n – количество значений, используемых в расчете.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tbl>
      <w:tblPr>
        <w:tblW w:w="15430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992"/>
        <w:gridCol w:w="1843"/>
        <w:gridCol w:w="1984"/>
        <w:gridCol w:w="1984"/>
        <w:gridCol w:w="1843"/>
        <w:gridCol w:w="1559"/>
        <w:gridCol w:w="1559"/>
        <w:gridCol w:w="1843"/>
      </w:tblGrid>
      <w:tr>
        <w:tblPrEx/>
        <w:trPr>
          <w:trHeight w:val="230"/>
        </w:trPr>
        <w:tc>
          <w:tcPr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543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Расчет начальной (максимальной) цены контракта методом сопоставимых рыночных цен (анализа рынка)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                   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9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Характеристика  ценовой информации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Кол-во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Цена единицы за 1 ед.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 указанная в источнике №1, (руб.)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W w:w="1984" w:type="dxa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afterAutospacing="0" w:line="240" w:lineRule="auto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Цена единицы за  1ед.,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указанная в источнике №2, (руб.)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ind w:left="142" w:right="0" w:firstLine="0"/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Цена единицы за 1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ед.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 указанная в источнике №3, (руб.)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Средняя арифметическая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величина цены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Среднее квадратичное отклонение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Коэффициент вариации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(%)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НМЦК (руб.)    </w:t>
            </w: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3421" cy="616689"/>
                      <wp:effectExtent l="0" t="0" r="0" b="0"/>
                      <wp:docPr id="1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67622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83.73pt;height:48.56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/>
        <w:trPr>
          <w:trHeight w:val="1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cs="Tinos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Оказание услуг по дезинсекции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  <w:t xml:space="preserve">112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107,00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108,00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106,45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107,15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0,7858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0,73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pacing w:val="4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2"/>
                <w:szCs w:val="22"/>
              </w:rPr>
              <w:t xml:space="preserve">12000,80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jc w:val="both"/>
        <w:keepLines/>
        <w:spacing w:after="0" w:afterAutospacing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left="-283" w:right="0" w:firstLine="360"/>
        <w:jc w:val="both"/>
        <w:spacing w:after="0" w:line="360" w:lineRule="auto"/>
        <w:widowControl w:val="off"/>
        <w:rPr>
          <w:rFonts w:ascii="Tinos" w:hAnsi="Tinos" w:cs="Tinos"/>
          <w:color w:val="0d0d0d" w:themeColor="text1" w:themeTint="F2"/>
          <w:sz w:val="22"/>
          <w:szCs w:val="22"/>
        </w:rPr>
      </w:pP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        Коэффициент вариации цены по каждой позиции не превышает 33%, таким образом, совокупность значений, используемых в расчете, при определении НМЦК является однородной.</w:t>
      </w:r>
      <w:r>
        <w:rPr>
          <w:rFonts w:ascii="Tinos" w:hAnsi="Tinos" w:cs="Tinos"/>
          <w:color w:val="0d0d0d" w:themeColor="text1" w:themeTint="F2"/>
          <w:sz w:val="22"/>
          <w:szCs w:val="22"/>
        </w:rPr>
      </w:r>
      <w:r>
        <w:rPr>
          <w:rFonts w:ascii="Tinos" w:hAnsi="Tinos" w:cs="Tinos"/>
          <w:color w:val="0d0d0d" w:themeColor="text1" w:themeTint="F2"/>
          <w:sz w:val="22"/>
          <w:szCs w:val="22"/>
        </w:rPr>
      </w:r>
    </w:p>
    <w:p>
      <w:pPr>
        <w:ind w:left="-283" w:right="0" w:firstLine="360"/>
        <w:jc w:val="both"/>
        <w:rPr>
          <w:rFonts w:ascii="Tinos" w:hAnsi="Tinos" w:cs="Tinos"/>
          <w:color w:val="0d0d0d" w:themeColor="text1" w:themeTint="F2"/>
          <w:sz w:val="22"/>
          <w:szCs w:val="22"/>
        </w:rPr>
      </w:pP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        НМЦК включает все расходы, которые может понести Исполнитель при осуществлении им своих обязательств в полном объеме и надлежащего качества, в том числе все подлежащие уплате налоги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.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 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с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боры и другие обязательные платежи, а также иные расходы, связанные с исполнением контракта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.</w:t>
      </w:r>
      <w:r>
        <w:rPr>
          <w:rFonts w:ascii="Tinos" w:hAnsi="Tinos" w:cs="Tinos"/>
          <w:color w:val="0d0d0d" w:themeColor="text1" w:themeTint="F2"/>
          <w:sz w:val="22"/>
          <w:szCs w:val="22"/>
        </w:rPr>
      </w:r>
      <w:r>
        <w:rPr>
          <w:rFonts w:ascii="Tinos" w:hAnsi="Tinos" w:cs="Tinos"/>
          <w:color w:val="0d0d0d" w:themeColor="text1" w:themeTint="F2"/>
          <w:sz w:val="22"/>
          <w:szCs w:val="22"/>
        </w:rPr>
      </w:r>
    </w:p>
    <w:sectPr>
      <w:footerReference w:type="default" r:id="rId8"/>
      <w:footnotePr/>
      <w:endnotePr/>
      <w:type w:val="nextPage"/>
      <w:pgSz w:w="16840" w:h="11907" w:orient="landscape"/>
      <w:pgMar w:top="992" w:right="567" w:bottom="710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4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4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4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4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4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4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4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4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4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alloon Text"/>
    <w:basedOn w:val="843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4"/>
    <w:link w:val="84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wmf"/><Relationship Id="rId10" Type="http://schemas.openxmlformats.org/officeDocument/2006/relationships/image" Target="media/media1.svg"/><Relationship Id="rId11" Type="http://schemas.openxmlformats.org/officeDocument/2006/relationships/image" Target="media/image2.wmf"/><Relationship Id="rId12" Type="http://schemas.openxmlformats.org/officeDocument/2006/relationships/image" Target="media/media2.sv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wmf"/><Relationship Id="rId17" Type="http://schemas.openxmlformats.org/officeDocument/2006/relationships/image" Target="media/media3.sv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bgan_vp</cp:lastModifiedBy>
  <cp:revision>31</cp:revision>
  <dcterms:created xsi:type="dcterms:W3CDTF">2019-12-11T13:37:00Z</dcterms:created>
  <dcterms:modified xsi:type="dcterms:W3CDTF">2026-06-30T13:02:51Z</dcterms:modified>
</cp:coreProperties>
</file>