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1"/>
        <w:keepNext w:val="false"/>
        <w:widowControl w:val="false"/>
        <w:pBdr/>
        <w:spacing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№ ______/26-Б</w:t>
      </w:r>
      <w:r>
        <w:rPr>
          <w:b/>
          <w:sz w:val="22"/>
          <w:szCs w:val="22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Ростов-на-Дону                                            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___» июля 2026 г.</w:t>
      </w:r>
      <w:r>
        <w:rPr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</w:t>
      </w:r>
      <w:r>
        <w:rPr>
          <w:rFonts w:eastAsia="Calibri"/>
          <w:color w:val="00000a"/>
          <w:sz w:val="24"/>
          <w:szCs w:val="24"/>
          <w:lang w:eastAsia="ru-RU"/>
        </w:rPr>
        <w:t xml:space="preserve">ы прав потребителей и благополучия человека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</w:t>
      </w:r>
      <w:r>
        <w:rPr>
          <w:rFonts w:eastAsia="Calibri"/>
          <w:color w:val="00000a"/>
          <w:sz w:val="24"/>
          <w:szCs w:val="24"/>
          <w:lang w:eastAsia="ru-RU"/>
        </w:rPr>
        <w:t xml:space="preserve">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1. ПРЕДМЕТ ДОГОВОРА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1.1. По настоящему Договору Поставщик обязуется поставить Заказ</w:t>
      </w:r>
      <w:r>
        <w:rPr>
          <w:sz w:val="24"/>
          <w:szCs w:val="24"/>
          <w:highlight w:val="white"/>
        </w:rPr>
        <w:t xml:space="preserve">чику</w:t>
      </w:r>
      <w:r>
        <w:t xml:space="preserve"> </w:t>
      </w:r>
      <w:r>
        <w:rPr>
          <w:sz w:val="24"/>
          <w:szCs w:val="24"/>
        </w:rPr>
        <w:t xml:space="preserve">Противоосколочные </w:t>
      </w:r>
      <w:r>
        <w:rPr>
          <w:sz w:val="24"/>
          <w:szCs w:val="24"/>
        </w:rPr>
        <w:t xml:space="preserve">костюмы для гражданского персонала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 xml:space="preserve">(далее по тексту – Товар) для ФКУЗ Ростовский-на-Дону противочумный институт Роспотребнадзора,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 xml:space="preserve">(Приложение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по адресу, указанному в пункте 4.2 настоящего договора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2. КАЧЕСТВО ПОСТАВЛЯЕМОГО ТОВАРА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</w:t>
      </w:r>
      <w:r>
        <w:rPr>
          <w:sz w:val="24"/>
          <w:szCs w:val="24"/>
        </w:rPr>
        <w:t xml:space="preserve">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</w:t>
      </w:r>
      <w:r>
        <w:rPr>
          <w:sz w:val="24"/>
          <w:szCs w:val="24"/>
        </w:rPr>
        <w:t xml:space="preserve">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ЦЕНА ДОГОВОРА И ПОРЯДОК РАСЧЕТОВ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3.1. Цена Договора составл</w:t>
      </w:r>
      <w:r>
        <w:rPr>
          <w:sz w:val="24"/>
          <w:szCs w:val="24"/>
          <w:highlight w:val="white"/>
        </w:rPr>
        <w:t xml:space="preserve">яет ____________________ (__________________) рублей ___ копеек.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НДС: ___ %, - ____________________</w:t>
      </w:r>
      <w:r>
        <w:rPr>
          <w:sz w:val="24"/>
          <w:szCs w:val="24"/>
          <w:highlight w:val="white"/>
        </w:rPr>
        <w:t xml:space="preserve">_  (</w:t>
      </w:r>
      <w:r>
        <w:rPr>
          <w:sz w:val="24"/>
          <w:szCs w:val="24"/>
          <w:highlight w:val="white"/>
        </w:rPr>
        <w:t xml:space="preserve">_________________) рублей  ___  копеек </w:t>
      </w:r>
      <w:r>
        <w:rPr>
          <w:sz w:val="22"/>
          <w:szCs w:val="22"/>
        </w:rPr>
        <w:t xml:space="preserve">(если облагается)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КБК: 141 0907 01 4 03 90059 244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Цена Договора включает в себ</w:t>
      </w:r>
      <w:r>
        <w:rPr>
          <w:sz w:val="24"/>
          <w:szCs w:val="24"/>
        </w:rPr>
        <w:t xml:space="preserve">я стоимость 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Оплата по Договору осуществляется путем безналичного расчета за счет средств федерального бюджета, в валюте РФ – рубли.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</w:t>
      </w:r>
      <w:r>
        <w:rPr>
          <w:sz w:val="24"/>
          <w:szCs w:val="24"/>
        </w:rPr>
        <w:t xml:space="preserve">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 в </w:t>
      </w:r>
      <w:r>
        <w:rPr>
          <w:sz w:val="24"/>
          <w:szCs w:val="24"/>
        </w:rPr>
        <w:t xml:space="preserve">течение 10 (Десяти)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 xml:space="preserve">4. СРОКИ И УСЛОВИЯ ПОСТАВКИ ТОВАРА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указанию Заказчика, </w:t>
      </w:r>
      <w:r>
        <w:rPr>
          <w:spacing w:val="-8"/>
          <w:sz w:val="24"/>
          <w:szCs w:val="24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lang w:eastAsia="en-US" w:bidi="en-US"/>
        </w:rPr>
        <w:t xml:space="preserve">Срок поставки Товара: 15 (Пятнадцать) рабочих дней </w:t>
      </w:r>
      <w:r>
        <w:rPr>
          <w:sz w:val="24"/>
          <w:szCs w:val="24"/>
          <w:lang w:eastAsia="ru-RU"/>
        </w:rPr>
        <w:t xml:space="preserve">с даты заключения контракта</w:t>
      </w:r>
      <w:r>
        <w:rPr>
          <w:bCs/>
          <w:sz w:val="24"/>
          <w:szCs w:val="24"/>
          <w:highlight w:val="white"/>
          <w:lang w:eastAsia="en-US" w:bidi="en-US"/>
        </w:rPr>
        <w:t xml:space="preserve">.</w:t>
      </w:r>
      <w:r>
        <w:rPr>
          <w:bCs/>
          <w:sz w:val="24"/>
          <w:szCs w:val="24"/>
          <w:lang w:eastAsia="en-US" w:bidi="en-US"/>
        </w:rPr>
        <w:t xml:space="preserve"> Товар поставляется в рабочие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  <w:r>
        <w:rPr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>
        <w:rPr>
          <w:sz w:val="24"/>
          <w:szCs w:val="24"/>
          <w:lang w:eastAsia="ru-RU"/>
        </w:rPr>
        <w:t xml:space="preserve">г. Ростов-на-Дону, ул. Горького 117/40, ФКУЗ Ростовский-на-Дону противочумный институт Роспотребнадзора, транспортом Поставщика. </w:t>
      </w:r>
      <w:r>
        <w:rPr>
          <w:sz w:val="24"/>
          <w:szCs w:val="24"/>
          <w:lang w:eastAsia="zh-CN"/>
        </w:rPr>
        <w:t xml:space="preserve">Моментом поставки является доставка и разгрузка Товара Заказчику по месту назначения и в указанном Заказчиком месте.</w:t>
      </w:r>
      <w:r>
        <w:rPr>
          <w:spacing w:val="-8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2099"/>
          <w:tab w:val="left" w:leader="none" w:pos="2810"/>
          <w:tab w:val="center" w:leader="none" w:pos="5669"/>
        </w:tabs>
        <w:spacing/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4.5. Некачественный (некомплектный) Товар считается не поставленным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5.1. Поставщик передаёт Заказчику вместе с Товаром следующую документацию: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К</w:t>
      </w:r>
      <w:r>
        <w:rPr>
          <w:sz w:val="24"/>
          <w:szCs w:val="24"/>
          <w:lang w:eastAsia="zh-CN" w:bidi="en-US"/>
        </w:rPr>
        <w:t xml:space="preserve">опию па</w:t>
      </w:r>
      <w:r>
        <w:rPr>
          <w:sz w:val="24"/>
          <w:szCs w:val="24"/>
          <w:lang w:eastAsia="zh-CN" w:bidi="en-US"/>
        </w:rPr>
        <w:t xml:space="preserve">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б) Счет, счет-фактуру (при наличии), выставленные Заказчику;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в) Товарную/транспортную накладную в 2-х экз. (акт приема-передачи Товара).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ab/>
        <w:t xml:space="preserve">Д</w:t>
      </w:r>
      <w:r>
        <w:rPr>
          <w:sz w:val="24"/>
          <w:szCs w:val="24"/>
          <w:lang w:eastAsia="zh-CN" w:bidi="en-US"/>
        </w:rPr>
        <w:t xml:space="preserve">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5.2.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</w:t>
      </w:r>
      <w:r>
        <w:rPr>
          <w:sz w:val="24"/>
          <w:szCs w:val="24"/>
          <w:lang w:eastAsia="zh-CN" w:bidi="en-US"/>
        </w:rPr>
        <w:t xml:space="preserve">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5.4. Основаниями для составления мотивированного отказа являются отсутствие сопроводительных документов или н</w:t>
      </w:r>
      <w:r>
        <w:rPr>
          <w:sz w:val="24"/>
          <w:szCs w:val="24"/>
          <w:lang w:eastAsia="zh-CN" w:bidi="en-US"/>
        </w:rPr>
        <w:t xml:space="preserve">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 xml:space="preserve">В случае получения мотивированного отказа от подписания документа о приемке Поставщик вправе ус</w:t>
      </w:r>
      <w:r>
        <w:rPr>
          <w:sz w:val="24"/>
          <w:szCs w:val="24"/>
          <w:lang w:eastAsia="zh-CN" w:bidi="en-US"/>
        </w:rPr>
        <w:t xml:space="preserve">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5.6. По итогам приемки То</w:t>
      </w:r>
      <w:r>
        <w:rPr>
          <w:sz w:val="24"/>
          <w:szCs w:val="24"/>
          <w:lang w:eastAsia="zh-CN" w:bidi="en-US"/>
        </w:rPr>
        <w:t xml:space="preserve">вара при наличии документов, указанных в п. 5.1 настоящего Договора, и при отсутствии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</w:t>
      </w:r>
      <w:r>
        <w:rPr>
          <w:sz w:val="24"/>
          <w:szCs w:val="24"/>
          <w:lang w:eastAsia="zh-CN" w:bidi="en-US"/>
        </w:rPr>
        <w:t xml:space="preserve">передачи Товара) в 2 (Двух) экземплярах и передает один экземпляр Поставщику. </w:t>
      </w:r>
      <w:r>
        <w:rPr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5.7. Для проверки постав</w:t>
      </w:r>
      <w:r>
        <w:rPr>
          <w:sz w:val="24"/>
          <w:szCs w:val="24"/>
          <w:lang w:eastAsia="en-US" w:bidi="en-US"/>
        </w:rPr>
        <w:t xml:space="preserve">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 ПРАВА И ОБЯЗАННОСТИ СТОРОН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 xml:space="preserve">Поставщик обязан: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 Своевременно и надлежащим образом произвести поставку Товара на условиях настоящего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6.1.3. Предоставить Заказчику декларацию о наименовании страны происхождения Товар</w:t>
      </w:r>
      <w:r>
        <w:rPr>
          <w:sz w:val="24"/>
          <w:szCs w:val="24"/>
        </w:rPr>
        <w:t xml:space="preserve">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6.1.5. Представить Заказчику сведения об изменении своего фактического </w:t>
      </w:r>
      <w:r>
        <w:rPr>
          <w:sz w:val="24"/>
          <w:szCs w:val="24"/>
        </w:rPr>
        <w:t xml:space="preserve">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Передавать Поставщику по его запросу необходимую для исполнения Договора информацию;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Оплатить Товар по факту поставки в течение 10 (Десяти) рабочих дней. Заказчик оплачивает Товар по реквизитам, указанным в Договоре.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6.3. Поставщик вправе: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Требовать подписания Заказчиком документа о приемке Товара по настоящему Договору;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6.3.2. Требовать своевременной оплаты за поставленный Товар;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Запрашивать у Заказчика предоставления разъяснений и уточнений по вопросам поставки Товара.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Заказчик вправе: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6.4.1. Требовать от Поставщика надлежащего исполнения обязательств в соответствии с условиями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6.4.3. Запрашивать у Поставщика информацию о ходе и состоянии исполнения обязательств Поставщика по настоящему Договору;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6.4.4. Осуществлять контроль порядка и сроков поставки Товара;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ГАРАНТИИ И ТРЕБОВАНИЯ К КАЧЕСТВУ ТОВАРА.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</w:t>
      </w:r>
      <w:r>
        <w:rPr>
          <w:sz w:val="24"/>
          <w:szCs w:val="24"/>
        </w:rPr>
        <w:t xml:space="preserve">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Товара, обнаруженные в течение гарантийного</w:t>
      </w:r>
      <w:r>
        <w:rPr>
          <w:sz w:val="24"/>
          <w:szCs w:val="24"/>
        </w:rPr>
        <w:t xml:space="preserve">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срока недостатков поставленного Товара </w:t>
      </w:r>
      <w:r>
        <w:rPr>
          <w:sz w:val="24"/>
          <w:szCs w:val="24"/>
        </w:rPr>
        <w:t xml:space="preserve">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</w:t>
      </w:r>
      <w:r>
        <w:rPr>
          <w:sz w:val="24"/>
          <w:szCs w:val="24"/>
        </w:rPr>
        <w:t xml:space="preserve">ления недостатков поставленного Товара в течение гарантийного срока Поставщик по требованию Заказчика обязан за свой счет в срок не более 10 (Десяти) рабочих дней заменить Товар ненадлежащего качества Товаром, соответствующим условиям настоящего Договора.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ОТВЕТСТВЕННОСТЬ СТОРОН</w:t>
      </w:r>
      <w:r>
        <w:rPr>
          <w:b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Правилами определения размера штрафа, начисляемого в случае нена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 xml:space="preserve"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 xml:space="preserve"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гарантийного обязательства),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а) 10 процентов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8.4. За каждый факт неис</w:t>
      </w:r>
      <w:r>
        <w:rPr>
          <w:color w:val="00000a"/>
          <w:sz w:val="24"/>
          <w:szCs w:val="24"/>
          <w:lang w:eastAsia="ru-RU"/>
        </w:rPr>
        <w:t xml:space="preserve">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рублей;</w:t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 (включительно);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</w:t>
      </w:r>
      <w:r>
        <w:rPr>
          <w:bCs/>
          <w:sz w:val="24"/>
          <w:szCs w:val="24"/>
          <w:lang w:eastAsia="ru-RU"/>
        </w:rPr>
        <w:t xml:space="preserve">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  <w:r>
        <w:rPr>
          <w:bCs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</w:t>
      </w:r>
      <w:r>
        <w:rPr>
          <w:bCs/>
          <w:color w:val="00000a"/>
          <w:sz w:val="24"/>
          <w:szCs w:val="24"/>
          <w:lang w:eastAsia="ru-RU"/>
        </w:rPr>
        <w:t xml:space="preserve">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9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Размер пени = (цена договора – объем выполненных обязательств) / 300×ключевая ставка × количество дней просрочки</w:t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 xml:space="preserve"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8.11. Уплата неустойки, пени, штрафов не освобождает стороны от исполнения обязательств, принятых на себя по Договору</w:t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709"/>
        </w:tabs>
        <w:spacing/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  <w:r>
        <w:rPr>
          <w:rFonts w:eastAsia="Calibri"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2108"/>
          <w:tab w:val="center" w:leader="none" w:pos="5648"/>
        </w:tabs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9. ФОРС-МАЖОР (ДЕЙСТВИЯ НЕПРЕОДОЛИМОЙ СИЛЫ)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9.1</w:t>
      </w:r>
      <w:r>
        <w:rPr>
          <w:sz w:val="24"/>
          <w:szCs w:val="24"/>
        </w:rPr>
        <w:t xml:space="preserve">. Ни одна из сторон не несёт ответственности перед другой стороной за невыполнение обязательств, обусловленное</w:t>
      </w:r>
      <w:r>
        <w:rPr>
          <w:sz w:val="24"/>
          <w:szCs w:val="24"/>
        </w:rPr>
        <w:t xml:space="preserve">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10. АНТИКОРРУПЦИОННАЯ ОГОВОРКА</w:t>
      </w:r>
      <w:r>
        <w:rPr>
          <w:rFonts w:eastAsia="Calibri"/>
          <w:b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>
        <w:rPr>
          <w:rFonts w:eastAsia="Calibri"/>
          <w:sz w:val="24"/>
          <w:szCs w:val="24"/>
          <w:lang w:eastAsia="en-US"/>
        </w:rPr>
        <w:t xml:space="preserve">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</w:t>
      </w:r>
      <w:r>
        <w:rPr>
          <w:rFonts w:eastAsia="Calibri"/>
          <w:sz w:val="24"/>
          <w:szCs w:val="24"/>
          <w:lang w:eastAsia="en-US"/>
        </w:rPr>
        <w:t xml:space="preserve">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tabs>
          <w:tab w:val="left" w:leader="none" w:pos="993"/>
          <w:tab w:val="left" w:leader="none" w:pos="2487"/>
        </w:tabs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</w:t>
      </w:r>
      <w:r>
        <w:rPr>
          <w:rFonts w:eastAsia="Calibri"/>
          <w:sz w:val="24"/>
          <w:szCs w:val="24"/>
          <w:lang w:eastAsia="en-US"/>
        </w:rPr>
        <w:t xml:space="preserve">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11. РАЗРЕШЕНИЕ СПОРОВ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</w:t>
      </w:r>
      <w:r>
        <w:rPr>
          <w:sz w:val="24"/>
          <w:szCs w:val="24"/>
        </w:rPr>
        <w:t xml:space="preserve">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12. СРОК ДЕЙСТВИЯ ДОГОВОРА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12.1. Настоящий Договор вступает в действие со дня его подписания Сторонами и действует до полного исполнения сторонами принятых на себя обязательств, но не позднее</w:t>
      </w:r>
      <w:r>
        <w:rPr>
          <w:b/>
          <w:bCs/>
          <w:sz w:val="24"/>
          <w:szCs w:val="24"/>
          <w:highlight w:val="white"/>
        </w:rPr>
        <w:t xml:space="preserve"> 31 августа </w:t>
      </w:r>
      <w:r>
        <w:rPr>
          <w:b/>
          <w:sz w:val="24"/>
          <w:szCs w:val="24"/>
          <w:highlight w:val="white"/>
        </w:rPr>
        <w:t xml:space="preserve">2026 г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 ЗАКЛЮЧИТЕЛЬНЫЕ ПОЛОЖЕНИЯ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13.2. Все уведомления Сторон, связанные с исполнением настоящего Договора, </w:t>
      </w:r>
      <w:r>
        <w:rPr>
          <w:sz w:val="24"/>
          <w:szCs w:val="24"/>
        </w:rPr>
        <w:t xml:space="preserve">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</w:t>
      </w:r>
      <w:r>
        <w:rPr>
          <w:sz w:val="24"/>
          <w:szCs w:val="24"/>
        </w:rPr>
        <w:t xml:space="preserve">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Заказчик: ks.plague@mail.ru – отдел закупок, popova_av@antiplague.ru - бухгалтерия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Поставщик: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</w:t>
      </w:r>
      <w:r>
        <w:rPr>
          <w:sz w:val="24"/>
          <w:szCs w:val="24"/>
        </w:rPr>
        <w:t xml:space="preserve">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13.4. Неотъемлемой частью Договора является: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1- «Спецификация»;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«Акт приема-передачи товара».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14. АДРЕСА СТОРОН И ИХ БАНКОВСКИЕ РЕКВИЗИТЫ</w:t>
      </w:r>
      <w:r>
        <w:rPr>
          <w:b/>
          <w:bCs/>
          <w:sz w:val="22"/>
          <w:szCs w:val="22"/>
        </w:rPr>
      </w:r>
    </w:p>
    <w:tbl>
      <w:tblPr>
        <w:tblW w:w="495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54"/>
      </w:tblGrid>
      <w:tr>
        <w:trPr>
          <w:trHeight w:val="5141"/>
        </w:trPr>
        <w:tc>
          <w:tcPr>
            <w:tcBorders/>
            <w:tcW w:w="5210" w:type="dxa"/>
          </w:tcPr>
          <w:p>
            <w:pPr>
              <w:widowControl w:val="false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ФКУЗ Ростовский-на-Дону противочумный институт Роспотребнадзора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6164101841    КПП 616401001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344002, Ростовская область, г. Ростов-на-Дону,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М. Горького, 117/40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Тел/факс: (863) 267-02-23; (863) 242-50-11 - отдел закупок, (863) 244-08-32 - бухгалтерия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plague@aaanet.ru 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03211643000000013230 УФК по Нижегородской области (ФКУЗ Ростовский-на-Дону противочумный институт Роспотребнадзора, л/с 05581131810) ОКЦ № 1 ВВГУ Банка России // УФК по Нижегородской области, г. Нижний Новгород, 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40102810745370000024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 </w:t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0"/>
                <w:tab w:val="left" w:leader="none" w:pos="2324"/>
              </w:tabs>
              <w:spacing/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____________________/ Н.Е. Гаевская /</w:t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670" w:type="dxa"/>
          </w:tcPr>
          <w:p>
            <w:pPr>
              <w:widowControl w:val="false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/</w:t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75"/>
        <w:widowControl w:val="false"/>
        <w:pBdr/>
        <w:spacing w:after="0"/>
        <w:ind/>
        <w:rPr>
          <w:sz w:val="22"/>
          <w:szCs w:val="22"/>
        </w:rPr>
        <w:sectPr>
          <w:footnotePr/>
          <w:endnotePr/>
          <w:type w:val="continuous"/>
          <w:pgSz w:h="16838" w:orient="portrait" w:w="11906"/>
          <w:pgMar w:top="567" w:right="567" w:bottom="567" w:left="567" w:header="284" w:footer="284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widowControl w:val="false"/>
        <w:pBdr/>
        <w:spacing w:after="0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Договору поставки </w:t>
      </w:r>
      <w:r>
        <w:rPr>
          <w:sz w:val="24"/>
          <w:szCs w:val="24"/>
          <w:lang w:eastAsia="en-US" w:bidi="en-US"/>
        </w:rPr>
        <w:t xml:space="preserve">№ ____</w:t>
      </w:r>
      <w:r>
        <w:rPr>
          <w:sz w:val="24"/>
          <w:szCs w:val="24"/>
        </w:rPr>
        <w:t xml:space="preserve">/26-Б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 w:bidi="en-US"/>
        </w:rPr>
        <w:t xml:space="preserve">от «___» июля </w:t>
      </w:r>
      <w:r>
        <w:rPr>
          <w:sz w:val="24"/>
          <w:szCs w:val="24"/>
          <w:lang w:eastAsia="en-US" w:bidi="en-US"/>
        </w:rPr>
        <w:t xml:space="preserve">2026 г.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</w:p>
    <w:p>
      <w:pPr>
        <w:widowControl w:val="false"/>
        <w:pBdr/>
        <w:spacing/>
        <w:ind w:right="42"/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 xml:space="preserve">СПЕЦИФИКАЦИЯ</w:t>
      </w:r>
      <w:r>
        <w:rPr>
          <w:b/>
          <w:lang w:eastAsia="en-US" w:bidi="en-US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</w:p>
    <w:tbl>
      <w:tblPr>
        <w:tblInd w:w="113" w:type="dxa"/>
        <w:tblW w:w="5202" w:type="pct"/>
        <w:tblBorders/>
        <w:tblLayout w:type="fixed"/>
        <w:tblLook w:val="04A0" w:firstRow="1" w:lastRow="0" w:firstColumn="1" w:lastColumn="0" w:noHBand="0" w:noVBand="1"/>
      </w:tblPr>
      <w:tblGrid>
        <w:gridCol w:w="539"/>
        <w:gridCol w:w="3596"/>
        <w:gridCol w:w="3261"/>
        <w:gridCol w:w="851"/>
        <w:gridCol w:w="992"/>
        <w:gridCol w:w="1134"/>
        <w:gridCol w:w="82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товара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sz w:val="24"/>
                <w:szCs w:val="24"/>
                <w:lang w:eastAsia="ru-RU"/>
              </w:rPr>
              <w:t xml:space="preserve">), руб.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vertAlign w:val="superscript"/>
                <w:lang w:eastAsia="ru-RU"/>
              </w:rPr>
              <w:footnoteReference w:id="3"/>
            </w:r>
            <w:r>
              <w:rPr>
                <w:lang w:eastAsia="ru-RU"/>
              </w:rPr>
              <w:t xml:space="preserve">),</w:t>
            </w:r>
            <w:r>
              <w:rPr>
                <w:sz w:val="24"/>
                <w:szCs w:val="24"/>
                <w:lang w:eastAsia="ru-RU"/>
              </w:rPr>
              <w:t xml:space="preserve"> руб.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Костюм противоосколочный (куртка со съемным защитным капюшоном и высокие брюки).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ОКПД2: </w:t>
            </w:r>
            <w:r>
              <w:rPr>
                <w:color w:val="000000"/>
                <w:sz w:val="24"/>
                <w:szCs w:val="24"/>
              </w:rPr>
              <w:t xml:space="preserve">14.12.30.180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Производитель </w:t>
            </w:r>
            <w:r>
              <w:rPr>
                <w:color w:val="000000"/>
                <w:sz w:val="24"/>
                <w:szCs w:val="24"/>
              </w:rPr>
              <w:t xml:space="preserve">ООО "Фирма </w:t>
            </w:r>
            <w:r>
              <w:rPr>
                <w:color w:val="000000"/>
                <w:sz w:val="24"/>
                <w:szCs w:val="24"/>
              </w:rPr>
              <w:t xml:space="preserve">Симпатика</w:t>
            </w:r>
            <w:r>
              <w:rPr>
                <w:color w:val="000000"/>
                <w:sz w:val="24"/>
                <w:szCs w:val="24"/>
              </w:rPr>
              <w:t xml:space="preserve">"</w:t>
            </w:r>
            <w:r>
              <w:rPr>
                <w:color w:val="000000"/>
                <w:sz w:val="24"/>
                <w:szCs w:val="24"/>
              </w:rPr>
              <w:t xml:space="preserve"> Российская Федерация».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3435" cy="212026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Без имени 2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3435" cy="21202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64.05pt;height:166.95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3435" cy="2145665"/>
                      <wp:effectExtent l="0" t="0" r="0" b="6985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Без имени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3435" cy="2145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64.05pt;height:168.9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Класс специальной защиты</w:t>
            </w:r>
            <w:r>
              <w:rPr>
                <w:color w:val="000000" w:themeColor="text1"/>
                <w:sz w:val="22"/>
                <w:szCs w:val="22"/>
              </w:rPr>
              <w:t xml:space="preserve"> – </w:t>
            </w: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С2</w:t>
            </w:r>
            <w:r>
              <w:rPr>
                <w:color w:val="000000" w:themeColor="text1"/>
                <w:sz w:val="22"/>
                <w:szCs w:val="22"/>
              </w:rPr>
              <w:t xml:space="preserve"> (в соответствии с ГОСТ 34286-2017). Скорость непробития – не менее </w:t>
            </w: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300 м/с</w:t>
            </w:r>
            <w:r>
              <w:rPr>
                <w:color w:val="000000" w:themeColor="text1"/>
                <w:sz w:val="22"/>
                <w:szCs w:val="22"/>
              </w:rPr>
              <w:t xml:space="preserve"> для всех элементов костюма (куртка, брюки, капюшон)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Расцветка: .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Сертификат соответствия продукции, включенной в Единый перечень продукции РФ.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Соответствие ГОСТ 34286-2017</w:t>
            </w:r>
            <w:r>
              <w:rPr>
                <w:sz w:val="22"/>
                <w:szCs w:val="22"/>
                <w:lang w:eastAsia="en-US"/>
              </w:rPr>
              <w:t xml:space="preserve"> «Бронеодежда. Классификация и общие технические требования».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Куртка - 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грудную клетку, спину, жизненно важные органы (спереди и сзади до талии). Защита локтевых и плечевых суставов.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Воротник-стойка</w:t>
            </w:r>
            <w:r>
              <w:rPr>
                <w:color w:val="000000" w:themeColor="text1"/>
                <w:sz w:val="22"/>
                <w:szCs w:val="22"/>
              </w:rPr>
              <w:t xml:space="preserve"> для защиты шеи (артерии и вены).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Капюшон - съемный</w:t>
            </w:r>
            <w:r>
              <w:rPr>
                <w:color w:val="000000" w:themeColor="text1"/>
                <w:sz w:val="22"/>
                <w:szCs w:val="22"/>
              </w:rPr>
              <w:t xml:space="preserve">, интегрируется с курткой через соединительные элементы (молния/кнопки/</w:t>
            </w:r>
            <w:r>
              <w:rPr>
                <w:color w:val="000000" w:themeColor="text1"/>
                <w:sz w:val="22"/>
                <w:szCs w:val="22"/>
              </w:rPr>
              <w:t xml:space="preserve">люверсы). Обеспечивает защиту головы (затылочная, теменная области) и шеи сзади. Регулировка по объему головы для обеспечения плотного прилегания.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Брюки - 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глубокие бедренные сосуды и нервы, коленные суставы. Сзади – защита больших ягодичных мышц.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Материал наружного слоя - </w:t>
            </w:r>
            <w:r>
              <w:rPr>
                <w:color w:val="000000" w:themeColor="text1"/>
                <w:sz w:val="22"/>
                <w:szCs w:val="22"/>
              </w:rPr>
              <w:t xml:space="preserve">Высокопрочная мембранная ткань (100% ПЭ или эквивалент</w:t>
            </w:r>
            <w:r>
              <w:rPr>
                <w:color w:val="000000" w:themeColor="text1"/>
                <w:sz w:val="22"/>
                <w:szCs w:val="22"/>
              </w:rPr>
              <w:t xml:space="preserve">). Водонепроницаемость: не менее 8000 мм вод. ст. (3 класс защиты спецодежды), обеспечение защиты от сильного дождя в течение 8 и более часов. Устойчивость к истиранию: не менее 36000 циклов (при нагрузке 12 кПа). Прочность адгезии слоев: не расслаивается.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Материал подкладки - </w:t>
            </w:r>
            <w:r>
              <w:rPr>
                <w:color w:val="000000" w:themeColor="text1"/>
                <w:sz w:val="22"/>
                <w:szCs w:val="22"/>
              </w:rPr>
              <w:t xml:space="preserve">Хлопок 100%.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Вес комплекта – не более 4,5 кг.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Размерный ряд: о</w:t>
            </w:r>
            <w:r>
              <w:rPr>
                <w:color w:val="000000" w:themeColor="text1"/>
                <w:sz w:val="22"/>
                <w:szCs w:val="22"/>
              </w:rPr>
              <w:t xml:space="preserve">т 46 до 64 размера, рост от 170 до 194 см.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Размерный ряд продукции должен соответствовать классификации по ростам, размерам и полнотным группам согласно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 </w:t>
            </w:r>
            <w:r>
              <w:rPr>
                <w:rStyle w:val="994"/>
                <w:color w:val="000000" w:themeColor="text1"/>
                <w:sz w:val="22"/>
                <w:szCs w:val="22"/>
              </w:rPr>
              <w:t xml:space="preserve">ГОСТ 31399-2009 «Классификация типовых фигур мужчин по ростам, размерам и полнотным группам для проектирования одежды».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48 — 50, </w:t>
            </w:r>
            <w:r>
              <w:rPr>
                <w:rStyle w:val="994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Рост: 176 — 182 — 1 шт;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52 — 54, </w:t>
            </w:r>
            <w:r>
              <w:rPr>
                <w:rStyle w:val="994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Рост: 170 — 176 — 1 шт;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rStyle w:val="994"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52 — 54, </w:t>
            </w:r>
            <w:r>
              <w:rPr>
                <w:rStyle w:val="994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Рост: 176 — 182 — 1 шт;</w:t>
            </w:r>
            <w:r>
              <w:rPr>
                <w:rStyle w:val="994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rStyle w:val="994"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52 — 54, </w:t>
            </w:r>
            <w:r>
              <w:rPr>
                <w:rStyle w:val="994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Рост: 188 — 194 — 1 шт;</w:t>
            </w:r>
            <w:r>
              <w:rPr>
                <w:rStyle w:val="994"/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5</w:t>
            </w:r>
            <w:r>
              <w:rPr>
                <w:rStyle w:val="994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6 — 58, Рост: 176 — 182 — 2 шт;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bookmarkStart w:id="0" w:name="_GoBack"/>
            <w:r/>
            <w:bookmarkEnd w:id="0"/>
            <w:r/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9" w:type="dxa"/>
            <w:vAlign w:val="center"/>
          </w:tcPr>
          <w:p>
            <w:pPr>
              <w:pBdr/>
              <w:spacing/>
              <w: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975"/>
        <w:pBdr/>
        <w:spacing/>
        <w:ind/>
        <w:rPr/>
      </w:pPr>
      <w:r/>
      <w:r/>
    </w:p>
    <w:p>
      <w:pPr>
        <w:pStyle w:val="975"/>
        <w:pBdr/>
        <w:spacing/>
        <w:ind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975"/>
        <w:pBdr/>
        <w:spacing/>
        <w:ind/>
        <w:rPr/>
      </w:pPr>
      <w:r>
        <w:br w:type="page" w:clear="all"/>
      </w:r>
      <w:r/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</w:t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поставки № ____/26-Б</w:t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«____» июля 2026г.</w:t>
      </w:r>
      <w:r>
        <w:rPr>
          <w:sz w:val="24"/>
          <w:szCs w:val="24"/>
        </w:rPr>
      </w:r>
    </w:p>
    <w:p>
      <w:pPr>
        <w:widowControl w:val="false"/>
        <w:pBdr/>
        <w:spacing/>
        <w:ind w:left="170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Акт 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приема-передачи товара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</w:p>
    <w:p>
      <w:pPr>
        <w:widowControl w:val="false"/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г. Ростов-на-Дону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  <w:szCs w:val="24"/>
        </w:rPr>
        <w:t xml:space="preserve">   «</w:t>
      </w:r>
      <w:r>
        <w:rPr>
          <w:sz w:val="24"/>
          <w:szCs w:val="24"/>
        </w:rPr>
        <w:t xml:space="preserve">___» ____________ 2026 г.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казённое учреждение здравоохранения </w:t>
      </w:r>
      <w:r>
        <w:rPr>
          <w:sz w:val="24"/>
          <w:szCs w:val="24"/>
        </w:rPr>
        <w:t xml:space="preserve">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Ростовский-на-Дону противочумный институт Роспотребнадзора),</w:t>
      </w:r>
      <w:r>
        <w:rPr>
          <w:sz w:val="24"/>
          <w:szCs w:val="24"/>
          <w:lang w:eastAsia="ru-RU"/>
        </w:rPr>
        <w:t xml:space="preserve"> выступающее от имени Российской Федерации,</w:t>
      </w:r>
      <w:r>
        <w:rPr>
          <w:sz w:val="24"/>
          <w:szCs w:val="24"/>
        </w:rPr>
        <w:t xml:space="preserve">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Устава, </w:t>
      </w:r>
      <w:r>
        <w:rPr>
          <w:sz w:val="24"/>
          <w:szCs w:val="24"/>
        </w:rPr>
        <w:t xml:space="preserve">с одной стороны, и _____________________________________, именуемое (ый) в дальнейшем «Поставщик», в лице _____________________, действующего на основании _______________с другой стороны, вместе именуемые «Стороны», составили настоящий акт о нижеследующем: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7"/>
        <w:widowControl w:val="false"/>
        <w:numPr>
          <w:ilvl w:val="0"/>
          <w:numId w:val="5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Договором поставки № ____/26-Б от «__» июля 2026 г. (далее - Договор) Поставщик выполнил обязательства по поставке товаров, а именно: _________________________________________________________________________________________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Фактическое качество товаров соответствует (не соответствует) требованиям Договора: ______________________________________________________________________________________.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Вышеуказанные поставки согласно контракту, должны быть выполнены «___» _____ 2026 г., фактически выполнены «__» ______ 2026 г.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Недостатки товаров выявлены/не выявлены________________________________________________________________________________.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Сумма, подлежащая оплате Поставщику в соответствии с условиями Договора _____________.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соответствии с п.  ______ Договора сумма штрафа, пени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 (указывается порядок расчета штрафа, пени).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стоимость штрафа, пени составит: _______________________________________________.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Итоговая сумма, подлежащая оплате поставщику с учетом удержания штрафа, пени/без учета удержания штрафа, пени, составляет _______________________________________________________.    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Приемку товаров и внутреннюю экспертизу осуществил(и):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</w:tabs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 w:right="2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567" w:header="284" w:footer="28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Arial Unicode MS">
    <w:panose1 w:val="020B060402020202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919"/>
        <w:pBdr/>
        <w:spacing/>
        <w:ind/>
        <w:rPr>
          <w:rFonts w:cs="Calibri"/>
          <w:sz w:val="16"/>
          <w:szCs w:val="16"/>
        </w:rPr>
      </w:pPr>
      <w:r>
        <w:rPr>
          <w:rStyle w:val="921"/>
          <w:sz w:val="16"/>
          <w:szCs w:val="16"/>
        </w:rPr>
        <w:footnoteRef/>
      </w:r>
      <w:r>
        <w:rPr>
          <w:sz w:val="16"/>
          <w:szCs w:val="16"/>
        </w:rPr>
        <w:t xml:space="preserve"> В случае работы Исполнителя по упрощенной системе налогообложения.</w:t>
      </w:r>
      <w:r>
        <w:rPr>
          <w:rFonts w:cs="Calibri"/>
          <w:sz w:val="16"/>
          <w:szCs w:val="16"/>
        </w:rPr>
      </w:r>
    </w:p>
  </w:footnote>
  <w:footnote w:id="3">
    <w:p>
      <w:pPr>
        <w:pStyle w:val="919"/>
        <w:pBdr/>
        <w:spacing/>
        <w:ind/>
        <w:rPr>
          <w:sz w:val="16"/>
          <w:szCs w:val="16"/>
        </w:rPr>
      </w:pPr>
      <w:r>
        <w:rPr>
          <w:rStyle w:val="921"/>
        </w:rPr>
        <w:footnoteRef/>
      </w:r>
      <w:r>
        <w:rPr>
          <w:sz w:val="16"/>
          <w:szCs w:val="16"/>
        </w:rPr>
        <w:t xml:space="preserve">В случае работы Исполнителя по упрощенной системе налогообложения.</w:t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657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nsid w:val="2563754C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3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2">
    <w:nsid w:val="2AA4079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0196F61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4">
    <w:nsid w:val="4F5D6B1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  <w:rPr>
      <w:lang w:eastAsia="ar-SA"/>
    </w:rPr>
  </w:style>
  <w:style w:type="paragraph" w:styleId="731">
    <w:name w:val="Heading 1"/>
    <w:basedOn w:val="730"/>
    <w:next w:val="975"/>
    <w:link w:val="768"/>
    <w:qFormat/>
    <w:pPr>
      <w:keepNext w:val="true"/>
      <w:numPr>
        <w:numId w:val="1"/>
      </w:numPr>
      <w:pBdr/>
      <w:tabs>
        <w:tab w:val="left" w:leader="none" w:pos="0"/>
      </w:tabs>
      <w:spacing/>
      <w:ind w:right="-1333" w:firstLine="284" w:left="0"/>
      <w:outlineLvl w:val="0"/>
    </w:pPr>
    <w:rPr>
      <w:sz w:val="24"/>
    </w:rPr>
  </w:style>
  <w:style w:type="paragraph" w:styleId="732">
    <w:name w:val="Heading 2"/>
    <w:basedOn w:val="730"/>
    <w:next w:val="730"/>
    <w:link w:val="76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730"/>
    <w:next w:val="730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Heading 8"/>
    <w:basedOn w:val="730"/>
    <w:next w:val="730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730"/>
    <w:next w:val="730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0">
    <w:name w:val="Placeholder Text"/>
    <w:basedOn w:val="740"/>
    <w:uiPriority w:val="99"/>
    <w:semiHidden/>
    <w:pPr>
      <w:pBdr/>
      <w:spacing/>
      <w:ind/>
    </w:pPr>
    <w:rPr>
      <w:color w:val="666666"/>
    </w:rPr>
  </w:style>
  <w:style w:type="character" w:styleId="751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2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3" w:customStyle="1">
    <w:name w:val="Heading 3 Char"/>
    <w:basedOn w:val="74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4" w:customStyle="1">
    <w:name w:val="Heading 4 Char"/>
    <w:basedOn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5" w:customStyle="1">
    <w:name w:val="Heading 5 Char"/>
    <w:basedOn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6" w:customStyle="1">
    <w:name w:val="Heading 6 Char"/>
    <w:basedOn w:val="74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7" w:customStyle="1">
    <w:name w:val="Heading 7 Char"/>
    <w:basedOn w:val="74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8" w:customStyle="1">
    <w:name w:val="Heading 8 Char"/>
    <w:basedOn w:val="7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Heading 9 Char"/>
    <w:basedOn w:val="74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0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61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62" w:customStyle="1">
    <w:name w:val="Quote Char"/>
    <w:uiPriority w:val="29"/>
    <w:pPr>
      <w:pBdr/>
      <w:spacing/>
      <w:ind/>
    </w:pPr>
    <w:rPr>
      <w:i/>
    </w:rPr>
  </w:style>
  <w:style w:type="character" w:styleId="763" w:customStyle="1">
    <w:name w:val="Intense Quote Char"/>
    <w:uiPriority w:val="30"/>
    <w:pPr>
      <w:pBdr/>
      <w:spacing/>
      <w:ind/>
    </w:pPr>
    <w:rPr>
      <w:i/>
    </w:rPr>
  </w:style>
  <w:style w:type="character" w:styleId="764" w:customStyle="1">
    <w:name w:val="Header Char"/>
    <w:basedOn w:val="740"/>
    <w:uiPriority w:val="99"/>
    <w:pPr>
      <w:pBdr/>
      <w:spacing/>
      <w:ind/>
    </w:pPr>
  </w:style>
  <w:style w:type="character" w:styleId="765" w:customStyle="1">
    <w:name w:val="Caption Char"/>
    <w:basedOn w:val="740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66" w:customStyle="1">
    <w:name w:val="Footnote Text Char"/>
    <w:uiPriority w:val="99"/>
    <w:pPr>
      <w:pBdr/>
      <w:spacing/>
      <w:ind/>
    </w:pPr>
    <w:rPr>
      <w:sz w:val="18"/>
    </w:rPr>
  </w:style>
  <w:style w:type="character" w:styleId="767" w:customStyle="1">
    <w:name w:val="Endnote Text Char"/>
    <w:uiPriority w:val="99"/>
    <w:pPr>
      <w:pBdr/>
      <w:spacing/>
      <w:ind/>
    </w:pPr>
    <w:rPr>
      <w:sz w:val="20"/>
    </w:rPr>
  </w:style>
  <w:style w:type="character" w:styleId="768" w:customStyle="1">
    <w:name w:val="Заголовок 1 Знак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9" w:customStyle="1">
    <w:name w:val="Заголовок 2 Знак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0" w:customStyle="1">
    <w:name w:val="Заголовок 3 Знак"/>
    <w:basedOn w:val="740"/>
    <w:link w:val="73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1" w:customStyle="1">
    <w:name w:val="Заголовок 4 Знак"/>
    <w:basedOn w:val="740"/>
    <w:link w:val="7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Заголовок 5 Знак"/>
    <w:basedOn w:val="740"/>
    <w:link w:val="73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Заголовок 6 Знак"/>
    <w:basedOn w:val="740"/>
    <w:link w:val="7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Заголовок 7 Знак"/>
    <w:basedOn w:val="740"/>
    <w:link w:val="7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Заголовок 8 Знак"/>
    <w:basedOn w:val="740"/>
    <w:link w:val="73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Заголовок 9 Знак"/>
    <w:basedOn w:val="740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778">
    <w:name w:val="No Spacing"/>
    <w:uiPriority w:val="1"/>
    <w:qFormat/>
    <w:pPr>
      <w:pBdr/>
      <w:spacing/>
      <w:ind/>
    </w:pPr>
  </w:style>
  <w:style w:type="paragraph" w:styleId="779">
    <w:name w:val="Title"/>
    <w:basedOn w:val="730"/>
    <w:next w:val="975"/>
    <w:link w:val="780"/>
    <w:pPr>
      <w:keepNext w:val="true"/>
      <w:pBdr/>
      <w:spacing w:after="120" w:before="240"/>
      <w:ind/>
    </w:pPr>
    <w:rPr>
      <w:rFonts w:ascii="Arial" w:hAnsi="Arial" w:eastAsia="Arial Unicode MS" w:cs="Mangal"/>
      <w:sz w:val="28"/>
      <w:szCs w:val="28"/>
    </w:rPr>
  </w:style>
  <w:style w:type="character" w:styleId="780" w:customStyle="1">
    <w:name w:val="Заголовок Знак"/>
    <w:basedOn w:val="740"/>
    <w:link w:val="779"/>
    <w:uiPriority w:val="10"/>
    <w:pPr>
      <w:pBdr/>
      <w:spacing/>
      <w:ind/>
    </w:pPr>
    <w:rPr>
      <w:sz w:val="48"/>
      <w:szCs w:val="48"/>
    </w:rPr>
  </w:style>
  <w:style w:type="paragraph" w:styleId="781">
    <w:name w:val="Subtitle"/>
    <w:basedOn w:val="730"/>
    <w:next w:val="730"/>
    <w:link w:val="78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2" w:customStyle="1">
    <w:name w:val="Подзаголовок Знак"/>
    <w:basedOn w:val="740"/>
    <w:link w:val="781"/>
    <w:uiPriority w:val="11"/>
    <w:pPr>
      <w:pBdr/>
      <w:spacing/>
      <w:ind/>
    </w:pPr>
    <w:rPr>
      <w:sz w:val="24"/>
      <w:szCs w:val="24"/>
    </w:rPr>
  </w:style>
  <w:style w:type="paragraph" w:styleId="783">
    <w:name w:val="Quote"/>
    <w:basedOn w:val="730"/>
    <w:next w:val="730"/>
    <w:link w:val="784"/>
    <w:uiPriority w:val="29"/>
    <w:qFormat/>
    <w:pPr>
      <w:pBdr/>
      <w:spacing/>
      <w:ind w:right="720" w:left="720"/>
    </w:pPr>
    <w:rPr>
      <w:i/>
    </w:rPr>
  </w:style>
  <w:style w:type="character" w:styleId="784" w:customStyle="1">
    <w:name w:val="Цитата 2 Знак"/>
    <w:link w:val="783"/>
    <w:uiPriority w:val="29"/>
    <w:pPr>
      <w:pBdr/>
      <w:spacing/>
      <w:ind/>
    </w:pPr>
    <w:rPr>
      <w:i/>
    </w:rPr>
  </w:style>
  <w:style w:type="paragraph" w:styleId="785">
    <w:name w:val="Intense Quote"/>
    <w:basedOn w:val="730"/>
    <w:next w:val="730"/>
    <w:link w:val="78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6" w:customStyle="1">
    <w:name w:val="Выделенная цитата Знак"/>
    <w:link w:val="785"/>
    <w:uiPriority w:val="30"/>
    <w:pPr>
      <w:pBdr/>
      <w:spacing/>
      <w:ind/>
    </w:pPr>
    <w:rPr>
      <w:i/>
    </w:rPr>
  </w:style>
  <w:style w:type="paragraph" w:styleId="787">
    <w:name w:val="Header"/>
    <w:basedOn w:val="730"/>
    <w:link w:val="788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88" w:customStyle="1">
    <w:name w:val="Верхний колонтитул Знак"/>
    <w:basedOn w:val="740"/>
    <w:link w:val="787"/>
    <w:uiPriority w:val="99"/>
    <w:pPr>
      <w:pBdr/>
      <w:spacing/>
      <w:ind/>
    </w:pPr>
  </w:style>
  <w:style w:type="paragraph" w:styleId="789">
    <w:name w:val="Footer"/>
    <w:basedOn w:val="730"/>
    <w:link w:val="991"/>
    <w:uiPriority w:val="99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0" w:customStyle="1">
    <w:name w:val="Footer Char"/>
    <w:basedOn w:val="740"/>
    <w:uiPriority w:val="99"/>
    <w:pPr>
      <w:pBdr/>
      <w:spacing/>
      <w:ind/>
    </w:pPr>
  </w:style>
  <w:style w:type="character" w:styleId="791" w:customStyle="1">
    <w:name w:val="Название объекта Знак"/>
    <w:basedOn w:val="740"/>
    <w:link w:val="979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92">
    <w:name w:val="Table Grid"/>
    <w:basedOn w:val="741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link w:val="99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>
    <w:name w:val="Hyperlink"/>
    <w:pPr>
      <w:pBdr/>
      <w:spacing/>
      <w:ind/>
    </w:pPr>
    <w:rPr>
      <w:color w:val="0000ff"/>
      <w:u w:val="single"/>
      <w:lang w:val="en-US" w:eastAsia="en-US" w:bidi="en-US"/>
    </w:rPr>
  </w:style>
  <w:style w:type="paragraph" w:styleId="919">
    <w:name w:val="footnote text"/>
    <w:basedOn w:val="730"/>
    <w:link w:val="920"/>
    <w:uiPriority w:val="99"/>
    <w:semiHidden/>
    <w:unhideWhenUsed/>
    <w:pPr>
      <w:pBdr/>
      <w:spacing w:after="40"/>
      <w:ind/>
    </w:pPr>
    <w:rPr>
      <w:sz w:val="18"/>
    </w:rPr>
  </w:style>
  <w:style w:type="character" w:styleId="920" w:customStyle="1">
    <w:name w:val="Текст сноски Знак"/>
    <w:link w:val="919"/>
    <w:uiPriority w:val="99"/>
    <w:pPr>
      <w:pBdr/>
      <w:spacing/>
      <w:ind/>
    </w:pPr>
    <w:rPr>
      <w:sz w:val="18"/>
    </w:rPr>
  </w:style>
  <w:style w:type="character" w:styleId="921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730"/>
    <w:link w:val="923"/>
    <w:uiPriority w:val="99"/>
    <w:semiHidden/>
    <w:unhideWhenUsed/>
    <w:pPr>
      <w:pBdr/>
      <w:spacing/>
      <w:ind/>
    </w:pPr>
  </w:style>
  <w:style w:type="character" w:styleId="923" w:customStyle="1">
    <w:name w:val="Текст концевой сноски Знак"/>
    <w:link w:val="922"/>
    <w:uiPriority w:val="99"/>
    <w:pPr>
      <w:pBdr/>
      <w:spacing/>
      <w:ind/>
    </w:pPr>
    <w:rPr>
      <w:sz w:val="20"/>
    </w:rPr>
  </w:style>
  <w:style w:type="character" w:styleId="924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925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26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27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28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29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30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31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32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33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34">
    <w:name w:val="TOC Heading"/>
    <w:uiPriority w:val="39"/>
    <w:unhideWhenUsed/>
    <w:pPr>
      <w:pBdr/>
      <w:spacing/>
      <w:ind/>
    </w:pPr>
  </w:style>
  <w:style w:type="paragraph" w:styleId="935">
    <w:name w:val="table of figures"/>
    <w:basedOn w:val="730"/>
    <w:next w:val="730"/>
    <w:uiPriority w:val="99"/>
    <w:unhideWhenUsed/>
    <w:pPr>
      <w:pBdr/>
      <w:spacing/>
      <w:ind/>
    </w:pPr>
  </w:style>
  <w:style w:type="character" w:styleId="936" w:customStyle="1">
    <w:name w:val="WW8Num1z0"/>
    <w:pPr>
      <w:pBdr/>
      <w:spacing/>
      <w:ind/>
    </w:pPr>
  </w:style>
  <w:style w:type="character" w:styleId="937" w:customStyle="1">
    <w:name w:val="WW8Num1z1"/>
    <w:pPr>
      <w:pBdr/>
      <w:spacing/>
      <w:ind/>
    </w:pPr>
  </w:style>
  <w:style w:type="character" w:styleId="938" w:customStyle="1">
    <w:name w:val="WW8Num1z2"/>
    <w:pPr>
      <w:pBdr/>
      <w:spacing/>
      <w:ind/>
    </w:pPr>
  </w:style>
  <w:style w:type="character" w:styleId="939" w:customStyle="1">
    <w:name w:val="WW8Num1z3"/>
    <w:pPr>
      <w:pBdr/>
      <w:spacing/>
      <w:ind/>
    </w:pPr>
  </w:style>
  <w:style w:type="character" w:styleId="940" w:customStyle="1">
    <w:name w:val="WW8Num1z4"/>
    <w:pPr>
      <w:pBdr/>
      <w:spacing/>
      <w:ind/>
    </w:pPr>
  </w:style>
  <w:style w:type="character" w:styleId="941" w:customStyle="1">
    <w:name w:val="WW8Num1z5"/>
    <w:pPr>
      <w:pBdr/>
      <w:spacing/>
      <w:ind/>
    </w:pPr>
  </w:style>
  <w:style w:type="character" w:styleId="942" w:customStyle="1">
    <w:name w:val="WW8Num1z6"/>
    <w:pPr>
      <w:pBdr/>
      <w:spacing/>
      <w:ind/>
    </w:pPr>
  </w:style>
  <w:style w:type="character" w:styleId="943" w:customStyle="1">
    <w:name w:val="WW8Num1z7"/>
    <w:pPr>
      <w:pBdr/>
      <w:spacing/>
      <w:ind/>
    </w:pPr>
  </w:style>
  <w:style w:type="character" w:styleId="944" w:customStyle="1">
    <w:name w:val="WW8Num1z8"/>
    <w:pPr>
      <w:pBdr/>
      <w:spacing/>
      <w:ind/>
    </w:pPr>
  </w:style>
  <w:style w:type="character" w:styleId="945" w:customStyle="1">
    <w:name w:val="WW8Num2z0"/>
    <w:pPr>
      <w:pBdr/>
      <w:spacing/>
      <w:ind/>
    </w:pPr>
  </w:style>
  <w:style w:type="character" w:styleId="946" w:customStyle="1">
    <w:name w:val="WW8Num3z0"/>
    <w:pPr>
      <w:pBdr/>
      <w:spacing/>
      <w:ind/>
    </w:pPr>
  </w:style>
  <w:style w:type="character" w:styleId="947" w:customStyle="1">
    <w:name w:val="WW8Num3z1"/>
    <w:pPr>
      <w:pBdr/>
      <w:spacing/>
      <w:ind/>
    </w:pPr>
  </w:style>
  <w:style w:type="character" w:styleId="948" w:customStyle="1">
    <w:name w:val="WW8Num3z2"/>
    <w:pPr>
      <w:pBdr/>
      <w:spacing/>
      <w:ind/>
    </w:pPr>
  </w:style>
  <w:style w:type="character" w:styleId="949" w:customStyle="1">
    <w:name w:val="WW8Num3z3"/>
    <w:pPr>
      <w:pBdr/>
      <w:spacing/>
      <w:ind/>
    </w:pPr>
  </w:style>
  <w:style w:type="character" w:styleId="950" w:customStyle="1">
    <w:name w:val="WW8Num3z4"/>
    <w:pPr>
      <w:pBdr/>
      <w:spacing/>
      <w:ind/>
    </w:pPr>
  </w:style>
  <w:style w:type="character" w:styleId="951" w:customStyle="1">
    <w:name w:val="WW8Num3z5"/>
    <w:pPr>
      <w:pBdr/>
      <w:spacing/>
      <w:ind/>
    </w:pPr>
  </w:style>
  <w:style w:type="character" w:styleId="952" w:customStyle="1">
    <w:name w:val="WW8Num3z6"/>
    <w:pPr>
      <w:pBdr/>
      <w:spacing/>
      <w:ind/>
    </w:pPr>
  </w:style>
  <w:style w:type="character" w:styleId="953" w:customStyle="1">
    <w:name w:val="WW8Num3z7"/>
    <w:pPr>
      <w:pBdr/>
      <w:spacing/>
      <w:ind/>
    </w:pPr>
  </w:style>
  <w:style w:type="character" w:styleId="954" w:customStyle="1">
    <w:name w:val="WW8Num3z8"/>
    <w:pPr>
      <w:pBdr/>
      <w:spacing/>
      <w:ind/>
    </w:pPr>
  </w:style>
  <w:style w:type="character" w:styleId="955" w:customStyle="1">
    <w:name w:val="WW8Num4z0"/>
    <w:pPr>
      <w:pBdr/>
      <w:spacing/>
      <w:ind/>
    </w:pPr>
  </w:style>
  <w:style w:type="character" w:styleId="956" w:customStyle="1">
    <w:name w:val="WW8Num4z1"/>
    <w:pPr>
      <w:pBdr/>
      <w:spacing/>
      <w:ind/>
    </w:pPr>
  </w:style>
  <w:style w:type="character" w:styleId="957" w:customStyle="1">
    <w:name w:val="WW8Num4z2"/>
    <w:pPr>
      <w:pBdr/>
      <w:spacing/>
      <w:ind/>
    </w:pPr>
  </w:style>
  <w:style w:type="character" w:styleId="958" w:customStyle="1">
    <w:name w:val="WW8Num4z3"/>
    <w:pPr>
      <w:pBdr/>
      <w:spacing/>
      <w:ind/>
    </w:pPr>
  </w:style>
  <w:style w:type="character" w:styleId="959" w:customStyle="1">
    <w:name w:val="WW8Num4z4"/>
    <w:pPr>
      <w:pBdr/>
      <w:spacing/>
      <w:ind/>
    </w:pPr>
  </w:style>
  <w:style w:type="character" w:styleId="960" w:customStyle="1">
    <w:name w:val="WW8Num4z5"/>
    <w:pPr>
      <w:pBdr/>
      <w:spacing/>
      <w:ind/>
    </w:pPr>
  </w:style>
  <w:style w:type="character" w:styleId="961" w:customStyle="1">
    <w:name w:val="WW8Num4z6"/>
    <w:pPr>
      <w:pBdr/>
      <w:spacing/>
      <w:ind/>
    </w:pPr>
  </w:style>
  <w:style w:type="character" w:styleId="962" w:customStyle="1">
    <w:name w:val="WW8Num4z7"/>
    <w:pPr>
      <w:pBdr/>
      <w:spacing/>
      <w:ind/>
    </w:pPr>
  </w:style>
  <w:style w:type="character" w:styleId="963" w:customStyle="1">
    <w:name w:val="WW8Num4z8"/>
    <w:pPr>
      <w:pBdr/>
      <w:spacing/>
      <w:ind/>
    </w:pPr>
  </w:style>
  <w:style w:type="character" w:styleId="964" w:customStyle="1">
    <w:name w:val="Основной шрифт абзаца2"/>
    <w:pPr>
      <w:pBdr/>
      <w:spacing/>
      <w:ind/>
    </w:pPr>
  </w:style>
  <w:style w:type="character" w:styleId="965" w:customStyle="1">
    <w:name w:val="Absatz-Standardschriftart"/>
    <w:pPr>
      <w:pBdr/>
      <w:spacing/>
      <w:ind/>
    </w:pPr>
  </w:style>
  <w:style w:type="character" w:styleId="966" w:customStyle="1">
    <w:name w:val="WW-Absatz-Standardschriftart"/>
    <w:pPr>
      <w:pBdr/>
      <w:spacing/>
      <w:ind/>
    </w:pPr>
  </w:style>
  <w:style w:type="character" w:styleId="967" w:customStyle="1">
    <w:name w:val="WW-Absatz-Standardschriftart1"/>
    <w:pPr>
      <w:pBdr/>
      <w:spacing/>
      <w:ind/>
    </w:pPr>
  </w:style>
  <w:style w:type="character" w:styleId="968" w:customStyle="1">
    <w:name w:val="WW-Absatz-Standardschriftart11"/>
    <w:pPr>
      <w:pBdr/>
      <w:spacing/>
      <w:ind/>
    </w:pPr>
  </w:style>
  <w:style w:type="character" w:styleId="969" w:customStyle="1">
    <w:name w:val="WW-Absatz-Standardschriftart111"/>
    <w:pPr>
      <w:pBdr/>
      <w:spacing/>
      <w:ind/>
    </w:pPr>
  </w:style>
  <w:style w:type="character" w:styleId="970" w:customStyle="1">
    <w:name w:val="WW-Absatz-Standardschriftart1111"/>
    <w:pPr>
      <w:pBdr/>
      <w:spacing/>
      <w:ind/>
    </w:pPr>
  </w:style>
  <w:style w:type="character" w:styleId="971" w:customStyle="1">
    <w:name w:val="WW-Absatz-Standardschriftart11111"/>
    <w:pPr>
      <w:pBdr/>
      <w:spacing/>
      <w:ind/>
    </w:pPr>
  </w:style>
  <w:style w:type="character" w:styleId="972" w:customStyle="1">
    <w:name w:val="WW-Absatz-Standardschriftart111111"/>
    <w:pPr>
      <w:pBdr/>
      <w:spacing/>
      <w:ind/>
    </w:pPr>
  </w:style>
  <w:style w:type="character" w:styleId="973" w:customStyle="1">
    <w:name w:val="Основной шрифт абзаца1"/>
    <w:pPr>
      <w:pBdr/>
      <w:spacing/>
      <w:ind/>
    </w:pPr>
  </w:style>
  <w:style w:type="character" w:styleId="974">
    <w:name w:val="page number"/>
    <w:basedOn w:val="973"/>
    <w:pPr>
      <w:pBdr/>
      <w:spacing/>
      <w:ind/>
    </w:pPr>
  </w:style>
  <w:style w:type="paragraph" w:styleId="975">
    <w:name w:val="Body Text"/>
    <w:basedOn w:val="730"/>
    <w:pPr>
      <w:pBdr/>
      <w:spacing w:after="120"/>
      <w:ind/>
    </w:pPr>
  </w:style>
  <w:style w:type="paragraph" w:styleId="976">
    <w:name w:val="List"/>
    <w:basedOn w:val="975"/>
    <w:pPr>
      <w:pBdr/>
      <w:spacing/>
      <w:ind/>
    </w:pPr>
    <w:rPr>
      <w:rFonts w:cs="Mangal"/>
    </w:rPr>
  </w:style>
  <w:style w:type="paragraph" w:styleId="977" w:customStyle="1">
    <w:name w:val="Название2"/>
    <w:basedOn w:val="730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78" w:customStyle="1">
    <w:name w:val="Указатель3"/>
    <w:basedOn w:val="730"/>
    <w:pPr>
      <w:suppressLineNumbers w:val="true"/>
      <w:pBdr/>
      <w:spacing/>
      <w:ind/>
    </w:pPr>
    <w:rPr>
      <w:rFonts w:cs="Tahoma"/>
    </w:rPr>
  </w:style>
  <w:style w:type="paragraph" w:styleId="979">
    <w:name w:val="Caption"/>
    <w:basedOn w:val="730"/>
    <w:link w:val="791"/>
    <w:pPr>
      <w:pBdr/>
      <w:spacing/>
      <w:ind/>
    </w:pPr>
  </w:style>
  <w:style w:type="paragraph" w:styleId="980" w:customStyle="1">
    <w:name w:val="Указатель2"/>
    <w:basedOn w:val="730"/>
    <w:pPr>
      <w:pBdr/>
      <w:spacing/>
      <w:ind/>
    </w:pPr>
  </w:style>
  <w:style w:type="paragraph" w:styleId="981" w:customStyle="1">
    <w:name w:val="Название1"/>
    <w:basedOn w:val="730"/>
    <w:pPr>
      <w:pBdr/>
      <w:spacing/>
      <w:ind/>
    </w:pPr>
  </w:style>
  <w:style w:type="paragraph" w:styleId="982" w:customStyle="1">
    <w:name w:val="Указатель1"/>
    <w:basedOn w:val="730"/>
    <w:pPr>
      <w:pBdr/>
      <w:spacing/>
      <w:ind/>
    </w:pPr>
  </w:style>
  <w:style w:type="paragraph" w:styleId="983">
    <w:name w:val="Body Text Indent"/>
    <w:basedOn w:val="730"/>
    <w:pPr>
      <w:pBdr/>
      <w:spacing/>
      <w:ind w:right="-1333" w:firstLine="284" w:left="283"/>
    </w:pPr>
    <w:rPr>
      <w:sz w:val="24"/>
    </w:rPr>
  </w:style>
  <w:style w:type="paragraph" w:styleId="984" w:customStyle="1">
    <w:name w:val="Содержимое таблицы"/>
    <w:basedOn w:val="730"/>
    <w:pPr>
      <w:suppressLineNumbers w:val="true"/>
      <w:pBdr/>
      <w:spacing/>
      <w:ind/>
    </w:pPr>
  </w:style>
  <w:style w:type="paragraph" w:styleId="985" w:customStyle="1">
    <w:name w:val="Заголовок таблицы"/>
    <w:basedOn w:val="984"/>
    <w:pPr>
      <w:pBdr/>
      <w:spacing/>
      <w:ind/>
      <w:jc w:val="center"/>
    </w:pPr>
    <w:rPr>
      <w:b/>
      <w:bCs/>
    </w:rPr>
  </w:style>
  <w:style w:type="paragraph" w:styleId="986" w:customStyle="1">
    <w:name w:val="Содержимое врезки"/>
    <w:basedOn w:val="975"/>
    <w:pPr>
      <w:pBdr/>
      <w:spacing/>
      <w:ind/>
    </w:pPr>
  </w:style>
  <w:style w:type="paragraph" w:styleId="987">
    <w:name w:val="Balloon Text"/>
    <w:basedOn w:val="730"/>
    <w:link w:val="988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/>
    </w:rPr>
  </w:style>
  <w:style w:type="character" w:styleId="988" w:customStyle="1">
    <w:name w:val="Текст выноски Знак"/>
    <w:link w:val="987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ar-SA"/>
    </w:rPr>
  </w:style>
  <w:style w:type="character" w:styleId="989">
    <w:name w:val="Strong"/>
    <w:uiPriority w:val="22"/>
    <w:qFormat/>
    <w:pPr>
      <w:pBdr/>
      <w:spacing/>
      <w:ind/>
    </w:pPr>
    <w:rPr>
      <w:b/>
      <w:bCs/>
    </w:rPr>
  </w:style>
  <w:style w:type="paragraph" w:styleId="990" w:customStyle="1">
    <w:name w:val="мой абз"/>
    <w:basedOn w:val="730"/>
    <w:pPr>
      <w:pBdr/>
      <w:spacing w:line="200" w:lineRule="exact"/>
      <w:ind w:firstLine="284"/>
      <w:jc w:val="both"/>
    </w:pPr>
    <w:rPr>
      <w:spacing w:val="-6"/>
    </w:rPr>
  </w:style>
  <w:style w:type="character" w:styleId="991" w:customStyle="1">
    <w:name w:val="Нижний колонтитул Знак"/>
    <w:link w:val="789"/>
    <w:uiPriority w:val="99"/>
    <w:pPr>
      <w:pBdr/>
      <w:spacing/>
      <w:ind/>
    </w:pPr>
    <w:rPr>
      <w:lang w:eastAsia="ar-SA"/>
    </w:rPr>
  </w:style>
  <w:style w:type="paragraph" w:styleId="992" w:customStyle="1">
    <w:name w:val="Standard"/>
    <w:uiPriority w:val="99"/>
    <w:pPr>
      <w:widowControl w:val="false"/>
      <w:pBdr/>
      <w:spacing/>
      <w:ind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styleId="993" w:customStyle="1">
    <w:name w:val="Обычный (веб)1"/>
    <w:link w:val="903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cs="Calibri"/>
      <w:sz w:val="22"/>
      <w:szCs w:val="22"/>
      <w:lang w:eastAsia="ar-SA"/>
    </w:rPr>
  </w:style>
  <w:style w:type="character" w:styleId="994" w:customStyle="1">
    <w:name w:val="Строгий1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base.garant.ru/10180094/" TargetMode="Externa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revision>5</cp:revision>
  <dcterms:created xsi:type="dcterms:W3CDTF">2026-07-22T07:44:00Z</dcterms:created>
  <dcterms:modified xsi:type="dcterms:W3CDTF">2026-07-24T06:57:46Z</dcterms:modified>
  <cp:version>1048576</cp:version>
</cp:coreProperties>
</file>