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exact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</w:p>
    <w:p>
      <w:pPr>
        <w:pBdr/>
        <w:spacing w:line="240" w:lineRule="exact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Описание объекта закупки</w:t>
      </w:r>
      <w:r>
        <w:t xml:space="preserve"> (</w:t>
      </w:r>
      <w:r>
        <w:rPr>
          <w:b/>
          <w:sz w:val="24"/>
          <w:szCs w:val="24"/>
        </w:rPr>
        <w:t xml:space="preserve">Техническое задание)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Поставка костюмов специальных противоосколочных защитных для ФКУЗ Ростовский-на-Дону противочумный институт Роспотребнадзора</w:t>
      </w:r>
      <w:r>
        <w:rPr>
          <w:color w:val="000000"/>
          <w:sz w:val="24"/>
          <w:szCs w:val="24"/>
          <w:shd w:val="clear" w:color="auto" w:fill="ffffff"/>
        </w:rPr>
      </w:r>
    </w:p>
    <w:p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Место поставки товара</w:t>
      </w:r>
      <w:r>
        <w:rPr>
          <w:bCs/>
          <w:sz w:val="24"/>
          <w:szCs w:val="24"/>
          <w:lang w:eastAsia="ar-SA"/>
        </w:rPr>
        <w:t xml:space="preserve">: г. Ростов-на-Дону, ул. Максима Горького 117/40.</w:t>
      </w:r>
      <w:r>
        <w:rPr>
          <w:bCs/>
          <w:sz w:val="24"/>
          <w:szCs w:val="24"/>
          <w:lang w:eastAsia="ar-SA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rFonts w:eastAsia="Calibri"/>
          <w:bCs/>
          <w:sz w:val="24"/>
          <w:szCs w:val="24"/>
        </w:rPr>
      </w:pPr>
      <w:r>
        <w:rPr>
          <w:b/>
          <w:bCs/>
          <w:sz w:val="24"/>
          <w:szCs w:val="24"/>
          <w:lang w:eastAsia="ar-SA"/>
        </w:rPr>
        <w:t xml:space="preserve">Качество поставляемого товара</w:t>
      </w:r>
      <w:r>
        <w:rPr>
          <w:bCs/>
          <w:sz w:val="24"/>
          <w:szCs w:val="24"/>
          <w:lang w:eastAsia="ar-SA"/>
        </w:rPr>
        <w:t xml:space="preserve">: </w:t>
      </w:r>
      <w:r>
        <w:rPr>
          <w:rFonts w:eastAsia="Calibri"/>
          <w:bCs/>
          <w:sz w:val="24"/>
          <w:szCs w:val="24"/>
        </w:rPr>
        <w:t xml:space="preserve">качество Товара должно соответствовать требованиям технических регламентов, стандарто</w:t>
      </w:r>
      <w:r>
        <w:rPr>
          <w:rFonts w:eastAsia="Calibri"/>
          <w:bCs/>
          <w:sz w:val="24"/>
          <w:szCs w:val="24"/>
        </w:rPr>
        <w:t xml:space="preserve">в, санитарно-эпидемиологических правил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rFonts w:eastAsia="Calibri"/>
          <w:sz w:val="24"/>
          <w:szCs w:val="24"/>
        </w:rPr>
        <w:t xml:space="preserve">Поставляемый Товар должен быть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товара.</w:t>
      </w:r>
      <w:r>
        <w:rPr>
          <w:rFonts w:eastAsia="Calibri"/>
          <w:bCs/>
          <w:sz w:val="24"/>
          <w:szCs w:val="24"/>
        </w:rPr>
      </w:r>
    </w:p>
    <w:p>
      <w:pPr>
        <w:pBdr/>
        <w:spacing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Поставляемый Товар не ранее июня 2026 года выпуска, новый (ранее не находившийся </w:t>
      </w:r>
      <w:r>
        <w:rPr>
          <w:rFonts w:eastAsia="Calibri"/>
          <w:bCs/>
          <w:color w:val="000000"/>
          <w:sz w:val="24"/>
          <w:szCs w:val="24"/>
        </w:rPr>
        <w:t xml:space="preserve">в использовании у поставщика или третьих лиц), не подвергавш</w:t>
      </w:r>
      <w:r>
        <w:rPr>
          <w:rFonts w:eastAsia="Calibri"/>
          <w:bCs/>
          <w:color w:val="000000"/>
          <w:sz w:val="24"/>
          <w:szCs w:val="24"/>
        </w:rPr>
        <w:t xml:space="preserve">ийся ранее ремонту (модернизации или восстановлению,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 работой по его изготовлению, проявляющихся в резу</w:t>
      </w:r>
      <w:r>
        <w:rPr>
          <w:rFonts w:eastAsia="Calibri"/>
          <w:bCs/>
          <w:color w:val="000000"/>
          <w:sz w:val="24"/>
          <w:szCs w:val="24"/>
        </w:rPr>
        <w:t xml:space="preserve">льтате пользования. Товар работоспособный и обеспечивает предусмотренную производителем функциональность. Товар передается Заказчику с необходимыми принадлежностями к нему, копиями сертификатов соответствия, инструкциями (памятками) на русском языке и т.п.</w:t>
      </w:r>
      <w:r>
        <w:rPr>
          <w:rFonts w:eastAsia="Calibri"/>
          <w:bCs/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Качество и комплектность поставляемого товара подтверждается подлинными или</w:t>
      </w:r>
      <w:r>
        <w:rPr>
          <w:rFonts w:eastAsia="Calibri"/>
          <w:bCs/>
          <w:color w:val="000000"/>
          <w:sz w:val="24"/>
          <w:szCs w:val="24"/>
        </w:rPr>
        <w:t xml:space="preserve"> надлежаще заверенными Поставщиком копиями соответствующих технических документов, в том числе сертификатами (декларациями) соответствия, экспертными заключениями, экземпляры которых прилагаются к товаротранспортной документации и следуют вместе с товаром.</w:t>
      </w:r>
      <w:r>
        <w:rPr>
          <w:rFonts w:eastAsia="Calibri"/>
          <w:bCs/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Костюм противоосколочный (куртка со съемным защитным капюшоном и высокие брюки) должен иметь специальный класс защиты С2 в соответствии с требованиями ГОСТ 34286-2017 «Бронеодежда. Классификация и общие технические требования».</w:t>
      </w:r>
      <w:r>
        <w:rPr>
          <w:rFonts w:eastAsia="Calibri"/>
          <w:bCs/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Размерный ряд продукции должен соответствовать ГОСТ 31399-2009 «Классификация типовых фигур мужчин по ростам, размерам и полнотным группам для проектирования одежды»</w:t>
      </w:r>
      <w:r>
        <w:rPr>
          <w:rFonts w:eastAsia="Calibri"/>
          <w:bCs/>
          <w:color w:val="000000"/>
          <w:sz w:val="24"/>
          <w:szCs w:val="24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ar-SA"/>
        </w:rPr>
        <w:t xml:space="preserve">Требования к безопасности товара: </w:t>
      </w:r>
      <w:r>
        <w:rPr>
          <w:sz w:val="24"/>
          <w:szCs w:val="24"/>
          <w:lang w:eastAsia="en-US"/>
        </w:rPr>
        <w:t xml:space="preserve">Товар отвечает требованиям безопасн</w:t>
      </w:r>
      <w:r>
        <w:rPr>
          <w:sz w:val="24"/>
          <w:szCs w:val="24"/>
          <w:lang w:eastAsia="en-US"/>
        </w:rPr>
        <w:t xml:space="preserve">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утилизации, в том числе поставляемый Товар нетоксичен и не оказывает вредного воздействия на человека.</w:t>
      </w:r>
      <w:r>
        <w:rPr>
          <w:b/>
          <w:b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en-US"/>
        </w:rPr>
        <w:t xml:space="preserve">Во время поставки Товара Поставщик обеспечивает соблюдение необходимых норм пожарной безопасности, техники безопасности, охраны окружающей среды.</w:t>
      </w:r>
      <w:r>
        <w:rPr>
          <w:b/>
          <w:b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en-US"/>
        </w:rPr>
        <w:t xml:space="preserve">Товар при эксплуатации и хранении не выделяет вредных, ядовитых, радиоактивных веществ, не создает угрозу жизни человеку, животным, растениям и окружающей среде.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Гарантийный срок:</w:t>
      </w:r>
      <w:r>
        <w:rPr>
          <w:sz w:val="24"/>
          <w:szCs w:val="24"/>
        </w:rPr>
        <w:t xml:space="preserve"> Гарантийный срок на поставленный товар – в соответствии с гарантией производителя (не менее 12 месяцев). Гарантийный срок начинает исчисляться со дня подписания Заказчиком документа о прием</w:t>
      </w:r>
      <w:r>
        <w:rPr>
          <w:sz w:val="24"/>
          <w:szCs w:val="24"/>
        </w:rPr>
        <w:t xml:space="preserve">ке. Гарантия Поставщика предоставляется вместе с Товаром. Гарантийный срок на Товар соответствует гарантийным требованиям, предъявляемым к такому виду Товара, и подтверждается документами от Поставщика. Поставщик гарантирует качество поставляемого Товара. </w:t>
      </w:r>
      <w:r>
        <w:rPr>
          <w:bCs/>
          <w:sz w:val="24"/>
          <w:szCs w:val="24"/>
        </w:rPr>
        <w:t xml:space="preserve">В с</w:t>
      </w:r>
      <w:r>
        <w:rPr>
          <w:bCs/>
          <w:sz w:val="24"/>
          <w:szCs w:val="24"/>
        </w:rPr>
        <w:t xml:space="preserve">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Поставщика.</w:t>
      </w:r>
      <w:r>
        <w:rPr>
          <w:sz w:val="24"/>
          <w:szCs w:val="24"/>
        </w:rPr>
        <w:t xml:space="preserve"> П</w:t>
      </w:r>
      <w:r>
        <w:rPr>
          <w:bCs/>
          <w:sz w:val="24"/>
          <w:szCs w:val="24"/>
        </w:rPr>
        <w:t xml:space="preserve">оставщик обязуется в течении 14 (Четырнадцати) календарных дней с даты получения от Заказчика уведомл</w:t>
      </w:r>
      <w:r>
        <w:rPr>
          <w:bCs/>
          <w:sz w:val="24"/>
          <w:szCs w:val="24"/>
        </w:rPr>
        <w:t xml:space="preserve">ения о поставке некачественного Товара, по выбору Заказчика, произвести замену некачественного Товара, либо перечислить на расчетный счет Заказчика стоимость некачественного Товара, Возврат и замена некачественного Товара осуществляется за счет Поставщика.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Непосредственное описание товаров (перечень требуемых функциональных, технических, качественных и эксплуатационных характеристик, требования к комплектации):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5.1 В соответствии с </w:t>
      </w:r>
      <w:r>
        <w:rPr>
          <w:b/>
          <w:bCs/>
          <w:sz w:val="24"/>
          <w:szCs w:val="24"/>
        </w:rPr>
        <w:t xml:space="preserve">приложением № 1</w:t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 Предос</w:t>
      </w:r>
      <w:r>
        <w:rPr>
          <w:sz w:val="24"/>
          <w:szCs w:val="24"/>
        </w:rPr>
        <w:t xml:space="preserve">тавление технической документации (чертежи, схемы, опросные листы, сведения об организации-производителе оборудования и пр.): Сертификат соответствия продукции (Единый перечень продукции Российской Федерации) – средства индивидуальной защиты (бронеодежда).</w:t>
      </w:r>
      <w:r>
        <w:rPr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Требования к размерам, упаковке, отгрузке товаров: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Товар должен поставляться в заводской упаковке, исключающей его порчу или потерю во время транспортировки в соответствии с требованиями государственных стандартов и регламента Таможенного союза, действующего в РФ. </w:t>
      </w:r>
      <w:r>
        <w:rPr>
          <w:color w:val="000000"/>
          <w:sz w:val="24"/>
          <w:szCs w:val="24"/>
        </w:rPr>
        <w:t xml:space="preserve">Упаковка должна обеспечивать защиту костюмов от механических повреждений, воздействия окружающей среды, атмосферных осадков и влаги.</w:t>
      </w:r>
      <w:r>
        <w:rPr>
          <w:i/>
          <w:sz w:val="24"/>
          <w:szCs w:val="24"/>
        </w:rPr>
      </w:r>
    </w:p>
    <w:p>
      <w:pPr>
        <w:pBdr/>
        <w:spacing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Комплекты костюмов должны быть рассортированы по размерному ряду.</w:t>
      </w:r>
      <w:r>
        <w:rPr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без нарушения целостности со специальной маркировкой.</w:t>
      </w:r>
      <w:r>
        <w:rPr>
          <w:i/>
          <w:sz w:val="24"/>
          <w:szCs w:val="24"/>
        </w:rPr>
      </w:r>
    </w:p>
    <w:p>
      <w:pPr>
        <w:pBdr/>
        <w:spacing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 за ненадлежащую упаковку, не обеспечивающую сохранность товара при его хранении и транспортировке.</w:t>
      </w:r>
      <w:r>
        <w:rPr>
          <w:i/>
          <w:sz w:val="24"/>
          <w:szCs w:val="24"/>
        </w:rPr>
      </w:r>
    </w:p>
    <w:p>
      <w:pPr>
        <w:pBdr/>
        <w:spacing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На упаковке должна быть информация, позволяющая идентифицировать Товар (наименование, наименование фирмы-производителя, дата выпуска). Нарушение упаковки может допускаться исключительно для проверки качества, комплектности. Тара и упаковка невозвратная.</w:t>
      </w:r>
      <w:r>
        <w:rPr>
          <w:i/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7. В стоимость Товара входит: </w:t>
      </w:r>
      <w:r>
        <w:rPr>
          <w:sz w:val="24"/>
          <w:szCs w:val="24"/>
        </w:rPr>
        <w:t xml:space="preserve">изготовление, страхование, уплата налогов и других обязательных платежей, сертификация, погрузка, доставка до склада Заказчика, стоим</w:t>
      </w:r>
      <w:r>
        <w:rPr>
          <w:sz w:val="24"/>
          <w:szCs w:val="24"/>
        </w:rPr>
        <w:t xml:space="preserve">ость тары и упаковки (тара и упаковка невозвратные). Транспортировка в место поставки осуществляется Поставщиком за счет собственных средств. Тара и упаковка должны обеспечить сохранность Товара во время транспортировки, погрузочных и разгрузочных работах.</w:t>
      </w:r>
      <w:r>
        <w:rPr>
          <w:i/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Порядок сдачи и приемки товара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Передача-прием товара осуществляется в пункте поставки, указанном в п.1 настоящего Технического задания и подтверждается подписанным Сто</w:t>
      </w:r>
      <w:r>
        <w:rPr>
          <w:sz w:val="24"/>
          <w:szCs w:val="24"/>
        </w:rPr>
        <w:t xml:space="preserve">ронами универсальным передаточным документом (УПД). Обязанность по составлению универсального передаточного документа (УПД) (в двух экземплярах) и передаче универсального передаточного документа (УПД) вместе с товаром Заказчику – возлагается на Поставщика.</w:t>
      </w:r>
      <w:r>
        <w:rPr>
          <w:i/>
          <w:iCs/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Иные требования к товарам и условиям их поставки по усмотрению заказчика (для включения в договор)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Доставка Товара: </w:t>
      </w:r>
      <w:r>
        <w:rPr>
          <w:sz w:val="24"/>
          <w:szCs w:val="24"/>
          <w:lang w:eastAsia="en-US" w:bidi="en-US"/>
        </w:rPr>
        <w:t xml:space="preserve">15 (Пятнадцать) рабочих дней</w:t>
      </w:r>
      <w:r/>
      <w:r>
        <w:rPr>
          <w:sz w:val="24"/>
          <w:szCs w:val="24"/>
        </w:rPr>
        <w:t xml:space="preserve"> с даты заключения договора.</w:t>
      </w:r>
      <w:r>
        <w:rPr>
          <w:i/>
          <w:iCs/>
          <w:sz w:val="24"/>
          <w:szCs w:val="24"/>
        </w:rPr>
      </w:r>
    </w:p>
    <w:p>
      <w:pPr>
        <w:pBdr/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Примечание: </w:t>
      </w:r>
      <w:r>
        <w:rPr>
          <w:sz w:val="24"/>
          <w:szCs w:val="24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sz w:val="24"/>
          <w:szCs w:val="24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sz w:val="24"/>
          <w:szCs w:val="24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должен регистрационное удостоверение, сертификат соответствия (при наличии) или другой документ, подтверждающий соответствие качества Товара; сертификаты ан</w:t>
      </w:r>
      <w:r>
        <w:rPr>
          <w:sz w:val="24"/>
          <w:szCs w:val="24"/>
        </w:rPr>
        <w:t xml:space="preserve">ализа (при наличии), декларацию о соответствии (при наличии)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и упаковка товара не должны иметь ни внешних, ни внутренних повреждений. Поставляемый товар должен быть новый, не бывший в у</w:t>
      </w:r>
      <w:r>
        <w:rPr>
          <w:sz w:val="24"/>
          <w:szCs w:val="24"/>
        </w:rPr>
        <w:t xml:space="preserve">потреблении. Поставляемый товар должен иметь невскрытую упаковку, способную предотвратить товар от повреждения или порчи во время перевозки, разгрузки, передачи Заказчику и дальнейшего хранения. Упаковка и маркировка товара должна соответствовать требовани</w:t>
      </w:r>
      <w:r>
        <w:rPr>
          <w:sz w:val="24"/>
          <w:szCs w:val="24"/>
        </w:rPr>
        <w:t xml:space="preserve">ям стандартов и техническим условиям,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Упаковка (тара) това</w:t>
      </w:r>
      <w:r>
        <w:rPr>
          <w:sz w:val="24"/>
          <w:szCs w:val="24"/>
        </w:rPr>
        <w:t xml:space="preserve">ра должна отвечать требованиям безопасности жизни, здоровья и охраны окружающей среды, а также давать возможность определить количество содержащегося в ней товара (опись, упаковочные ярлыки или листы).  Упаковка товара должна отвечать требованиям ГОСТ, ТУ.</w:t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описанию объекта закупки (Техническому заданию) на поставку специальных средств защиты 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/>
      </w:pPr>
      <w:r>
        <w:rPr>
          <w:b/>
          <w:bCs/>
          <w:sz w:val="28"/>
          <w:szCs w:val="28"/>
        </w:rPr>
        <w:t xml:space="preserve">Информация по п. 5.1 Технического задания на поставку специальных средств защиты.</w:t>
      </w:r>
      <w:r/>
    </w:p>
    <w:tbl>
      <w:tblPr>
        <w:tblInd w:w="113" w:type="dxa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697"/>
        <w:gridCol w:w="3497"/>
        <w:gridCol w:w="9296"/>
        <w:gridCol w:w="1185"/>
        <w:gridCol w:w="113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9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товара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02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Описание товара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6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9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Костюм противоосколочный (куртка со съемным защитным капюшоном и высокие брюки).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ОКПД2: </w:t>
            </w:r>
            <w:r>
              <w:rPr>
                <w:color w:val="000000"/>
                <w:sz w:val="24"/>
                <w:szCs w:val="24"/>
              </w:rPr>
              <w:t xml:space="preserve">14.12.30.180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Страна производства</w:t>
            </w:r>
            <w:r>
              <w:rPr>
                <w:color w:val="000000"/>
                <w:sz w:val="24"/>
                <w:szCs w:val="24"/>
              </w:rPr>
              <w:t xml:space="preserve"> Российская Федерация».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3435" cy="212026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Без имени 2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3435" cy="21202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64.05pt;height:166.95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3435" cy="2145665"/>
                      <wp:effectExtent l="0" t="0" r="0" b="6985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Без имени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3435" cy="21456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64.05pt;height:168.95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02" w:type="dxa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Класс специальной защиты</w:t>
            </w:r>
            <w:r>
              <w:rPr>
                <w:color w:val="000000" w:themeColor="text1"/>
                <w:sz w:val="22"/>
                <w:szCs w:val="22"/>
              </w:rPr>
              <w:t xml:space="preserve"> – </w:t>
            </w: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С2</w:t>
            </w:r>
            <w:r>
              <w:rPr>
                <w:color w:val="000000" w:themeColor="text1"/>
                <w:sz w:val="22"/>
                <w:szCs w:val="22"/>
              </w:rPr>
              <w:t xml:space="preserve"> (в соответствии с ГОСТ 34286-2017). Скорость непробития – не менее </w:t>
            </w: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300 м/с</w:t>
            </w:r>
            <w:r>
              <w:rPr>
                <w:color w:val="000000" w:themeColor="text1"/>
                <w:sz w:val="22"/>
                <w:szCs w:val="22"/>
              </w:rPr>
              <w:t xml:space="preserve"> для всех элементов костюма (куртка, брюки, капюшон)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Расцветка: однотонный (не камуфлированный). .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Сертификат соответствия продукции, включенной в Единый перечень продукции РФ.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Соответствие ГОСТ 34286-2017</w:t>
            </w:r>
            <w:r>
              <w:rPr>
                <w:sz w:val="22"/>
                <w:szCs w:val="22"/>
                <w:lang w:eastAsia="en-US"/>
              </w:rPr>
              <w:t xml:space="preserve"> «Бронеодежда. Классификация и общие технические требования».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Куртка - </w:t>
            </w:r>
            <w:r>
              <w:rPr>
                <w:rStyle w:val="954"/>
                <w:b w:val="0"/>
                <w:bCs w:val="0"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color w:val="000000" w:themeColor="text1"/>
                <w:sz w:val="22"/>
                <w:szCs w:val="22"/>
              </w:rPr>
              <w:t xml:space="preserve">ставки, защищающие грудную клетку, спину, жизненно важные органы (спереди и сзади до талии). Защита локтевых и плечевых суставов.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Воротник-стойка</w:t>
            </w:r>
            <w:r>
              <w:rPr>
                <w:color w:val="000000" w:themeColor="text1"/>
                <w:sz w:val="22"/>
                <w:szCs w:val="22"/>
              </w:rPr>
              <w:t xml:space="preserve"> для защиты шеи (артерии и вены).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Капюшон - съемный</w:t>
            </w:r>
            <w:r>
              <w:rPr>
                <w:color w:val="000000" w:themeColor="text1"/>
                <w:sz w:val="22"/>
                <w:szCs w:val="22"/>
              </w:rPr>
              <w:t xml:space="preserve">, интегрируется с курткой через соединительные элементы (молния/кнопки/</w:t>
            </w:r>
            <w:r>
              <w:rPr>
                <w:color w:val="000000" w:themeColor="text1"/>
                <w:sz w:val="22"/>
                <w:szCs w:val="22"/>
              </w:rPr>
              <w:t xml:space="preserve">люверсы). Обеспечивает защиту головы (затылочная, теменная области) и шеи сзади. Регулировка по объему головы для обеспечения плотного прилегания. 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Брюки - </w:t>
            </w:r>
            <w:r>
              <w:rPr>
                <w:rStyle w:val="954"/>
                <w:b w:val="0"/>
                <w:bCs w:val="0"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color w:val="000000" w:themeColor="text1"/>
                <w:sz w:val="22"/>
                <w:szCs w:val="22"/>
              </w:rPr>
              <w:t xml:space="preserve">ставки, защищающие глубокие бедренные сосуды и нервы, коленные суставы. Сзади – защита больших ягодичных мышц. 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Материал наружного слоя - </w:t>
            </w:r>
            <w:r>
              <w:rPr>
                <w:color w:val="000000" w:themeColor="text1"/>
                <w:sz w:val="22"/>
                <w:szCs w:val="22"/>
              </w:rPr>
              <w:t xml:space="preserve">Высокопрочная мембранная ткань (100% ПЭ или эквивалент</w:t>
            </w:r>
            <w:r>
              <w:rPr>
                <w:color w:val="000000" w:themeColor="text1"/>
                <w:sz w:val="22"/>
                <w:szCs w:val="22"/>
              </w:rPr>
              <w:t xml:space="preserve">). Водонепроницаемость: не менее 8000 мм вод. ст. (3 класс защиты спецодежды), обеспечение защиты от сильного дождя в течение 8 и более часов. Устойчивость к истиранию: не менее 36000 циклов (при нагрузке 12 кПа). Прочность адгезии слоев: не расслаивается.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Материал подкладки - </w:t>
            </w:r>
            <w:r>
              <w:rPr>
                <w:color w:val="000000" w:themeColor="text1"/>
                <w:sz w:val="22"/>
                <w:szCs w:val="22"/>
              </w:rPr>
              <w:t xml:space="preserve">Хлопок 100%.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Вес комплекта – </w:t>
            </w:r>
            <w:r>
              <w:rPr>
                <w:rStyle w:val="954"/>
                <w:b w:val="0"/>
                <w:color w:val="000000" w:themeColor="text1"/>
                <w:sz w:val="22"/>
                <w:szCs w:val="22"/>
              </w:rPr>
              <w:t xml:space="preserve">не более 4,5 кг.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Размерный ряд: о</w:t>
            </w:r>
            <w:r>
              <w:rPr>
                <w:color w:val="000000" w:themeColor="text1"/>
                <w:sz w:val="22"/>
                <w:szCs w:val="22"/>
              </w:rPr>
              <w:t xml:space="preserve">т 46 до 64 размера, рост от 170 до 194 см.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Размерный ряд продукции должен соответствовать классификации по ростам, размерам и полнотным группам согласно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 </w:t>
            </w:r>
            <w:r>
              <w:rPr>
                <w:rStyle w:val="954"/>
                <w:color w:val="000000" w:themeColor="text1"/>
                <w:sz w:val="22"/>
                <w:szCs w:val="22"/>
              </w:rPr>
              <w:t xml:space="preserve">ГОСТ 31399-2009 «Классификация типовых фигур мужчин по ростам, размерам и полнотным группам для проектирования одежды».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48 — 50, </w:t>
            </w:r>
            <w:r>
              <w:rPr>
                <w:rStyle w:val="954"/>
                <w:color w:val="000000" w:themeColor="text1"/>
                <w:sz w:val="22"/>
                <w:szCs w:val="22"/>
                <w:lang w:eastAsia="en-US"/>
              </w:rPr>
              <w:t xml:space="preserve">Рост: 176 — 182 — 1 шт;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52 — 54, </w:t>
            </w:r>
            <w:r>
              <w:rPr>
                <w:rStyle w:val="954"/>
                <w:color w:val="000000" w:themeColor="text1"/>
                <w:sz w:val="22"/>
                <w:szCs w:val="22"/>
                <w:lang w:eastAsia="en-US"/>
              </w:rPr>
              <w:t xml:space="preserve">Рост: 170 — 176 — 1 шт;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rStyle w:val="954"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52 — 54, </w:t>
            </w:r>
            <w:r>
              <w:rPr>
                <w:rStyle w:val="954"/>
                <w:color w:val="000000" w:themeColor="text1"/>
                <w:sz w:val="22"/>
                <w:szCs w:val="22"/>
                <w:lang w:eastAsia="en-US"/>
              </w:rPr>
              <w:t xml:space="preserve">Рост: 176 — 182 — 1 шт;</w:t>
            </w:r>
            <w:r>
              <w:rPr>
                <w:rStyle w:val="954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rStyle w:val="954"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52 — 54, </w:t>
            </w:r>
            <w:r>
              <w:rPr>
                <w:rStyle w:val="954"/>
                <w:color w:val="000000" w:themeColor="text1"/>
                <w:sz w:val="22"/>
                <w:szCs w:val="22"/>
                <w:lang w:eastAsia="en-US"/>
              </w:rPr>
              <w:t xml:space="preserve">Рост: 188 — 194 — 1 шт;</w:t>
            </w:r>
            <w:r>
              <w:rPr>
                <w:rStyle w:val="954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5</w:t>
            </w:r>
            <w:r>
              <w:rPr>
                <w:rStyle w:val="954"/>
                <w:color w:val="000000" w:themeColor="text1"/>
                <w:sz w:val="22"/>
                <w:szCs w:val="22"/>
                <w:lang w:eastAsia="en-US"/>
              </w:rPr>
              <w:t xml:space="preserve">6 — 58, Рост: 176 — 182 — 2 шт;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6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bookmarkStart w:id="0" w:name="_GoBack"/>
            <w:r/>
            <w:bookmarkEnd w:id="0"/>
            <w:r/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sectPr>
      <w:footnotePr/>
      <w:endnotePr/>
      <w:type w:val="nextPage"/>
      <w:pgSz w:h="11906" w:orient="landscape" w:w="16838"/>
      <w:pgMar w:top="567" w:right="510" w:bottom="567" w:left="510" w:header="0" w:footer="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Liberation Serif">
    <w:panose1 w:val="02020603050405020304"/>
  </w:font>
  <w:font w:name="Symbol">
    <w:panose1 w:val="05050102010706020507"/>
  </w:font>
  <w:font w:name="SimSun">
    <w:panose1 w:val="02010600030101010101"/>
  </w:font>
  <w:font w:name="Microsoft YaHei">
    <w:panose1 w:val="020B0503020204020204"/>
  </w:font>
  <w:font w:name="Liberation Sans">
    <w:panose1 w:val="020B0604020202020204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Mangal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1B344A"/>
    <w:lvl w:ilvl="0">
      <w:isLgl w:val="false"/>
      <w:lvlJc w:val="left"/>
      <w:lvlText w:val="%1."/>
      <w:numFmt w:val="decimal"/>
      <w:pPr>
        <w:pBdr/>
        <w:spacing/>
        <w:ind w:firstLine="708" w:left="143"/>
      </w:pPr>
      <w:rPr>
        <w:b/>
        <w:bCs/>
        <w:sz w:val="24"/>
        <w:szCs w:val="24"/>
      </w:rPr>
      <w:start w:val="1"/>
      <w:suff w:val="space"/>
    </w:lvl>
    <w:lvl w:ilvl="1">
      <w:isLgl w:val="true"/>
      <w:lvlJc w:val="left"/>
      <w:lvlText w:val="%1.%2."/>
      <w:numFmt w:val="decimal"/>
      <w:pPr>
        <w:pBdr/>
        <w:spacing/>
        <w:ind w:hanging="540" w:left="1391"/>
      </w:pPr>
      <w:rPr>
        <w:b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571"/>
      </w:pPr>
      <w:rPr>
        <w:b/>
      </w:rPr>
      <w:start w:val="2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571"/>
      </w:pPr>
      <w:rPr>
        <w:b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931"/>
      </w:pPr>
      <w:rPr>
        <w:b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931"/>
      </w:pPr>
      <w:rPr>
        <w:b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291"/>
      </w:pPr>
      <w:rPr>
        <w:b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291"/>
      </w:pPr>
      <w:rPr>
        <w:b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651"/>
      </w:pPr>
      <w:rPr>
        <w:b/>
      </w:rPr>
      <w:start w:val="1"/>
      <w:suff w:val="tab"/>
    </w:lvl>
  </w:abstractNum>
  <w:abstractNum w:abstractNumId="1">
    <w:nsid w:val="665C22F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Times New Roman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7EA96496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 w:default="1">
    <w:name w:val="Normal"/>
    <w:qFormat/>
    <w:pPr>
      <w:widowControl w:val="false"/>
      <w:pBdr/>
      <w:spacing/>
      <w:ind/>
    </w:pPr>
  </w:style>
  <w:style w:type="paragraph" w:styleId="707">
    <w:name w:val="Heading 1"/>
    <w:basedOn w:val="706"/>
    <w:next w:val="706"/>
    <w:link w:val="74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08">
    <w:name w:val="Heading 2"/>
    <w:basedOn w:val="706"/>
    <w:next w:val="706"/>
    <w:link w:val="74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09">
    <w:name w:val="Heading 3"/>
    <w:basedOn w:val="706"/>
    <w:next w:val="706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0">
    <w:name w:val="Heading 4"/>
    <w:basedOn w:val="706"/>
    <w:next w:val="706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706"/>
    <w:next w:val="706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706"/>
    <w:next w:val="706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706"/>
    <w:next w:val="706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706"/>
    <w:next w:val="706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706"/>
    <w:next w:val="706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 w:default="1">
    <w:name w:val="Default Paragraph Font"/>
    <w:uiPriority w:val="1"/>
    <w:semiHidden/>
    <w:unhideWhenUsed/>
    <w:pPr>
      <w:pBdr/>
      <w:spacing/>
      <w:ind/>
    </w:pPr>
  </w:style>
  <w:style w:type="table" w:styleId="71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8" w:default="1">
    <w:name w:val="No List"/>
    <w:uiPriority w:val="99"/>
    <w:semiHidden/>
    <w:unhideWhenUsed/>
    <w:pPr>
      <w:pBdr/>
      <w:spacing/>
      <w:ind/>
    </w:pPr>
  </w:style>
  <w:style w:type="character" w:styleId="719">
    <w:name w:val="Intense Emphasis"/>
    <w:basedOn w:val="71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0">
    <w:name w:val="Intense Reference"/>
    <w:basedOn w:val="71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21">
    <w:name w:val="Subtle Emphasis"/>
    <w:basedOn w:val="71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2">
    <w:name w:val="Emphasis"/>
    <w:basedOn w:val="716"/>
    <w:uiPriority w:val="20"/>
    <w:qFormat/>
    <w:pPr>
      <w:pBdr/>
      <w:spacing/>
      <w:ind/>
    </w:pPr>
    <w:rPr>
      <w:i/>
      <w:iCs/>
    </w:rPr>
  </w:style>
  <w:style w:type="character" w:styleId="723">
    <w:name w:val="Subtle Reference"/>
    <w:basedOn w:val="71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4">
    <w:name w:val="Book Title"/>
    <w:basedOn w:val="71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5">
    <w:name w:val="FollowedHyperlink"/>
    <w:basedOn w:val="71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26">
    <w:name w:val="Placeholder Text"/>
    <w:basedOn w:val="716"/>
    <w:uiPriority w:val="99"/>
    <w:semiHidden/>
    <w:pPr>
      <w:pBdr/>
      <w:spacing/>
      <w:ind/>
    </w:pPr>
    <w:rPr>
      <w:color w:val="666666"/>
    </w:rPr>
  </w:style>
  <w:style w:type="character" w:styleId="727" w:customStyle="1">
    <w:name w:val="Heading 1 Char"/>
    <w:basedOn w:val="71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8" w:customStyle="1">
    <w:name w:val="Heading 2 Char"/>
    <w:basedOn w:val="71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29" w:customStyle="1">
    <w:name w:val="Heading 3 Char"/>
    <w:basedOn w:val="71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0" w:customStyle="1">
    <w:name w:val="Heading 4 Char"/>
    <w:basedOn w:val="71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Heading 5 Char"/>
    <w:basedOn w:val="71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2" w:customStyle="1">
    <w:name w:val="Heading 6 Char"/>
    <w:basedOn w:val="71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3" w:customStyle="1">
    <w:name w:val="Heading 7 Char"/>
    <w:basedOn w:val="71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 w:customStyle="1">
    <w:name w:val="Heading 8 Char"/>
    <w:basedOn w:val="71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5" w:customStyle="1">
    <w:name w:val="Heading 9 Char"/>
    <w:basedOn w:val="71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36" w:customStyle="1">
    <w:name w:val="Title Char"/>
    <w:basedOn w:val="716"/>
    <w:uiPriority w:val="10"/>
    <w:pPr>
      <w:pBdr/>
      <w:spacing/>
      <w:ind/>
    </w:pPr>
    <w:rPr>
      <w:sz w:val="48"/>
      <w:szCs w:val="48"/>
    </w:rPr>
  </w:style>
  <w:style w:type="character" w:styleId="737" w:customStyle="1">
    <w:name w:val="Subtitle Char"/>
    <w:basedOn w:val="716"/>
    <w:uiPriority w:val="11"/>
    <w:pPr>
      <w:pBdr/>
      <w:spacing/>
      <w:ind/>
    </w:pPr>
    <w:rPr>
      <w:sz w:val="24"/>
      <w:szCs w:val="24"/>
    </w:rPr>
  </w:style>
  <w:style w:type="character" w:styleId="738" w:customStyle="1">
    <w:name w:val="Quote Char"/>
    <w:uiPriority w:val="29"/>
    <w:pPr>
      <w:pBdr/>
      <w:spacing/>
      <w:ind/>
    </w:pPr>
    <w:rPr>
      <w:i/>
    </w:rPr>
  </w:style>
  <w:style w:type="character" w:styleId="739" w:customStyle="1">
    <w:name w:val="Intense Quote Char"/>
    <w:uiPriority w:val="30"/>
    <w:pPr>
      <w:pBdr/>
      <w:spacing/>
      <w:ind/>
    </w:pPr>
    <w:rPr>
      <w:i/>
    </w:rPr>
  </w:style>
  <w:style w:type="character" w:styleId="740" w:customStyle="1">
    <w:name w:val="Header Char"/>
    <w:basedOn w:val="716"/>
    <w:uiPriority w:val="99"/>
    <w:pPr>
      <w:pBdr/>
      <w:spacing/>
      <w:ind/>
    </w:pPr>
  </w:style>
  <w:style w:type="character" w:styleId="741" w:customStyle="1">
    <w:name w:val="Footer Char"/>
    <w:basedOn w:val="716"/>
    <w:uiPriority w:val="99"/>
    <w:pPr>
      <w:pBdr/>
      <w:spacing/>
      <w:ind/>
    </w:pPr>
  </w:style>
  <w:style w:type="character" w:styleId="742" w:customStyle="1">
    <w:name w:val="Caption Char"/>
    <w:basedOn w:val="716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43" w:customStyle="1">
    <w:name w:val="Footnote Text Char"/>
    <w:uiPriority w:val="99"/>
    <w:pPr>
      <w:pBdr/>
      <w:spacing/>
      <w:ind/>
    </w:pPr>
    <w:rPr>
      <w:sz w:val="18"/>
    </w:rPr>
  </w:style>
  <w:style w:type="character" w:styleId="744" w:customStyle="1">
    <w:name w:val="Endnote Text Char"/>
    <w:uiPriority w:val="99"/>
    <w:pPr>
      <w:pBdr/>
      <w:spacing/>
      <w:ind/>
    </w:pPr>
    <w:rPr>
      <w:sz w:val="20"/>
    </w:rPr>
  </w:style>
  <w:style w:type="character" w:styleId="745" w:customStyle="1">
    <w:name w:val="Заголовок 1 Знак"/>
    <w:basedOn w:val="716"/>
    <w:link w:val="70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6" w:customStyle="1">
    <w:name w:val="Заголовок 2 Знак"/>
    <w:basedOn w:val="716"/>
    <w:link w:val="70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7" w:customStyle="1">
    <w:name w:val="Заголовок 3 Знак"/>
    <w:basedOn w:val="716"/>
    <w:link w:val="70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8" w:customStyle="1">
    <w:name w:val="Заголовок 4 Знак"/>
    <w:basedOn w:val="716"/>
    <w:link w:val="71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Заголовок 5 Знак"/>
    <w:basedOn w:val="716"/>
    <w:link w:val="71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Заголовок 6 Знак"/>
    <w:basedOn w:val="716"/>
    <w:link w:val="71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716"/>
    <w:link w:val="71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716"/>
    <w:link w:val="71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716"/>
    <w:link w:val="71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Заголовок Знак"/>
    <w:basedOn w:val="716"/>
    <w:link w:val="924"/>
    <w:uiPriority w:val="10"/>
    <w:pPr>
      <w:pBdr/>
      <w:spacing/>
      <w:ind/>
    </w:pPr>
    <w:rPr>
      <w:sz w:val="48"/>
      <w:szCs w:val="48"/>
    </w:rPr>
  </w:style>
  <w:style w:type="paragraph" w:styleId="755">
    <w:name w:val="Subtitle"/>
    <w:basedOn w:val="706"/>
    <w:next w:val="706"/>
    <w:link w:val="75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6" w:customStyle="1">
    <w:name w:val="Подзаголовок Знак"/>
    <w:basedOn w:val="716"/>
    <w:link w:val="755"/>
    <w:uiPriority w:val="11"/>
    <w:pPr>
      <w:pBdr/>
      <w:spacing/>
      <w:ind/>
    </w:pPr>
    <w:rPr>
      <w:sz w:val="24"/>
      <w:szCs w:val="24"/>
    </w:rPr>
  </w:style>
  <w:style w:type="paragraph" w:styleId="757">
    <w:name w:val="Quote"/>
    <w:basedOn w:val="706"/>
    <w:next w:val="706"/>
    <w:link w:val="758"/>
    <w:uiPriority w:val="29"/>
    <w:qFormat/>
    <w:pPr>
      <w:pBdr/>
      <w:spacing/>
      <w:ind w:right="720" w:left="720"/>
    </w:pPr>
    <w:rPr>
      <w:i/>
    </w:rPr>
  </w:style>
  <w:style w:type="character" w:styleId="758" w:customStyle="1">
    <w:name w:val="Цитата 2 Знак"/>
    <w:link w:val="757"/>
    <w:uiPriority w:val="29"/>
    <w:pPr>
      <w:pBdr/>
      <w:spacing/>
      <w:ind/>
    </w:pPr>
    <w:rPr>
      <w:i/>
    </w:rPr>
  </w:style>
  <w:style w:type="paragraph" w:styleId="759">
    <w:name w:val="Intense Quote"/>
    <w:basedOn w:val="706"/>
    <w:next w:val="706"/>
    <w:link w:val="76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0" w:customStyle="1">
    <w:name w:val="Выделенная цитата Знак"/>
    <w:link w:val="759"/>
    <w:uiPriority w:val="30"/>
    <w:pPr>
      <w:pBdr/>
      <w:spacing/>
      <w:ind/>
    </w:pPr>
    <w:rPr>
      <w:i/>
    </w:rPr>
  </w:style>
  <w:style w:type="character" w:styleId="761" w:customStyle="1">
    <w:name w:val="Верхний колонтитул Знак1"/>
    <w:basedOn w:val="716"/>
    <w:link w:val="931"/>
    <w:uiPriority w:val="99"/>
    <w:pPr>
      <w:pBdr/>
      <w:spacing/>
      <w:ind/>
    </w:pPr>
  </w:style>
  <w:style w:type="character" w:styleId="762" w:customStyle="1">
    <w:name w:val="Нижний колонтитул Знак1"/>
    <w:basedOn w:val="716"/>
    <w:link w:val="940"/>
    <w:uiPriority w:val="99"/>
    <w:pPr>
      <w:pBdr/>
      <w:spacing/>
      <w:ind/>
    </w:pPr>
  </w:style>
  <w:style w:type="character" w:styleId="763" w:customStyle="1">
    <w:name w:val="Название объекта Знак"/>
    <w:basedOn w:val="716"/>
    <w:link w:val="927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64" w:customStyle="1">
    <w:name w:val="Table Grid Light"/>
    <w:basedOn w:val="71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1"/>
    <w:basedOn w:val="71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2"/>
    <w:basedOn w:val="71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3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4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5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1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2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3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4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5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6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1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2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3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4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5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6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"/>
    <w:basedOn w:val="71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1"/>
    <w:basedOn w:val="717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2"/>
    <w:basedOn w:val="717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3"/>
    <w:basedOn w:val="717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4"/>
    <w:basedOn w:val="717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5"/>
    <w:basedOn w:val="717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6"/>
    <w:basedOn w:val="717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1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2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3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4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5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6"/>
    <w:basedOn w:val="717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1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2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3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4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5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6"/>
    <w:basedOn w:val="7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"/>
    <w:basedOn w:val="71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1"/>
    <w:basedOn w:val="717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2"/>
    <w:basedOn w:val="717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3"/>
    <w:basedOn w:val="717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4"/>
    <w:basedOn w:val="717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5"/>
    <w:basedOn w:val="717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6"/>
    <w:basedOn w:val="717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1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2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3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4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5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6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1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2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3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4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5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6"/>
    <w:basedOn w:val="71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1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2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3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4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5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6"/>
    <w:basedOn w:val="717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 w:customStyle="1">
    <w:name w:val="Текст сноски Знак1"/>
    <w:link w:val="939"/>
    <w:uiPriority w:val="99"/>
    <w:pPr>
      <w:pBdr/>
      <w:spacing/>
      <w:ind/>
    </w:pPr>
    <w:rPr>
      <w:sz w:val="18"/>
    </w:rPr>
  </w:style>
  <w:style w:type="character" w:styleId="890">
    <w:name w:val="footnote reference"/>
    <w:basedOn w:val="716"/>
    <w:uiPriority w:val="99"/>
    <w:unhideWhenUsed/>
    <w:pPr>
      <w:pBdr/>
      <w:spacing/>
      <w:ind/>
    </w:pPr>
    <w:rPr>
      <w:vertAlign w:val="superscript"/>
    </w:rPr>
  </w:style>
  <w:style w:type="character" w:styleId="891" w:customStyle="1">
    <w:name w:val="Текст концевой сноски Знак1"/>
    <w:link w:val="935"/>
    <w:uiPriority w:val="99"/>
    <w:pPr>
      <w:pBdr/>
      <w:spacing/>
      <w:ind/>
    </w:pPr>
    <w:rPr>
      <w:sz w:val="20"/>
    </w:rPr>
  </w:style>
  <w:style w:type="character" w:styleId="892">
    <w:name w:val="endnote reference"/>
    <w:basedOn w:val="716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toc 2"/>
    <w:basedOn w:val="706"/>
    <w:next w:val="706"/>
    <w:uiPriority w:val="39"/>
    <w:unhideWhenUsed/>
    <w:pPr>
      <w:pBdr/>
      <w:spacing w:after="57"/>
      <w:ind w:left="283"/>
    </w:pPr>
  </w:style>
  <w:style w:type="paragraph" w:styleId="894">
    <w:name w:val="toc 3"/>
    <w:basedOn w:val="706"/>
    <w:next w:val="706"/>
    <w:uiPriority w:val="39"/>
    <w:unhideWhenUsed/>
    <w:pPr>
      <w:pBdr/>
      <w:spacing w:after="57"/>
      <w:ind w:left="567"/>
    </w:pPr>
  </w:style>
  <w:style w:type="paragraph" w:styleId="895">
    <w:name w:val="toc 4"/>
    <w:basedOn w:val="706"/>
    <w:next w:val="706"/>
    <w:uiPriority w:val="39"/>
    <w:unhideWhenUsed/>
    <w:pPr>
      <w:pBdr/>
      <w:spacing w:after="57"/>
      <w:ind w:left="850"/>
    </w:pPr>
  </w:style>
  <w:style w:type="paragraph" w:styleId="896">
    <w:name w:val="toc 5"/>
    <w:basedOn w:val="706"/>
    <w:next w:val="706"/>
    <w:uiPriority w:val="39"/>
    <w:unhideWhenUsed/>
    <w:pPr>
      <w:pBdr/>
      <w:spacing w:after="57"/>
      <w:ind w:left="1134"/>
    </w:pPr>
  </w:style>
  <w:style w:type="paragraph" w:styleId="897">
    <w:name w:val="toc 6"/>
    <w:basedOn w:val="706"/>
    <w:next w:val="706"/>
    <w:uiPriority w:val="39"/>
    <w:unhideWhenUsed/>
    <w:pPr>
      <w:pBdr/>
      <w:spacing w:after="57"/>
      <w:ind w:left="1417"/>
    </w:pPr>
  </w:style>
  <w:style w:type="paragraph" w:styleId="898">
    <w:name w:val="toc 7"/>
    <w:basedOn w:val="706"/>
    <w:next w:val="706"/>
    <w:uiPriority w:val="39"/>
    <w:unhideWhenUsed/>
    <w:pPr>
      <w:pBdr/>
      <w:spacing w:after="57"/>
      <w:ind w:left="1701"/>
    </w:pPr>
  </w:style>
  <w:style w:type="paragraph" w:styleId="899">
    <w:name w:val="toc 8"/>
    <w:basedOn w:val="706"/>
    <w:next w:val="706"/>
    <w:uiPriority w:val="39"/>
    <w:unhideWhenUsed/>
    <w:pPr>
      <w:pBdr/>
      <w:spacing w:after="57"/>
      <w:ind w:left="1984"/>
    </w:pPr>
  </w:style>
  <w:style w:type="paragraph" w:styleId="900">
    <w:name w:val="toc 9"/>
    <w:basedOn w:val="706"/>
    <w:next w:val="706"/>
    <w:uiPriority w:val="39"/>
    <w:unhideWhenUsed/>
    <w:pPr>
      <w:pBdr/>
      <w:spacing w:after="57"/>
      <w:ind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706"/>
    <w:next w:val="706"/>
    <w:uiPriority w:val="99"/>
    <w:unhideWhenUsed/>
    <w:pPr>
      <w:pBdr/>
      <w:spacing/>
      <w:ind/>
    </w:pPr>
  </w:style>
  <w:style w:type="character" w:styleId="903" w:customStyle="1">
    <w:name w:val="Интернет-ссылка"/>
    <w:basedOn w:val="716"/>
    <w:uiPriority w:val="99"/>
    <w:semiHidden/>
    <w:pPr>
      <w:pBdr/>
      <w:spacing/>
      <w:ind/>
    </w:pPr>
    <w:rPr>
      <w:rFonts w:ascii="Times New Roman" w:hAnsi="Times New Roman" w:cs="Times New Roman"/>
      <w:color w:val="0000ff"/>
      <w:u w:val="single"/>
    </w:rPr>
  </w:style>
  <w:style w:type="character" w:styleId="904" w:customStyle="1">
    <w:name w:val="Body Text Char"/>
    <w:uiPriority w:val="99"/>
    <w:qFormat/>
    <w:pPr>
      <w:pBdr/>
      <w:spacing/>
      <w:ind/>
    </w:pPr>
    <w:rPr>
      <w:rFonts w:ascii="Calibri" w:hAnsi="Calibri"/>
      <w:sz w:val="24"/>
      <w:lang w:val="ru-RU" w:eastAsia="ru-RU"/>
    </w:rPr>
  </w:style>
  <w:style w:type="character" w:styleId="905" w:customStyle="1">
    <w:name w:val="Основной текст Знак"/>
    <w:basedOn w:val="716"/>
    <w:uiPriority w:val="99"/>
    <w:semiHidden/>
    <w:qFormat/>
    <w:pPr>
      <w:pBdr/>
      <w:spacing/>
      <w:ind/>
    </w:pPr>
    <w:rPr>
      <w:rFonts w:cs="Times New Roman"/>
      <w:sz w:val="20"/>
      <w:szCs w:val="20"/>
    </w:rPr>
  </w:style>
  <w:style w:type="character" w:styleId="906" w:customStyle="1">
    <w:name w:val="Body Text 2 Char"/>
    <w:uiPriority w:val="99"/>
    <w:semiHidden/>
    <w:qFormat/>
    <w:pPr>
      <w:pBdr/>
      <w:spacing/>
      <w:ind/>
    </w:pPr>
    <w:rPr>
      <w:rFonts w:ascii="Calibri" w:hAnsi="Calibri"/>
      <w:lang w:val="ru-RU" w:eastAsia="ru-RU"/>
    </w:rPr>
  </w:style>
  <w:style w:type="character" w:styleId="907" w:customStyle="1">
    <w:name w:val="Основной текст 2 Знак"/>
    <w:basedOn w:val="716"/>
    <w:link w:val="907"/>
    <w:uiPriority w:val="99"/>
    <w:semiHidden/>
    <w:qFormat/>
    <w:pPr>
      <w:pBdr/>
      <w:spacing/>
      <w:ind/>
    </w:pPr>
    <w:rPr>
      <w:rFonts w:cs="Times New Roman"/>
      <w:sz w:val="20"/>
      <w:szCs w:val="20"/>
    </w:rPr>
  </w:style>
  <w:style w:type="character" w:styleId="908" w:customStyle="1">
    <w:name w:val="Верхний колонтитул Знак"/>
    <w:basedOn w:val="716"/>
    <w:uiPriority w:val="99"/>
    <w:qFormat/>
    <w:pPr>
      <w:pBdr/>
      <w:spacing/>
      <w:ind/>
    </w:pPr>
    <w:rPr>
      <w:rFonts w:cs="Times New Roman"/>
      <w:sz w:val="20"/>
      <w:szCs w:val="20"/>
    </w:rPr>
  </w:style>
  <w:style w:type="character" w:styleId="909">
    <w:name w:val="page number"/>
    <w:basedOn w:val="716"/>
    <w:uiPriority w:val="99"/>
    <w:qFormat/>
    <w:pPr>
      <w:pBdr/>
      <w:spacing/>
      <w:ind/>
    </w:pPr>
    <w:rPr>
      <w:rFonts w:cs="Times New Roman"/>
    </w:rPr>
  </w:style>
  <w:style w:type="character" w:styleId="910" w:customStyle="1">
    <w:name w:val="Основной текст 3 Знак"/>
    <w:basedOn w:val="716"/>
    <w:link w:val="910"/>
    <w:uiPriority w:val="99"/>
    <w:semiHidden/>
    <w:qFormat/>
    <w:pPr>
      <w:pBdr/>
      <w:spacing/>
      <w:ind/>
    </w:pPr>
    <w:rPr>
      <w:rFonts w:cs="Times New Roman"/>
      <w:sz w:val="16"/>
      <w:szCs w:val="16"/>
    </w:rPr>
  </w:style>
  <w:style w:type="character" w:styleId="911" w:customStyle="1">
    <w:name w:val="Текст концевой сноски Знак"/>
    <w:basedOn w:val="716"/>
    <w:semiHidden/>
    <w:qFormat/>
    <w:pPr>
      <w:pBdr/>
      <w:spacing/>
      <w:ind/>
    </w:pPr>
    <w:rPr>
      <w:rFonts w:cs="Times New Roman"/>
      <w:sz w:val="20"/>
      <w:szCs w:val="20"/>
    </w:rPr>
  </w:style>
  <w:style w:type="character" w:styleId="912" w:customStyle="1">
    <w:name w:val="Привязка концевой сноски"/>
    <w:pPr>
      <w:pBdr/>
      <w:spacing/>
      <w:ind/>
    </w:pPr>
    <w:rPr>
      <w:rFonts w:cs="Times New Roman"/>
      <w:vertAlign w:val="superscript"/>
    </w:rPr>
  </w:style>
  <w:style w:type="character" w:styleId="913" w:customStyle="1">
    <w:name w:val="Endnote Characters"/>
    <w:basedOn w:val="716"/>
    <w:uiPriority w:val="99"/>
    <w:semiHidden/>
    <w:qFormat/>
    <w:pPr>
      <w:pBdr/>
      <w:spacing/>
      <w:ind/>
    </w:pPr>
    <w:rPr>
      <w:rFonts w:cs="Times New Roman"/>
      <w:vertAlign w:val="superscript"/>
    </w:rPr>
  </w:style>
  <w:style w:type="character" w:styleId="914" w:customStyle="1">
    <w:name w:val="Текст выноски Знак"/>
    <w:basedOn w:val="716"/>
    <w:uiPriority w:val="99"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915" w:customStyle="1">
    <w:name w:val="Текст сноски Знак"/>
    <w:basedOn w:val="716"/>
    <w:qFormat/>
    <w:pPr>
      <w:pBdr/>
      <w:spacing/>
      <w:ind/>
    </w:pPr>
  </w:style>
  <w:style w:type="character" w:styleId="916" w:customStyle="1">
    <w:name w:val="Привязка сноски"/>
    <w:pPr>
      <w:pBdr/>
      <w:spacing/>
      <w:ind/>
    </w:pPr>
    <w:rPr>
      <w:vertAlign w:val="superscript"/>
    </w:rPr>
  </w:style>
  <w:style w:type="character" w:styleId="917" w:customStyle="1">
    <w:name w:val="Footnote Characters"/>
    <w:basedOn w:val="716"/>
    <w:uiPriority w:val="99"/>
    <w:unhideWhenUsed/>
    <w:qFormat/>
    <w:pPr>
      <w:pBdr/>
      <w:spacing/>
      <w:ind/>
    </w:pPr>
    <w:rPr>
      <w:vertAlign w:val="superscript"/>
    </w:rPr>
  </w:style>
  <w:style w:type="character" w:styleId="918" w:customStyle="1">
    <w:name w:val="Нижний колонтитул Знак"/>
    <w:basedOn w:val="716"/>
    <w:uiPriority w:val="99"/>
    <w:semiHidden/>
    <w:qFormat/>
    <w:pPr>
      <w:pBdr/>
      <w:spacing/>
      <w:ind/>
    </w:pPr>
  </w:style>
  <w:style w:type="character" w:styleId="919">
    <w:name w:val="annotation reference"/>
    <w:basedOn w:val="716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920" w:customStyle="1">
    <w:name w:val="Текст примечания Знак"/>
    <w:basedOn w:val="716"/>
    <w:uiPriority w:val="99"/>
    <w:semiHidden/>
    <w:qFormat/>
    <w:pPr>
      <w:pBdr/>
      <w:spacing/>
      <w:ind/>
    </w:pPr>
  </w:style>
  <w:style w:type="character" w:styleId="921" w:customStyle="1">
    <w:name w:val="Тема примечания Знак"/>
    <w:basedOn w:val="920"/>
    <w:uiPriority w:val="99"/>
    <w:semiHidden/>
    <w:qFormat/>
    <w:pPr>
      <w:pBdr/>
      <w:spacing/>
      <w:ind/>
    </w:pPr>
    <w:rPr>
      <w:b/>
      <w:bCs/>
    </w:rPr>
  </w:style>
  <w:style w:type="character" w:styleId="922" w:customStyle="1">
    <w:name w:val="Символ сноски"/>
    <w:qFormat/>
    <w:pPr>
      <w:pBdr/>
      <w:spacing/>
      <w:ind/>
    </w:pPr>
  </w:style>
  <w:style w:type="character" w:styleId="923" w:customStyle="1">
    <w:name w:val="Символ концевой сноски"/>
    <w:qFormat/>
    <w:pPr>
      <w:pBdr/>
      <w:spacing/>
      <w:ind/>
    </w:pPr>
  </w:style>
  <w:style w:type="paragraph" w:styleId="924">
    <w:name w:val="Title"/>
    <w:basedOn w:val="706"/>
    <w:next w:val="925"/>
    <w:link w:val="754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25">
    <w:name w:val="Body Text"/>
    <w:basedOn w:val="706"/>
    <w:uiPriority w:val="99"/>
    <w:pPr>
      <w:widowControl w:val="true"/>
      <w:pBdr/>
      <w:spacing/>
      <w:ind/>
      <w:jc w:val="center"/>
    </w:pPr>
    <w:rPr>
      <w:rFonts w:ascii="Calibri" w:hAnsi="Calibri"/>
      <w:sz w:val="24"/>
      <w:szCs w:val="24"/>
    </w:rPr>
  </w:style>
  <w:style w:type="paragraph" w:styleId="926">
    <w:name w:val="List"/>
    <w:basedOn w:val="925"/>
    <w:pPr>
      <w:pBdr/>
      <w:spacing/>
      <w:ind/>
    </w:pPr>
    <w:rPr>
      <w:rFonts w:cs="Arial"/>
    </w:rPr>
  </w:style>
  <w:style w:type="paragraph" w:styleId="927">
    <w:name w:val="Caption"/>
    <w:basedOn w:val="706"/>
    <w:link w:val="763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8">
    <w:name w:val="index heading"/>
    <w:basedOn w:val="706"/>
    <w:qFormat/>
    <w:pPr>
      <w:suppressLineNumbers w:val="true"/>
      <w:pBdr/>
      <w:spacing/>
      <w:ind/>
    </w:pPr>
    <w:rPr>
      <w:rFonts w:cs="Arial"/>
    </w:rPr>
  </w:style>
  <w:style w:type="paragraph" w:styleId="929">
    <w:name w:val="Body Text 2"/>
    <w:basedOn w:val="706"/>
    <w:uiPriority w:val="99"/>
    <w:semiHidden/>
    <w:qFormat/>
    <w:pPr>
      <w:pBdr/>
      <w:spacing w:after="120" w:line="480" w:lineRule="auto"/>
      <w:ind/>
    </w:pPr>
    <w:rPr>
      <w:rFonts w:ascii="Calibri" w:hAnsi="Calibri"/>
    </w:rPr>
  </w:style>
  <w:style w:type="paragraph" w:styleId="930" w:customStyle="1">
    <w:name w:val="ConsNormal"/>
    <w:uiPriority w:val="99"/>
    <w:qFormat/>
    <w:pPr>
      <w:pBdr/>
      <w:spacing/>
      <w:ind w:right="19772" w:firstLine="720"/>
    </w:pPr>
    <w:rPr>
      <w:rFonts w:ascii="Arial" w:hAnsi="Arial" w:cs="Arial"/>
    </w:rPr>
  </w:style>
  <w:style w:type="paragraph" w:styleId="931">
    <w:name w:val="Header"/>
    <w:basedOn w:val="706"/>
    <w:link w:val="761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32" w:customStyle="1">
    <w:name w:val="Знак Знак Знак1 Знак Знак Знак Знак"/>
    <w:basedOn w:val="706"/>
    <w:uiPriority w:val="99"/>
    <w:qFormat/>
    <w:pPr>
      <w:widowControl w:val="true"/>
      <w:pBdr/>
      <w:spacing w:afterAutospacing="1" w:beforeAutospacing="1"/>
      <w:ind/>
    </w:pPr>
    <w:rPr>
      <w:rFonts w:ascii="Tahoma" w:hAnsi="Tahoma"/>
      <w:lang w:val="en-US" w:eastAsia="en-US"/>
    </w:rPr>
  </w:style>
  <w:style w:type="paragraph" w:styleId="933">
    <w:name w:val="toc 1"/>
    <w:basedOn w:val="706"/>
    <w:next w:val="706"/>
    <w:uiPriority w:val="99"/>
    <w:semiHidden/>
    <w:pPr>
      <w:widowControl w:val="true"/>
      <w:pBdr/>
      <w:tabs>
        <w:tab w:val="left" w:leader="none" w:pos="480"/>
        <w:tab w:val="left" w:leader="none" w:pos="1440"/>
        <w:tab w:val="right" w:leader="dot" w:pos="10148"/>
      </w:tabs>
      <w:spacing w:before="100" w:line="240" w:lineRule="exact"/>
      <w:ind/>
      <w:jc w:val="both"/>
    </w:pPr>
    <w:rPr>
      <w:b/>
      <w:bCs/>
      <w:caps/>
      <w:sz w:val="28"/>
      <w:szCs w:val="28"/>
      <w:lang w:val="en-US"/>
    </w:rPr>
  </w:style>
  <w:style w:type="paragraph" w:styleId="934">
    <w:name w:val="Body Text 3"/>
    <w:basedOn w:val="706"/>
    <w:uiPriority w:val="99"/>
    <w:qFormat/>
    <w:pPr>
      <w:pBdr/>
      <w:spacing w:after="120"/>
      <w:ind/>
    </w:pPr>
    <w:rPr>
      <w:rFonts w:ascii="Arial" w:hAnsi="Arial" w:cs="Arial"/>
      <w:sz w:val="16"/>
      <w:szCs w:val="16"/>
    </w:rPr>
  </w:style>
  <w:style w:type="paragraph" w:styleId="935">
    <w:name w:val="endnote text"/>
    <w:basedOn w:val="706"/>
    <w:link w:val="891"/>
    <w:semiHidden/>
    <w:pPr>
      <w:pBdr/>
      <w:spacing/>
      <w:ind/>
    </w:pPr>
  </w:style>
  <w:style w:type="paragraph" w:styleId="936" w:customStyle="1">
    <w:name w:val="Знак Знак Знак1 Знак"/>
    <w:basedOn w:val="706"/>
    <w:uiPriority w:val="99"/>
    <w:qFormat/>
    <w:pPr>
      <w:widowControl w:val="true"/>
      <w:pBdr/>
      <w:spacing w:afterAutospacing="1" w:beforeAutospacing="1"/>
      <w:ind/>
    </w:pPr>
    <w:rPr>
      <w:rFonts w:ascii="Tahoma" w:hAnsi="Tahoma"/>
      <w:lang w:val="en-US" w:eastAsia="en-US"/>
    </w:rPr>
  </w:style>
  <w:style w:type="paragraph" w:styleId="937">
    <w:name w:val="Balloon Text"/>
    <w:basedOn w:val="706"/>
    <w:uiPriority w:val="99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38" w:customStyle="1">
    <w:name w:val="ConsPlusNormal"/>
    <w:qFormat/>
    <w:pPr>
      <w:widowControl w:val="false"/>
      <w:pBdr/>
      <w:spacing/>
      <w:ind/>
    </w:pPr>
    <w:rPr>
      <w:rFonts w:ascii="Arial" w:hAnsi="Arial" w:cs="Arial"/>
    </w:rPr>
  </w:style>
  <w:style w:type="paragraph" w:styleId="939">
    <w:name w:val="footnote text"/>
    <w:basedOn w:val="706"/>
    <w:link w:val="889"/>
    <w:unhideWhenUsed/>
    <w:pPr>
      <w:pBdr/>
      <w:spacing/>
      <w:ind/>
    </w:pPr>
  </w:style>
  <w:style w:type="paragraph" w:styleId="940">
    <w:name w:val="Footer"/>
    <w:basedOn w:val="706"/>
    <w:link w:val="76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41">
    <w:name w:val="List Paragraph"/>
    <w:basedOn w:val="706"/>
    <w:link w:val="952"/>
    <w:uiPriority w:val="34"/>
    <w:qFormat/>
    <w:pPr>
      <w:pBdr/>
      <w:spacing/>
      <w:ind w:left="720"/>
      <w:contextualSpacing w:val="true"/>
    </w:pPr>
  </w:style>
  <w:style w:type="paragraph" w:styleId="942" w:customStyle="1">
    <w:name w:val="Style1"/>
    <w:qFormat/>
    <w:pPr>
      <w:widowControl w:val="false"/>
      <w:pBdr/>
      <w:spacing/>
      <w:ind/>
    </w:pPr>
    <w:rPr>
      <w:rFonts w:ascii="Calibri" w:hAnsi="Calibri" w:cs="Calibri"/>
      <w:sz w:val="22"/>
    </w:rPr>
  </w:style>
  <w:style w:type="paragraph" w:styleId="943">
    <w:name w:val="No Spacing"/>
    <w:uiPriority w:val="1"/>
    <w:qFormat/>
    <w:pPr>
      <w:pBdr/>
      <w:spacing/>
      <w:ind/>
    </w:pPr>
    <w:rPr>
      <w:rFonts w:asciiTheme="minorHAnsi" w:hAnsiTheme="minorHAnsi" w:eastAsiaTheme="minorEastAsia" w:cstheme="minorBidi"/>
      <w:sz w:val="22"/>
      <w:szCs w:val="22"/>
    </w:rPr>
  </w:style>
  <w:style w:type="paragraph" w:styleId="944">
    <w:name w:val="annotation text"/>
    <w:basedOn w:val="706"/>
    <w:uiPriority w:val="99"/>
    <w:semiHidden/>
    <w:unhideWhenUsed/>
    <w:qFormat/>
    <w:pPr>
      <w:pBdr/>
      <w:spacing/>
      <w:ind/>
    </w:pPr>
  </w:style>
  <w:style w:type="paragraph" w:styleId="945">
    <w:name w:val="annotation subject"/>
    <w:basedOn w:val="944"/>
    <w:next w:val="944"/>
    <w:uiPriority w:val="99"/>
    <w:semiHidden/>
    <w:unhideWhenUsed/>
    <w:qFormat/>
    <w:pPr>
      <w:pBdr/>
      <w:spacing/>
      <w:ind/>
    </w:pPr>
    <w:rPr>
      <w:b/>
      <w:bCs/>
    </w:rPr>
  </w:style>
  <w:style w:type="paragraph" w:styleId="946" w:customStyle="1">
    <w:name w:val="Standard"/>
    <w:qFormat/>
    <w:pPr>
      <w:pBdr/>
      <w:spacing/>
      <w:ind/>
    </w:pPr>
    <w:rPr>
      <w:rFonts w:ascii="Liberation Serif" w:hAnsi="Liberation Serif" w:eastAsia="SimSun" w:cs="Mangal"/>
      <w:sz w:val="24"/>
      <w:szCs w:val="24"/>
      <w:lang w:val="en-US" w:eastAsia="zh-CN" w:bidi="hi-IN"/>
    </w:rPr>
  </w:style>
  <w:style w:type="paragraph" w:styleId="947" w:customStyle="1">
    <w:name w:val="Содержимое врезки"/>
    <w:basedOn w:val="706"/>
    <w:qFormat/>
    <w:pPr>
      <w:pBdr/>
      <w:spacing/>
      <w:ind/>
    </w:pPr>
  </w:style>
  <w:style w:type="table" w:styleId="948">
    <w:name w:val="Table Grid"/>
    <w:basedOn w:val="717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TableStyle0"/>
    <w:pPr>
      <w:pBdr/>
      <w:spacing/>
      <w:ind/>
    </w:pPr>
    <w:rPr>
      <w:rFonts w:eastAsiaTheme="minorEastAsia" w:cstheme="minorBidi"/>
      <w:sz w:val="16"/>
      <w:szCs w:val="22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0">
    <w:name w:val="Hyperlink"/>
    <w:basedOn w:val="716"/>
    <w:uiPriority w:val="99"/>
    <w:semiHidden/>
    <w:unhideWhenUsed/>
    <w:pPr>
      <w:pBdr/>
      <w:spacing/>
      <w:ind/>
    </w:pPr>
    <w:rPr>
      <w:strike w:val="0"/>
      <w:color w:val="0080ff"/>
      <w:u w:val="none"/>
      <w:shd w:val="clear" w:color="auto" w:fill="auto"/>
    </w:rPr>
  </w:style>
  <w:style w:type="character" w:styleId="951">
    <w:name w:val="Strong"/>
    <w:basedOn w:val="716"/>
    <w:qFormat/>
    <w:pPr>
      <w:pBdr/>
      <w:spacing/>
      <w:ind/>
    </w:pPr>
    <w:rPr>
      <w:b/>
      <w:bCs/>
    </w:rPr>
  </w:style>
  <w:style w:type="character" w:styleId="952" w:customStyle="1">
    <w:name w:val="Абзац списка Знак"/>
    <w:link w:val="941"/>
    <w:uiPriority w:val="34"/>
    <w:pPr>
      <w:pBdr/>
      <w:spacing/>
      <w:ind/>
    </w:pPr>
  </w:style>
  <w:style w:type="table" w:styleId="953" w:customStyle="1">
    <w:name w:val="Сетка таблицы1"/>
    <w:basedOn w:val="717"/>
    <w:uiPriority w:val="59"/>
    <w:pPr>
      <w:pBdr/>
      <w:spacing/>
      <w:ind/>
    </w:pPr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4" w:customStyle="1">
    <w:name w:val="Строгий1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CA36D403-67A3-45DE-933C-9A08818C83E7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kgz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Шаталов</dc:creator>
  <dc:description/>
  <dc:language>ru-RU</dc:language>
  <cp:revision>6</cp:revision>
  <dcterms:created xsi:type="dcterms:W3CDTF">2026-07-22T07:25:00Z</dcterms:created>
  <dcterms:modified xsi:type="dcterms:W3CDTF">2026-07-24T06:56:54Z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kgz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542243637</vt:i4>
  </property>
</Properties>
</file>