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</w:t>
      </w:r>
    </w:p>
    <w:tbl>
      <w:tblPr>
        <w:tblStyle w:val="11"/>
        <w:tblW w:w="8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"/>
        <w:gridCol w:w="2411"/>
        <w:gridCol w:w="2273"/>
        <w:gridCol w:w="3401"/>
      </w:tblGrid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411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val="ru-RU" w:bidi="ar-SA"/>
              </w:rPr>
              <w:t>Программа обучения</w:t>
            </w:r>
          </w:p>
        </w:tc>
        <w:tc>
          <w:tcPr>
            <w:tcW w:w="2273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val="ru-RU" w:bidi="ar-SA"/>
              </w:rPr>
              <w:t>Наименование характеристики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val="ru-RU" w:bidi="ar-SA"/>
              </w:rPr>
              <w:t>Значение характеристики</w:t>
            </w:r>
          </w:p>
        </w:tc>
      </w:tr>
      <w:tr>
        <w:trPr>
          <w:trHeight w:val="668" w:hRule="atLeast"/>
        </w:trPr>
        <w:tc>
          <w:tcPr>
            <w:tcW w:w="84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1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255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Модуль I. Антитеррористическая защищенность объекта (территории)</w:t>
            </w:r>
          </w:p>
        </w:tc>
        <w:tc>
          <w:tcPr>
            <w:tcW w:w="22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55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обучающихся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aps/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  <w:t>1</w:t>
            </w:r>
            <w:r>
              <w:rPr>
                <w:caps/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  <w:t>9</w:t>
            </w:r>
          </w:p>
        </w:tc>
      </w:tr>
      <w:tr>
        <w:trPr/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</w:r>
          </w:p>
        </w:tc>
        <w:tc>
          <w:tcPr>
            <w:tcW w:w="22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Количество учебных часов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aps/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  <w:t>72</w:t>
            </w:r>
          </w:p>
        </w:tc>
      </w:tr>
      <w:tr>
        <w:trPr/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</w:r>
          </w:p>
        </w:tc>
        <w:tc>
          <w:tcPr>
            <w:tcW w:w="22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Форма обучения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  <w:t>Дистанционная</w:t>
            </w:r>
          </w:p>
        </w:tc>
      </w:tr>
      <w:tr>
        <w:trPr/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Порядок</w:t>
            </w:r>
            <w:r>
              <w:rPr>
                <w:color w:val="000000"/>
                <w:kern w:val="0"/>
                <w:sz w:val="24"/>
                <w:szCs w:val="24"/>
                <w:shd w:fill="F5F5F5" w:val="clear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обучения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В соответствии с требованиями ФЗ-35 от 06.03.2006 г. «О противодействии терроризму», и ПП РФ № 410 от 13.05.2016 г.</w:t>
            </w:r>
            <w:r>
              <w:rPr>
                <w:b/>
                <w:bCs/>
                <w:color w:val="22272F"/>
                <w:kern w:val="0"/>
                <w:sz w:val="30"/>
                <w:szCs w:val="30"/>
                <w:shd w:fill="FFFFFF" w:val="clear"/>
                <w:lang w:val="ru-RU" w:bidi="ar-SA"/>
              </w:rPr>
              <w:t xml:space="preserve"> </w:t>
            </w:r>
            <w:r>
              <w:rPr>
                <w:bCs/>
                <w:color w:val="22272F"/>
                <w:kern w:val="0"/>
                <w:sz w:val="24"/>
                <w:szCs w:val="24"/>
                <w:shd w:fill="FFFFFF" w:val="clear"/>
                <w:lang w:val="ru-RU" w:bidi="ar-SA"/>
              </w:rPr>
              <w:t>"Об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 формы паспорта безопасности этих объектов (территорий)"</w:t>
            </w:r>
          </w:p>
        </w:tc>
      </w:tr>
      <w:tr>
        <w:trPr>
          <w:trHeight w:val="3919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5F5F5" w:val="clear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Оформление результатов</w:t>
            </w:r>
            <w:r>
              <w:rPr>
                <w:color w:val="000000"/>
                <w:kern w:val="0"/>
                <w:sz w:val="24"/>
                <w:szCs w:val="24"/>
                <w:shd w:fill="F5F5F5" w:val="clear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проверки знания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aps/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 xml:space="preserve">Результатом оказания услуг должна стать выдача Исполнителем слушателям Заказчика, удостоверения установленного образца, протокола заседания комиссии.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Оригиналы удостоверений, протокол заседания комиссии о проведении обучения и проверки знаний, направляются в адрес Заказчика почтой России в течении 30 календарных дней с момента прохождения теста.</w:t>
            </w:r>
          </w:p>
        </w:tc>
      </w:tr>
      <w:tr>
        <w:trPr/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val="ru-RU" w:bidi="ar-SA"/>
              </w:rPr>
              <w:t>Обеспечение слушателей учебно-методическими материалами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В соответствии с программой обучения слушателю должны быть предоставлены подробные и понятные учебно-методические материалы на русском языке. Материалы должны быть предоставлены в печатном виде и (или) на цифровом носителе (в электронном виде).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Проведение зачетов, тестов, предоставление раздаточного учебного материала и учебных пособий входит в стоимость обучения.</w:t>
            </w:r>
          </w:p>
        </w:tc>
      </w:tr>
      <w:tr>
        <w:trPr>
          <w:trHeight w:val="415" w:hRule="atLeast"/>
        </w:trPr>
        <w:tc>
          <w:tcPr>
            <w:tcW w:w="84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4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Модуль II. Работа со служебной информацией ограниченного распространения, содержащейся в документах об антитеррористической защищенности объектов (территорий)</w:t>
            </w:r>
          </w:p>
        </w:tc>
        <w:tc>
          <w:tcPr>
            <w:tcW w:w="22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Количество обучающихся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1</w:t>
            </w: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9</w:t>
            </w:r>
          </w:p>
        </w:tc>
      </w:tr>
      <w:tr>
        <w:trPr>
          <w:trHeight w:val="882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Количество учебных часов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aps/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  <w:t>36</w:t>
            </w:r>
          </w:p>
        </w:tc>
      </w:tr>
      <w:tr>
        <w:trPr>
          <w:trHeight w:val="882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Форма обучения</w:t>
            </w:r>
          </w:p>
        </w:tc>
        <w:tc>
          <w:tcPr>
            <w:tcW w:w="3401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  <w:t>Дистанционная</w:t>
            </w:r>
          </w:p>
        </w:tc>
      </w:tr>
      <w:tr>
        <w:trPr>
          <w:trHeight w:val="882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Порядок</w:t>
            </w:r>
            <w:r>
              <w:rPr>
                <w:color w:val="000000"/>
                <w:kern w:val="0"/>
                <w:sz w:val="24"/>
                <w:szCs w:val="24"/>
                <w:shd w:fill="F5F5F5" w:val="clear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обучения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В соответствии с требованиями ФЗ-35 от 06.03.2006 г. «О противодействии терроризму», и ПП РФ № 410 от 13.05.2016 г.</w:t>
            </w:r>
            <w:r>
              <w:rPr>
                <w:bCs/>
                <w:color w:val="22272F"/>
                <w:kern w:val="0"/>
                <w:sz w:val="24"/>
                <w:szCs w:val="24"/>
                <w:shd w:fill="FFFFFF" w:val="clear"/>
                <w:lang w:val="ru-RU" w:bidi="ar-SA"/>
              </w:rPr>
              <w:t xml:space="preserve"> "Об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 формы паспорта безопасности этих объектов (территорий)"</w:t>
            </w:r>
          </w:p>
        </w:tc>
      </w:tr>
      <w:tr>
        <w:trPr>
          <w:trHeight w:val="882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5F5F5" w:val="clear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Оформление результатов</w:t>
            </w:r>
            <w:r>
              <w:rPr>
                <w:color w:val="000000"/>
                <w:kern w:val="0"/>
                <w:sz w:val="24"/>
                <w:szCs w:val="24"/>
                <w:shd w:fill="F5F5F5" w:val="clear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проверки знания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aps/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 xml:space="preserve">Результатом оказания услуг должна стать выдача Исполнителем слушателям Заказчика, удостоверения установленного образца, протокола заседания комиссии.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Оригиналы удостоверений, протокол заседания комиссии о проведении обучения и проверки знаний, направляются в адрес Заказчика почтой России в течении 30 календарных дней с момента прохождения теста.</w:t>
            </w:r>
          </w:p>
        </w:tc>
      </w:tr>
      <w:tr>
        <w:trPr>
          <w:trHeight w:val="882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shd w:color="auto" w:fill="auto" w:val="clear"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val="ru-RU" w:bidi="ar-SA"/>
              </w:rPr>
              <w:t>Обеспечение слушателей учебно-методическими материалами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В соответствии с программой обучения слушателю должны быть предоставлены подробные и понятные учебно-методические материалы на русском языке. Материалы должны быть предоставлены в печатном виде и (или) на цифровом носителе (в электронном виде).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Проведение зачетов, тестов, предоставление раздаточного учебного материала и учебных пособий входит в стоимость обучения.</w:t>
            </w:r>
          </w:p>
        </w:tc>
      </w:tr>
      <w:tr>
        <w:trPr>
          <w:trHeight w:val="415" w:hRule="atLeast"/>
        </w:trPr>
        <w:tc>
          <w:tcPr>
            <w:tcW w:w="84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41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Модуль III. Выявление и предупреждение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      </w:r>
          </w:p>
        </w:tc>
        <w:tc>
          <w:tcPr>
            <w:tcW w:w="22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Количество обучающихся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1</w:t>
            </w: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9</w:t>
            </w:r>
          </w:p>
        </w:tc>
      </w:tr>
      <w:tr>
        <w:trPr>
          <w:trHeight w:val="882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Количество учебных часов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aps/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aps/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  <w:t>36</w:t>
            </w:r>
            <w:bookmarkStart w:id="0" w:name="_GoBack"/>
            <w:bookmarkEnd w:id="0"/>
          </w:p>
        </w:tc>
      </w:tr>
      <w:tr>
        <w:trPr>
          <w:trHeight w:val="882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Форма обучения</w:t>
            </w:r>
          </w:p>
        </w:tc>
        <w:tc>
          <w:tcPr>
            <w:tcW w:w="3401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000000"/>
                <w:spacing w:val="8"/>
                <w:sz w:val="24"/>
                <w:szCs w:val="24"/>
                <w:shd w:fill="FFFFFF" w:val="clear"/>
              </w:rPr>
            </w:pPr>
            <w:r>
              <w:rPr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  <w:t xml:space="preserve"> </w:t>
            </w:r>
            <w:r>
              <w:rPr>
                <w:color w:val="000000"/>
                <w:spacing w:val="8"/>
                <w:kern w:val="0"/>
                <w:sz w:val="24"/>
                <w:szCs w:val="24"/>
                <w:shd w:fill="FFFFFF" w:val="clear"/>
                <w:lang w:val="ru-RU" w:bidi="ar-SA"/>
              </w:rPr>
              <w:t>дистанционная</w:t>
            </w:r>
          </w:p>
        </w:tc>
      </w:tr>
      <w:tr>
        <w:trPr>
          <w:trHeight w:val="882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Порядок</w:t>
            </w:r>
            <w:r>
              <w:rPr>
                <w:color w:val="000000"/>
                <w:kern w:val="0"/>
                <w:sz w:val="24"/>
                <w:szCs w:val="24"/>
                <w:shd w:fill="F5F5F5" w:val="clear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обучения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 xml:space="preserve">  </w:t>
            </w:r>
            <w:r>
              <w:rPr>
                <w:kern w:val="0"/>
                <w:sz w:val="22"/>
                <w:szCs w:val="24"/>
                <w:lang w:val="ru-RU" w:bidi="ar-SA"/>
              </w:rPr>
              <w:t>В соответствии с требованиями ФЗ-35 от 06.03.2006 г. «О противодействии терроризму», и ПП РФ № 410 от 13.05.2016 г.</w:t>
            </w:r>
            <w:r>
              <w:rPr>
                <w:bCs/>
                <w:color w:val="22272F"/>
                <w:kern w:val="0"/>
                <w:sz w:val="24"/>
                <w:szCs w:val="24"/>
                <w:shd w:fill="FFFFFF" w:val="clear"/>
                <w:lang w:val="ru-RU" w:bidi="ar-SA"/>
              </w:rPr>
              <w:t xml:space="preserve"> "Об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 формы паспорта безопасности этих объектов (территорий)"</w:t>
            </w:r>
          </w:p>
        </w:tc>
      </w:tr>
      <w:tr>
        <w:trPr>
          <w:trHeight w:val="882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  <w:shd w:fill="F5F5F5" w:val="clear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Оформление результатов</w:t>
            </w:r>
            <w:r>
              <w:rPr>
                <w:color w:val="000000"/>
                <w:kern w:val="0"/>
                <w:sz w:val="24"/>
                <w:szCs w:val="24"/>
                <w:shd w:fill="F5F5F5" w:val="clear"/>
                <w:lang w:val="ru-RU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проверки знания</w:t>
            </w:r>
          </w:p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 xml:space="preserve">Результатом оказания услуг должна стать выдача Исполнителем слушателям Заказчика, удостоверения установленного образца, протокола заседания комиссии. 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Оригиналы удостоверений, протокол заседания комиссии о проведении обучения и проверки знаний, направляются в адрес Заказчика почтой России в течении 30 календарных дней с момента прохождения теста.</w:t>
            </w:r>
          </w:p>
        </w:tc>
      </w:tr>
      <w:tr>
        <w:trPr>
          <w:trHeight w:val="882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1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73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rPr>
                <w:shd w:fill="FFFFFF" w:val="clear"/>
              </w:rPr>
            </w:pPr>
            <w:r>
              <w:rPr>
                <w:kern w:val="0"/>
                <w:shd w:fill="FFFFFF" w:val="clear"/>
                <w:lang w:val="ru-RU" w:bidi="ar-SA"/>
              </w:rPr>
              <w:t>Обеспечение слушателей учебно-методическими материалами</w:t>
            </w:r>
          </w:p>
        </w:tc>
        <w:tc>
          <w:tcPr>
            <w:tcW w:w="34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В соответствии с программой обучения слушателю должны быть предоставлены подробные и понятные учебно-методические материалы на русском языке. Материалы должны быть предоставлены в печатном виде и (или) на цифровом носителе (в электронном виде).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sz w:val="22"/>
                <w:szCs w:val="24"/>
              </w:rPr>
            </w:pPr>
            <w:r>
              <w:rPr>
                <w:kern w:val="0"/>
                <w:sz w:val="22"/>
                <w:szCs w:val="24"/>
                <w:lang w:val="ru-RU" w:bidi="ar-SA"/>
              </w:rPr>
              <w:t>Проведение зачетов, тестов, предоставление раздаточного учебного материала и учебных пособий входит в стоимость обучения.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58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7b9b"/>
    <w:pPr>
      <w:widowControl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qFormat/>
    <w:rsid w:val="00397f7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4"/>
    <w:uiPriority w:val="99"/>
    <w:unhideWhenUsed/>
    <w:rsid w:val="00397f79"/>
    <w:pPr/>
    <w:rPr>
      <w:sz w:val="24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24198d"/>
    <w:pPr>
      <w:spacing w:beforeAutospacing="1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327b9b"/>
    <w:pPr>
      <w:widowControl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41b47"/>
    <w:pPr>
      <w:jc w:val="left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1"/>
    <w:basedOn w:val="a1"/>
    <w:uiPriority w:val="59"/>
    <w:rsid w:val="0024198d"/>
    <w:pPr>
      <w:jc w:val="left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LibreOffice/25.2.3.2$Linux_X86_64 LibreOffice_project/520$Build-2</Application>
  <AppVersion>15.0000</AppVersion>
  <Pages>3</Pages>
  <Words>545</Words>
  <Characters>4020</Characters>
  <CharactersWithSpaces>4601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2024-06-06T10:37:00Z</dcterms:created>
  <dc:creator>Пользователь Windows</dc:creator>
  <dc:description/>
  <dc:language>ru-RU</dc:language>
  <cp:lastModifiedBy/>
  <cp:lastPrinted>2026-05-25T09:41:39Z</cp:lastPrinted>
  <dcterms:modified xsi:type="dcterms:W3CDTF">2026-05-25T09:42:11Z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