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575" w:type="dxa"/>
        <w:tblInd w:w="-9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5"/>
        <w:gridCol w:w="2400"/>
        <w:gridCol w:w="5775"/>
        <w:gridCol w:w="992"/>
        <w:gridCol w:w="7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54"/>
        </w:trPr>
        <w:tc>
          <w:tcPr>
            <w:gridSpan w:val="5"/>
            <w:tcW w:w="10575" w:type="dxa"/>
            <w:vAlign w:val="bottom"/>
            <w:textDirection w:val="lrTb"/>
            <w:noWrap/>
          </w:tcPr>
          <w:p>
            <w:pPr>
              <w:pStyle w:val="833"/>
              <w:ind w:right="-74" w:firstLine="601"/>
              <w:jc w:val="center"/>
              <w:widowControl w:val="off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Описание объекта закупки</w:t>
            </w:r>
            <w:r>
              <w:rPr>
                <w:b/>
                <w:sz w:val="32"/>
                <w:szCs w:val="32"/>
              </w:rPr>
            </w:r>
            <w:r>
              <w:rPr>
                <w:b/>
                <w:sz w:val="32"/>
                <w:szCs w:val="32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на поставку канцелярских товаров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b w:val="0"/>
                <w:bCs/>
              </w:rPr>
            </w:pPr>
            <w:r>
              <w:rPr>
                <w:b/>
              </w:rPr>
              <w:t xml:space="preserve">Объект закупки -   </w:t>
            </w:r>
            <w:r>
              <w:rPr>
                <w:b w:val="0"/>
                <w:bCs/>
              </w:rPr>
              <w:t xml:space="preserve">Поставка </w:t>
            </w:r>
            <w:r>
              <w:rPr>
                <w:b w:val="0"/>
                <w:bCs/>
                <w:lang w:val="ru-RU"/>
              </w:rPr>
              <w:t xml:space="preserve">канцелярских</w:t>
            </w:r>
            <w:r>
              <w:rPr>
                <w:b w:val="0"/>
                <w:bCs/>
                <w:lang w:val="ru-RU"/>
              </w:rPr>
              <w:t xml:space="preserve"> товаров;</w:t>
            </w:r>
            <w:r>
              <w:rPr>
                <w:b w:val="0"/>
                <w:bCs/>
              </w:rPr>
            </w:r>
            <w:r>
              <w:rPr>
                <w:b w:val="0"/>
                <w:bCs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278" w:firstLine="720"/>
              <w:jc w:val="both"/>
              <w:tabs>
                <w:tab w:val="left" w:pos="1134" w:leader="none"/>
                <w:tab w:val="left" w:pos="10320" w:leader="none"/>
              </w:tabs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pPr>
            <w:r>
              <w:rPr>
                <w:b/>
              </w:rPr>
              <w:t xml:space="preserve">Заказчик</w:t>
            </w:r>
            <w:r>
              <w:rPr>
                <w:b/>
                <w:lang w:val="en-US"/>
              </w:rPr>
              <w:t xml:space="preserve">: </w:t>
            </w:r>
            <w:r>
              <w:rPr>
                <w:b w:val="0"/>
                <w:bCs/>
                <w:lang w:val="en-US"/>
              </w:rPr>
              <w:t xml:space="preserve">Территориальный орган Федеральной службы по надзору в сфере здравоохранения по Архангельской области и </w:t>
            </w:r>
            <w:r>
              <w:rPr>
                <w:b w:val="0"/>
                <w:bCs/>
                <w:lang w:val="ru-RU"/>
              </w:rPr>
              <w:t xml:space="preserve">Н</w:t>
            </w:r>
            <w:r>
              <w:rPr>
                <w:b w:val="0"/>
                <w:bCs/>
                <w:lang w:val="en-US"/>
              </w:rPr>
              <w:t xml:space="preserve">енецкому автономному округу</w:t>
            </w:r>
            <w:r>
              <w:rPr>
                <w:b w:val="0"/>
                <w:bCs/>
                <w:lang w:val="ru-RU"/>
              </w:rPr>
              <w:t xml:space="preserve"> (ТО Росздравнадзора по АО и НАО);</w:t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bCs/>
              </w:rPr>
            </w:pPr>
            <w:r>
              <w:rPr>
                <w:b/>
                <w:bCs w:val="0"/>
                <w:color w:val="000000"/>
                <w:lang w:val="ru-RU"/>
              </w:rPr>
              <w:t xml:space="preserve">Адрес поставки товара</w:t>
            </w:r>
            <w:r>
              <w:rPr>
                <w:b w:val="0"/>
                <w:bCs/>
                <w:lang w:val="ru-RU"/>
              </w:rPr>
              <w:t xml:space="preserve">: </w:t>
            </w:r>
            <w:r>
              <w:rPr>
                <w:bCs/>
                <w:lang w:val="ru-RU"/>
              </w:rPr>
              <w:t xml:space="preserve">163000, г.Архангельск, пл. Ленина, д. 4, офис 1801;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-574" w:firstLine="720"/>
              <w:jc w:val="both"/>
              <w:tabs>
                <w:tab w:val="left" w:pos="1134" w:leader="none"/>
              </w:tabs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pPr>
            <w:r>
              <w:rPr>
                <w:b/>
                <w:bCs w:val="0"/>
              </w:rPr>
              <w:t xml:space="preserve">Срок поставки товара: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10 (</w:t>
            </w:r>
            <w:r>
              <w:rPr>
                <w:bCs/>
              </w:rPr>
              <w:t xml:space="preserve">десять) календарных дней с даты заключения</w:t>
            </w:r>
            <w:r>
              <w:rPr>
                <w:bCs/>
                <w:lang w:val="ru-RU"/>
              </w:rPr>
              <w:t xml:space="preserve"> договора</w:t>
            </w:r>
            <w:r>
              <w:rPr>
                <w:bCs/>
              </w:rPr>
              <w:t xml:space="preserve">.</w:t>
            </w:r>
            <w:r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r>
            <w:r>
              <w:rPr>
                <w:rFonts w:eastAsia="Times New Roman"/>
                <w:b/>
                <w:bCs w:val="0"/>
                <w:sz w:val="22"/>
                <w:szCs w:val="22"/>
                <w:lang w:bidi="ru-RU"/>
              </w:rPr>
            </w:r>
          </w:p>
          <w:p>
            <w:pPr>
              <w:pStyle w:val="833"/>
              <w:numPr>
                <w:ilvl w:val="0"/>
                <w:numId w:val="1"/>
              </w:numPr>
              <w:ind w:left="0" w:right="38" w:firstLine="660"/>
              <w:jc w:val="both"/>
              <w:tabs>
                <w:tab w:val="left" w:pos="1134" w:leader="none"/>
              </w:tabs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pPr>
            <w:r>
              <w:rPr>
                <w:b/>
                <w:bCs w:val="0"/>
                <w:sz w:val="22"/>
                <w:szCs w:val="22"/>
                <w:lang w:bidi="ru-RU"/>
              </w:rPr>
              <w:t xml:space="preserve">Содержание</w:t>
            </w:r>
            <w:r>
              <w:rPr>
                <w:b/>
                <w:bCs w:val="0"/>
                <w:sz w:val="22"/>
                <w:szCs w:val="22"/>
                <w:lang w:val="en-US" w:bidi="ru-RU"/>
              </w:rPr>
              <w:t xml:space="preserve"> товара:</w:t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  <w:r>
              <w:rPr>
                <w:rFonts w:eastAsia="Times New Roman"/>
                <w:b w:val="0"/>
                <w:bCs/>
                <w:sz w:val="22"/>
                <w:szCs w:val="22"/>
                <w:lang w:bidi="ru-RU"/>
              </w:rPr>
            </w:r>
          </w:p>
          <w:p>
            <w:pPr>
              <w:pStyle w:val="833"/>
              <w:ind w:right="-74" w:firstLine="601"/>
              <w:jc w:val="center"/>
              <w:widowControl w:val="off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  <w:p>
            <w:pPr>
              <w:pStyle w:val="833"/>
              <w:ind w:right="-74" w:firstLine="601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gridSpan w:val="5"/>
            <w:shd w:val="clear" w:color="000000" w:fill="ffffff"/>
            <w:tcW w:w="10575" w:type="dxa"/>
            <w:vAlign w:val="center"/>
            <w:textDirection w:val="lrTb"/>
            <w:noWrap w:val="false"/>
          </w:tcPr>
          <w:p>
            <w:pPr>
              <w:pStyle w:val="83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33"/>
              <w:ind w:lef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изм.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41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360" w:hanging="184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Клейкая лента упаковочная 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суперклейкая 48 мм х 66 м, прозрачная, толщина 47 микрон, 29895</w:t>
            </w:r>
            <w:r/>
            <w:r/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lang w:val="ru-RU"/>
              </w:rPr>
              <w:t xml:space="preserve">шт</w:t>
            </w:r>
            <w:r>
              <w:rPr>
                <w:color w:val="00000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2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283" w:hanging="10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Клейкая лента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19 мм х 33 м, комплект 2 шт., прозрачные, гарантированная длина, европодвес, 221695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у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п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а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к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ru-RU"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3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Ластик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45х45х10 мм, белый, треугольный, красный пластиковый держатель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шт.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>
          <w:trHeight w:val="90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4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Папки-файлы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перфорированные А4+ КОМПЛЕКТ 50 шт., гладкие, ПЛОТНЫЕ, 60 мкм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 xml:space="preserve">упак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7"/>
        </w:trPr>
        <w:tc>
          <w:tcPr>
            <w:shd w:val="clear" w:color="000000" w:fill="ffffff"/>
            <w:tcW w:w="705" w:type="dxa"/>
            <w:vAlign w:val="center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5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Ручка гелевая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ЧЕРНАЯ, корпус ассорти, узел 0,5 мм, линия 0,35 мм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24</w:t>
            </w:r>
            <w:r/>
          </w:p>
        </w:tc>
        <w:tc>
          <w:tcPr>
            <w:shd w:val="clear" w:color="000000" w:fill="ffffff"/>
            <w:tcW w:w="70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07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6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Ручка шариковая масляная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 СИНЯЯ, узел 0,7 мм, линия письма 0,35 мм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</w:tr>
      <w:tr>
        <w:tblPrEx/>
        <w:trPr>
          <w:trHeight w:val="307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7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Ручка шариковая масляная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 СИНЯЯ, узел 0,7 мм, линия письма 0,35 мм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</w:tr>
      <w:tr>
        <w:tblPrEx/>
        <w:trPr>
          <w:trHeight w:val="546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8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Ручка шариковая масляная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С грипом СИНЯЯ, узел 0,5 мм, линия письма 0,25 мм, 143245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07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9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Скоросшиватель пластиковый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А4, 130/180 мкм, зеленый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07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Скоросшиватель пластиковый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А4, 130/180 мкм, красный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3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11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Скоросшиватель пластиковый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А4, 130/180 мкм, синий</w:t>
            </w:r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шт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273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Скоросшиватель пластиковый 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А4, 130/180 мкм, черный</w:t>
            </w:r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</w:p>
        </w:tc>
      </w:tr>
      <w:tr>
        <w:tblPrEx/>
        <w:trPr>
          <w:trHeight w:val="588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13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Скрепки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28 мм, металлические, 100 шт., в картонной коробке</w:t>
            </w:r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упак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307"/>
        </w:trPr>
        <w:tc>
          <w:tcPr>
            <w:shd w:val="clear" w:color="000000" w:fill="ffffff"/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Style w:val="840"/>
              <w:contextualSpacing/>
              <w:ind w:left="283" w:hanging="249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14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shd w:val="clear" w:color="000000" w:fill="ffffff"/>
            <w:tcW w:w="2400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Скрепки</w:t>
            </w:r>
            <w:r/>
          </w:p>
        </w:tc>
        <w:tc>
          <w:tcPr>
            <w:shd w:val="clear" w:color="000000" w:fill="ffffff"/>
            <w:tcW w:w="5775" w:type="dxa"/>
            <w:vAlign w:val="center"/>
            <w:vMerge w:val="restart"/>
            <w:textDirection w:val="lrTb"/>
            <w:noWrap w:val="false"/>
          </w:tcPr>
          <w:p>
            <w:r/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28 мм, цветные, 70 шт., в картонной коробке</w:t>
            </w:r>
            <w:r/>
            <w:r/>
          </w:p>
        </w:tc>
        <w:tc>
          <w:tcPr>
            <w:shd w:val="clear" w:color="000000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W w:w="703" w:type="dxa"/>
            <w:vAlign w:val="center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упак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pStyle w:val="833"/>
      </w:pPr>
      <w:r/>
      <w:r/>
    </w:p>
    <w:p>
      <w:pPr>
        <w:pStyle w:val="833"/>
        <w:numPr>
          <w:ilvl w:val="0"/>
          <w:numId w:val="1"/>
        </w:numPr>
        <w:ind w:left="-425" w:right="-574" w:firstLine="720"/>
        <w:jc w:val="both"/>
        <w:tabs>
          <w:tab w:val="left" w:pos="1134" w:leader="none"/>
        </w:tabs>
        <w:rPr>
          <w:color w:val="000000"/>
        </w:rPr>
      </w:pPr>
      <w:r>
        <w:rPr>
          <w:b/>
        </w:rPr>
        <w:t xml:space="preserve">Требования к товару и упаковке:</w:t>
      </w:r>
      <w:r>
        <w:t xml:space="preserve"> </w:t>
      </w:r>
      <w:r>
        <w:rPr>
          <w:color w:val="000000"/>
        </w:rPr>
        <w:t xml:space="preserve">Маркировка должна соответствовать требованиям действующих нормативных документ</w:t>
      </w:r>
      <w:r>
        <w:rPr>
          <w:color w:val="000000"/>
        </w:rPr>
        <w:t xml:space="preserve">ов Российской Федерации.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</w:t>
      </w:r>
      <w:r>
        <w:rPr>
          <w:color w:val="000000"/>
        </w:rPr>
      </w:r>
      <w:r>
        <w:rPr>
          <w:color w:val="000000"/>
        </w:rPr>
      </w:r>
    </w:p>
    <w:p>
      <w:pPr>
        <w:pStyle w:val="833"/>
        <w:ind w:left="-425" w:right="-574" w:firstLine="1134"/>
        <w:jc w:val="both"/>
        <w:tabs>
          <w:tab w:val="left" w:pos="1134" w:leader="none"/>
        </w:tabs>
        <w:rPr>
          <w:color w:val="000000"/>
        </w:rPr>
      </w:pPr>
      <w:r>
        <w:t xml:space="preserve">Товар должен быть </w:t>
      </w:r>
      <w:r>
        <w:t xml:space="preserve">новым, не бывшим в употреблении, не использованным, не иметь дефектов, соответствовать всем требованиям качества изготовителей,  стандартам и требованиям, предъявляемым к продукции данного вида товара. Поставщик гарантирует Заказчику соответствие качества.</w:t>
      </w:r>
      <w:r>
        <w:rPr>
          <w:color w:val="000000"/>
        </w:rPr>
      </w:r>
      <w:r>
        <w:rPr>
          <w:color w:val="000000"/>
        </w:rPr>
      </w:r>
    </w:p>
    <w:p>
      <w:pPr>
        <w:pStyle w:val="833"/>
        <w:ind w:left="-425" w:right="-574" w:firstLine="1134"/>
        <w:jc w:val="both"/>
        <w:tabs>
          <w:tab w:val="left" w:pos="1134" w:leader="none"/>
        </w:tabs>
      </w:pPr>
      <w:r>
        <w:t xml:space="preserve">Упаковка товаров должна быть герметична, предотвращать попадание пыли. Товар должен быть упакован </w:t>
      </w:r>
      <w:r>
        <w:t xml:space="preserve">и замаркирован в упаковку завода изготовителя в соответствии с действующими на территории РФ стандартами и техническими условиями. Упаковка должна гарантировать целостность и сохранность товара при его перевозке любым видом транспорта, транспортировке, пог</w:t>
      </w:r>
      <w:r>
        <w:t xml:space="preserve">рузочно-разгрузочных работах и хранении в течение гарантийного срока, которая будет способна предотвратить его повреждение или порчу во время перевозки до места доставки. Упаковка не должна иметь значимых механических повреждений, следов воздействия влаги.</w:t>
      </w:r>
      <w:r/>
    </w:p>
    <w:p>
      <w:pPr>
        <w:pStyle w:val="833"/>
        <w:ind w:left="-425" w:right="-574" w:firstLine="1134"/>
        <w:jc w:val="both"/>
        <w:tabs>
          <w:tab w:val="left" w:pos="1134" w:leader="none"/>
        </w:tabs>
      </w:pPr>
      <w:r>
        <w:rPr>
          <w:iCs/>
        </w:rPr>
        <w:t xml:space="preserve">Качество поставляемого Поставщиком Товара должно соответствовать </w:t>
      </w:r>
      <w:r>
        <w:t xml:space="preserve">ГОСТ или ТУ </w:t>
      </w:r>
      <w:r>
        <w:rPr>
          <w:color w:val="000000"/>
        </w:rPr>
        <w:t xml:space="preserve">и </w:t>
      </w:r>
      <w:r>
        <w:rPr>
          <w:iCs/>
        </w:rPr>
        <w:t xml:space="preserve">подтверждаться документом производителя о качестве, оформленным в соответствии с требованиями действующего законодательства Российской Федерации.</w:t>
      </w:r>
      <w:r/>
    </w:p>
    <w:p>
      <w:pPr>
        <w:pStyle w:val="833"/>
        <w:ind w:left="-425" w:right="-574" w:firstLine="709"/>
        <w:jc w:val="both"/>
        <w:tabs>
          <w:tab w:val="left" w:pos="1134" w:leader="none"/>
        </w:tabs>
      </w:pPr>
      <w:r>
        <w:t xml:space="preserve">Поставляемый товар должен соответств</w:t>
      </w:r>
      <w:r>
        <w:t xml:space="preserve">овать нормам безопасности производителей товара и установленным законодательством Российской Федерации нормам безопасности товаров, эксплуатируемых человеком. Товар должен быть зарегистрирован и разрешен к использованию на территории Российской Федерации. </w:t>
      </w:r>
      <w:r/>
    </w:p>
    <w:p>
      <w:pPr>
        <w:pStyle w:val="833"/>
        <w:ind w:left="-425" w:right="-574" w:firstLine="1134"/>
        <w:jc w:val="both"/>
        <w:tabs>
          <w:tab w:val="left" w:pos="1134" w:leader="none"/>
        </w:tabs>
        <w:rPr>
          <w:bCs/>
        </w:rPr>
      </w:pPr>
      <w:r>
        <w:rPr>
          <w:bCs/>
        </w:rPr>
        <w:t xml:space="preserve">Пос</w:t>
      </w:r>
      <w:r>
        <w:rPr>
          <w:bCs/>
        </w:rPr>
        <w:t xml:space="preserve">тавщик гарантирует качество и безопасность поставляемого Товара. На Товар, в отношении которого законодательными актами Российской Федерации предусмотрена обязательная сертификация или соответствие, подтвержденное  декларацией о соответствии, Поставщиком д</w:t>
      </w:r>
      <w:r>
        <w:rPr>
          <w:bCs/>
        </w:rPr>
        <w:t xml:space="preserve">олжны быть при поставке представлены копии сертификатов соответствия или деклараций о соответствии. Срок действия сертификатов соответствия или декларации о соответствии не должен истекать ранее срока поставки товара. Поставщик вместе с поставкой Товара пр</w:t>
      </w:r>
      <w:r>
        <w:rPr>
          <w:bCs/>
        </w:rPr>
        <w:t xml:space="preserve">едоставляет гарантию производителя на данный товар (в отношении которого законодательными актами Российской Федерации предусмотрена гарантия) и (или) гарантию Поставщика, срок действия которой должен быть не менее, чем срок действия гарантии производителя </w:t>
      </w:r>
      <w:r>
        <w:rPr>
          <w:b/>
          <w:bCs/>
        </w:rPr>
        <w:t xml:space="preserve">и не менее 12 </w:t>
      </w:r>
      <w:r>
        <w:rPr>
          <w:bCs/>
        </w:rPr>
        <w:t xml:space="preserve">месяцев c даты подписания Сторонами Акта приема-передачи Товара. </w:t>
      </w:r>
      <w:r>
        <w:rPr>
          <w:bCs/>
        </w:rPr>
      </w:r>
      <w:r>
        <w:rPr>
          <w:bCs/>
        </w:rPr>
      </w:r>
    </w:p>
    <w:p>
      <w:pPr>
        <w:pStyle w:val="833"/>
        <w:ind w:right="-574" w:firstLine="709"/>
        <w:jc w:val="both"/>
        <w:tabs>
          <w:tab w:val="left" w:pos="1134" w:leader="none"/>
        </w:tabs>
        <w:rPr>
          <w:bCs/>
        </w:rPr>
      </w:pPr>
      <w:r>
        <w:rPr>
          <w:b/>
          <w:bCs w:val="0"/>
        </w:rPr>
        <w:t xml:space="preserve">Стоимость </w:t>
      </w:r>
      <w:r>
        <w:rPr>
          <w:b/>
          <w:bCs w:val="0"/>
          <w:lang w:val="ru-RU"/>
        </w:rPr>
        <w:t xml:space="preserve">договора</w:t>
      </w:r>
      <w:r>
        <w:rPr>
          <w:b/>
          <w:bCs w:val="0"/>
        </w:rPr>
        <w:t xml:space="preserve"> учитывает:</w:t>
      </w:r>
      <w:r>
        <w:rPr>
          <w:bCs/>
        </w:rPr>
      </w:r>
      <w:r>
        <w:rPr>
          <w:bCs/>
        </w:rPr>
      </w:r>
    </w:p>
    <w:p>
      <w:pPr>
        <w:pStyle w:val="833"/>
        <w:ind w:left="170" w:firstLine="538"/>
        <w:jc w:val="both"/>
        <w:rPr>
          <w:bCs/>
        </w:rPr>
      </w:pPr>
      <w:r>
        <w:rPr>
          <w:bCs/>
        </w:rPr>
        <w:t xml:space="preserve">– стоимость Товара;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</w:rPr>
      </w:pPr>
      <w:r>
        <w:rPr>
          <w:bCs/>
        </w:rPr>
        <w:t xml:space="preserve">– погрузо-разгрузочные работы, в т.ч. с использованием  грузоподъемных средств;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  <w:lang w:val="ru-RU"/>
        </w:rPr>
      </w:pPr>
      <w:r>
        <w:rPr>
          <w:bCs/>
        </w:rPr>
        <w:t xml:space="preserve">– затраты на доставку Товара по месту назначения Заказчика: </w:t>
      </w:r>
      <w:r>
        <w:rPr>
          <w:bCs/>
          <w:lang w:val="ru-RU"/>
        </w:rPr>
        <w:t xml:space="preserve">163000, г.Архангельск, пл. Ленина, д. 4, офис 1801;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33"/>
        <w:ind w:left="170" w:firstLine="538"/>
        <w:jc w:val="both"/>
        <w:rPr>
          <w:bCs/>
        </w:rPr>
      </w:pPr>
      <w:r>
        <w:rPr>
          <w:bCs/>
        </w:rPr>
        <w:t xml:space="preserve">– НДС и другие налоги, сборы и иные обязательные платежи;</w:t>
      </w:r>
      <w:r>
        <w:rPr>
          <w:bCs/>
        </w:rPr>
      </w:r>
      <w:r>
        <w:rPr>
          <w:bCs/>
        </w:rPr>
      </w:r>
    </w:p>
    <w:p>
      <w:pPr>
        <w:pStyle w:val="833"/>
        <w:ind w:left="170" w:right="-574" w:firstLine="538"/>
        <w:jc w:val="both"/>
        <w:rPr>
          <w:bCs/>
          <w:lang w:val="ru-RU"/>
        </w:rPr>
      </w:pPr>
      <w:r>
        <w:rPr>
          <w:bCs/>
        </w:rPr>
        <w:t xml:space="preserve">– иные расходы, необходимые для полного исполнения </w:t>
      </w:r>
      <w:r>
        <w:rPr>
          <w:bCs/>
          <w:lang w:val="ru-RU"/>
        </w:rPr>
        <w:t xml:space="preserve">договора</w:t>
      </w:r>
      <w:r>
        <w:rPr>
          <w:bCs/>
          <w:lang w:val="ru-RU"/>
        </w:rPr>
        <w:t xml:space="preserve">.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33"/>
        <w:ind w:left="-425" w:right="-574" w:firstLine="1145"/>
        <w:jc w:val="both"/>
        <w:rPr>
          <w:color w:val="000000"/>
          <w:highlight w:val="none"/>
        </w:rPr>
      </w:pPr>
      <w:r>
        <w:rPr>
          <w:b/>
          <w:bCs/>
          <w:color w:val="000000"/>
        </w:rPr>
        <w:t xml:space="preserve">Сроки и условия оплаты:</w:t>
      </w:r>
      <w:r>
        <w:rPr>
          <w:color w:val="000000"/>
        </w:rPr>
        <w:t xml:space="preserve"> Расчет за поставленный товар осуществляется Заказчиком в рублях Российской Федерации путем перечисления денежных средств на расчетный счет Поставщика по факту поставки товара в течение </w:t>
      </w:r>
      <w:r>
        <w:rPr>
          <w:color w:val="000000"/>
          <w:lang w:val="ru-RU"/>
        </w:rPr>
        <w:t xml:space="preserve">10</w:t>
      </w:r>
      <w:r>
        <w:rPr>
          <w:color w:val="000000"/>
        </w:rPr>
        <w:t xml:space="preserve"> (Десяти) календарных дней с даты подписания Заказчиком товарной накладной, акта приема-передачи.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0"/>
        <w:jc w:val="both"/>
        <w:rPr>
          <w:color w:val="000000"/>
        </w:rPr>
      </w:pPr>
      <w:r>
        <w:rPr>
          <w:color w:val="000000"/>
        </w:rPr>
        <w:t xml:space="preserve">Контрактный управляющий                                                                                Ю.А.Валиотти</w:t>
      </w:r>
      <w:r>
        <w:rPr>
          <w:color w:val="000000"/>
        </w:rPr>
      </w:r>
      <w:r>
        <w:rPr>
          <w:color w:val="000000"/>
        </w:rPr>
      </w:r>
    </w:p>
    <w:p>
      <w:pPr>
        <w:ind w:left="-425" w:right="-574" w:firstLine="1145"/>
        <w:jc w:val="both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33"/>
      </w:pPr>
      <w:r/>
      <w:r/>
    </w:p>
    <w:sectPr>
      <w:footnotePr/>
      <w:endnotePr/>
      <w:type w:val="nextPage"/>
      <w:pgSz w:w="11906" w:h="16838" w:orient="portrait"/>
      <w:pgMar w:top="1440" w:right="1800" w:bottom="1440" w:left="180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834">
    <w:name w:val="Заголовок 1"/>
    <w:basedOn w:val="833"/>
    <w:next w:val="833"/>
    <w:link w:val="833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styleId="835">
    <w:name w:val="Основной шрифт абзаца"/>
    <w:next w:val="835"/>
    <w:link w:val="833"/>
    <w:semiHidden/>
  </w:style>
  <w:style w:type="table" w:styleId="836">
    <w:name w:val="Обычная таблица"/>
    <w:next w:val="836"/>
    <w:link w:val="833"/>
    <w:semiHidden/>
    <w:tblPr/>
  </w:style>
  <w:style w:type="character" w:styleId="837">
    <w:name w:val="Гиперссылка"/>
    <w:basedOn w:val="835"/>
    <w:next w:val="837"/>
    <w:link w:val="833"/>
    <w:rPr>
      <w:color w:val="0000ff"/>
      <w:u w:val="single"/>
    </w:rPr>
  </w:style>
  <w:style w:type="paragraph" w:styleId="838">
    <w:name w:val="Основной текст"/>
    <w:basedOn w:val="833"/>
    <w:next w:val="838"/>
    <w:link w:val="833"/>
    <w:unhideWhenUsed/>
    <w:qFormat/>
    <w:pPr>
      <w:spacing w:after="120"/>
    </w:pPr>
  </w:style>
  <w:style w:type="paragraph" w:styleId="839">
    <w:name w:val="Обычный (веб)"/>
    <w:next w:val="839"/>
    <w:link w:val="833"/>
    <w:pPr>
      <w:ind w:left="0" w:right="0"/>
      <w:jc w:val="left"/>
      <w:spacing w:before="100" w:beforeAutospacing="1" w:after="100" w:afterAutospacing="1"/>
    </w:pPr>
    <w:rPr>
      <w:sz w:val="24"/>
      <w:szCs w:val="24"/>
      <w:lang w:val="en-US" w:eastAsia="zh-CN" w:bidi="ar"/>
    </w:rPr>
  </w:style>
  <w:style w:type="paragraph" w:styleId="840">
    <w:name w:val="List Paragraph"/>
    <w:basedOn w:val="833"/>
    <w:next w:val="840"/>
    <w:link w:val="833"/>
    <w:uiPriority w:val="34"/>
    <w:qFormat/>
    <w:pPr>
      <w:ind w:left="708"/>
      <w:jc w:val="left"/>
    </w:p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Валиотти Ю.А.</cp:lastModifiedBy>
  <cp:revision>15</cp:revision>
  <dcterms:created xsi:type="dcterms:W3CDTF">2021-09-20T12:49:00Z</dcterms:created>
  <dcterms:modified xsi:type="dcterms:W3CDTF">2026-07-20T08:06:36Z</dcterms:modified>
</cp:coreProperties>
</file>