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Обоснование раз</w:t>
      </w:r>
      <w:r>
        <w:rPr>
          <w:rFonts w:ascii="Tinos" w:hAnsi="Tinos" w:eastAsia="Tinos" w:cs="Tinos"/>
          <w:sz w:val="24"/>
          <w:szCs w:val="24"/>
        </w:rPr>
        <w:t xml:space="preserve">мера арендной платы с учетом ч.6</w:t>
      </w:r>
      <w:r>
        <w:rPr>
          <w:rFonts w:ascii="Tinos" w:hAnsi="Tinos" w:eastAsia="Tinos" w:cs="Tinos"/>
          <w:sz w:val="24"/>
          <w:szCs w:val="24"/>
        </w:rPr>
        <w:t xml:space="preserve"> ст.22 ФЗ-44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jc w:val="center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«О контрактной системе в сфере закупок, товаров, услуг, для обеспечения государственных и муниципальных нужд»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jc w:val="center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Обоснование начальной (максимальной) цены контракта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jc w:val="center"/>
        <w:spacing w:after="120" w:line="240" w:lineRule="auto"/>
        <w:rPr>
          <w:rFonts w:ascii="Tinos" w:hAnsi="Tinos" w:cs="Tinos"/>
          <w:b w:val="0"/>
          <w:bCs w:val="0"/>
          <w:color w:val="000000" w:themeColor="text1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  <w:t xml:space="preserve">Услуги беспроводной связи</w:t>
      </w:r>
      <w:r>
        <w:rPr>
          <w:rFonts w:ascii="Tinos" w:hAnsi="Tinos" w:cs="Tinos"/>
          <w:b w:val="0"/>
          <w:bCs w:val="0"/>
          <w:color w:val="000000" w:themeColor="text1"/>
          <w:sz w:val="24"/>
          <w:szCs w:val="24"/>
        </w:rPr>
      </w:r>
      <w:r>
        <w:rPr>
          <w:rFonts w:ascii="Tinos" w:hAnsi="Tinos" w:cs="Tinos"/>
          <w:b w:val="0"/>
          <w:bCs w:val="0"/>
          <w:color w:val="000000" w:themeColor="text1"/>
          <w:sz w:val="24"/>
          <w:szCs w:val="24"/>
        </w:rPr>
      </w:r>
    </w:p>
    <w:p>
      <w:pPr>
        <w:jc w:val="center"/>
        <w:spacing w:after="120" w:line="240" w:lineRule="auto"/>
        <w:rPr>
          <w:rFonts w:ascii="Tinos" w:hAnsi="Tinos" w:cs="Tinos"/>
          <w:bCs/>
          <w:i/>
          <w:sz w:val="24"/>
          <w:szCs w:val="24"/>
        </w:rPr>
      </w:pPr>
      <w:r>
        <w:rPr>
          <w:rFonts w:ascii="Tinos" w:hAnsi="Tinos" w:cs="Tinos"/>
          <w:i/>
          <w:iCs/>
          <w:sz w:val="24"/>
          <w:szCs w:val="24"/>
        </w:rPr>
      </w:r>
      <w:r>
        <w:rPr>
          <w:rFonts w:ascii="Tinos" w:hAnsi="Tinos" w:cs="Tinos"/>
          <w:bCs/>
          <w:i/>
          <w:sz w:val="24"/>
          <w:szCs w:val="24"/>
        </w:rPr>
      </w:r>
      <w:r>
        <w:rPr>
          <w:rFonts w:ascii="Tinos" w:hAnsi="Tinos" w:cs="Tinos"/>
          <w:bCs/>
          <w:i/>
          <w:sz w:val="24"/>
          <w:szCs w:val="24"/>
        </w:rPr>
      </w:r>
    </w:p>
    <w:p>
      <w:pPr>
        <w:jc w:val="center"/>
        <w:spacing w:after="120" w:line="240" w:lineRule="auto"/>
        <w:rPr>
          <w:rFonts w:ascii="Tinos" w:hAnsi="Tinos" w:cs="Tinos"/>
          <w:bCs/>
          <w:i/>
          <w:sz w:val="24"/>
          <w:szCs w:val="24"/>
        </w:rPr>
      </w:pPr>
      <w:r>
        <w:rPr>
          <w:rFonts w:ascii="Tinos" w:hAnsi="Tinos" w:cs="Tinos"/>
          <w:i/>
          <w:iCs/>
          <w:sz w:val="24"/>
          <w:szCs w:val="24"/>
        </w:rPr>
      </w:r>
      <w:r>
        <w:rPr>
          <w:rFonts w:ascii="Tinos" w:hAnsi="Tinos" w:cs="Tinos"/>
          <w:bCs/>
          <w:i/>
          <w:sz w:val="24"/>
          <w:szCs w:val="24"/>
        </w:rPr>
      </w:r>
      <w:r>
        <w:rPr>
          <w:rFonts w:ascii="Tinos" w:hAnsi="Tinos" w:cs="Tinos"/>
          <w:bCs/>
          <w:i/>
          <w:sz w:val="24"/>
          <w:szCs w:val="24"/>
        </w:rPr>
      </w:r>
    </w:p>
    <w:p>
      <w:pPr>
        <w:jc w:val="center"/>
        <w:spacing w:after="120" w:line="240" w:lineRule="auto"/>
        <w:rPr>
          <w:rFonts w:ascii="Tinos" w:hAnsi="Tinos" w:cs="Tinos"/>
          <w:i/>
          <w:iCs/>
          <w:sz w:val="24"/>
          <w:szCs w:val="24"/>
        </w:rPr>
      </w:pPr>
      <w:r>
        <w:rPr>
          <w:rFonts w:ascii="Tinos" w:hAnsi="Tinos" w:eastAsia="Tinos" w:cs="Tinos"/>
          <w:i/>
          <w:iCs/>
          <w:sz w:val="24"/>
          <w:szCs w:val="24"/>
          <w:lang w:eastAsia="ru-RU"/>
        </w:rPr>
      </w:r>
      <w:r>
        <w:rPr>
          <w:rFonts w:ascii="Tinos" w:hAnsi="Tinos" w:cs="Tinos"/>
          <w:i/>
          <w:iCs/>
          <w:sz w:val="24"/>
          <w:szCs w:val="24"/>
        </w:rPr>
      </w:r>
      <w:r>
        <w:rPr>
          <w:rFonts w:ascii="Tinos" w:hAnsi="Tinos" w:cs="Tinos"/>
          <w:i/>
          <w:iCs/>
          <w:sz w:val="24"/>
          <w:szCs w:val="24"/>
        </w:rPr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11595"/>
      </w:tblGrid>
      <w:tr>
        <w:tblPrEx/>
        <w:trPr>
          <w:trHeight w:val="203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3" w:type="dxa"/>
              <w:top w:w="113" w:type="dxa"/>
              <w:right w:w="113" w:type="dxa"/>
              <w:bottom w:w="113" w:type="dxa"/>
            </w:tcMar>
            <w:tcW w:w="3544" w:type="dxa"/>
            <w:textDirection w:val="lrTb"/>
            <w:noWrap w:val="false"/>
          </w:tcPr>
          <w:p>
            <w:pPr>
              <w:jc w:val="both"/>
              <w:spacing w:after="0"/>
              <w:widowControl w:val="off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Основные характеристики объекта закупки   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3" w:type="dxa"/>
              <w:top w:w="113" w:type="dxa"/>
              <w:right w:w="113" w:type="dxa"/>
              <w:bottom w:w="113" w:type="dxa"/>
            </w:tcMar>
            <w:tcW w:w="1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Поверка геодезических приборов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</w:tr>
      <w:tr>
        <w:tblPrEx/>
        <w:trPr>
          <w:trHeight w:val="1311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tcMar>
              <w:left w:w="113" w:type="dxa"/>
              <w:top w:w="113" w:type="dxa"/>
              <w:right w:w="113" w:type="dxa"/>
              <w:bottom w:w="113" w:type="dxa"/>
            </w:tcMar>
            <w:tcW w:w="3544" w:type="dxa"/>
            <w:textDirection w:val="lrTb"/>
            <w:noWrap w:val="false"/>
          </w:tcPr>
          <w:p>
            <w:pPr>
              <w:jc w:val="both"/>
              <w:spacing w:after="0"/>
              <w:widowControl w:val="off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Используемый метод определения НМЦК с обоснованием:      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tcMar>
              <w:left w:w="113" w:type="dxa"/>
              <w:top w:w="113" w:type="dxa"/>
              <w:right w:w="113" w:type="dxa"/>
              <w:bottom w:w="113" w:type="dxa"/>
            </w:tcMar>
            <w:tcW w:w="11595" w:type="dxa"/>
            <w:textDirection w:val="lrTb"/>
            <w:noWrap w:val="false"/>
          </w:tcPr>
          <w:p>
            <w:pPr>
              <w:jc w:val="both"/>
              <w:spacing w:after="0"/>
              <w:widowControl w:val="off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Метод сопоставим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ых рыночных цен (анализа рынка).</w:t>
            </w:r>
            <w:r>
              <w:rPr>
                <w:rFonts w:ascii="Tinos" w:hAnsi="Tinos" w:eastAsia="Tinos" w:cs="Tinos"/>
                <w:sz w:val="24"/>
                <w:szCs w:val="24"/>
              </w:rPr>
              <w:br/>
              <w:t xml:space="preserve">В соответствии с ч.6 статьи 22 Федерального закона от 05.04.2013 N 44-Ф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З "О контрактной системе в сфере закупок товаров, работ, услуг для обеспечения государственных и муниципальных нужд" метод сопоставимых рыночных цен (анализа рынка) является приоритетным для определения и обоснования начальной (максимальной) цены контракта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.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                                                                                  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</w:tr>
      <w:tr>
        <w:tblPrEx/>
        <w:trPr>
          <w:trHeight w:val="900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3" w:type="dxa"/>
              <w:top w:w="113" w:type="dxa"/>
              <w:right w:w="113" w:type="dxa"/>
              <w:bottom w:w="113" w:type="dxa"/>
            </w:tcMar>
            <w:tcW w:w="3544" w:type="dxa"/>
            <w:textDirection w:val="lrTb"/>
            <w:noWrap w:val="false"/>
          </w:tcPr>
          <w:p>
            <w:pPr>
              <w:jc w:val="both"/>
              <w:spacing w:after="0"/>
              <w:widowControl w:val="off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Расчет НМЦК 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3" w:type="dxa"/>
              <w:top w:w="113" w:type="dxa"/>
              <w:right w:w="113" w:type="dxa"/>
              <w:bottom w:w="113" w:type="dxa"/>
            </w:tcMar>
            <w:tcW w:w="11595" w:type="dxa"/>
            <w:textDirection w:val="lrTb"/>
            <w:noWrap w:val="false"/>
          </w:tcPr>
          <w:p>
            <w:pPr>
              <w:jc w:val="center"/>
              <w:spacing w:after="0"/>
              <w:widowControl w:val="off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Услуги беспроводной связи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  <w:vertAlign w:val="baseline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4"/>
                <w:szCs w:val="24"/>
              </w:rPr>
              <w:t xml:space="preserve">6000,00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 руб.</w:t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jc w:val="center"/>
              <w:spacing w:after="0"/>
              <w:widowControl w:val="off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(расчет приложен в виде отдельного файла Приложение №1)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</w:tr>
    </w:tbl>
    <w:p>
      <w:pPr>
        <w:ind w:right="8250"/>
        <w:spacing w:before="120" w:after="120" w:line="240" w:lineRule="auto"/>
        <w:tabs>
          <w:tab w:val="left" w:pos="13438" w:leader="none"/>
        </w:tabs>
        <w:rPr>
          <w:rFonts w:ascii="Tinos" w:hAnsi="Tinos" w:cs="Tinos"/>
          <w:bCs/>
          <w:sz w:val="24"/>
          <w:szCs w:val="24"/>
        </w:rPr>
      </w:pPr>
      <w:r>
        <w:rPr>
          <w:rFonts w:ascii="Tinos" w:hAnsi="Tinos" w:eastAsia="Tinos" w:cs="Tinos"/>
          <w:bCs/>
          <w:sz w:val="24"/>
          <w:szCs w:val="24"/>
          <w:lang w:eastAsia="ru-RU"/>
        </w:rPr>
      </w:r>
      <w:r>
        <w:rPr>
          <w:rFonts w:ascii="Tinos" w:hAnsi="Tinos" w:cs="Tinos"/>
          <w:bCs/>
          <w:sz w:val="24"/>
          <w:szCs w:val="24"/>
        </w:rPr>
      </w:r>
      <w:r>
        <w:rPr>
          <w:rFonts w:ascii="Tinos" w:hAnsi="Tinos" w:cs="Tinos"/>
          <w:bCs/>
          <w:sz w:val="24"/>
          <w:szCs w:val="24"/>
        </w:rPr>
      </w:r>
    </w:p>
    <w:p>
      <w:pPr>
        <w:spacing w:after="0" w:line="240" w:lineRule="auto"/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z w:val="26"/>
          <w:szCs w:val="26"/>
          <w:lang w:eastAsia="ru-RU"/>
        </w:rPr>
      </w:r>
      <w:r>
        <w:rPr>
          <w:rFonts w:ascii="Tinos" w:hAnsi="Tinos" w:cs="Tinos"/>
          <w:sz w:val="26"/>
          <w:szCs w:val="26"/>
        </w:rPr>
      </w:r>
      <w:r>
        <w:rPr>
          <w:rFonts w:ascii="Tinos" w:hAnsi="Tinos" w:cs="Tinos"/>
          <w:sz w:val="26"/>
          <w:szCs w:val="26"/>
        </w:rPr>
      </w:r>
    </w:p>
    <w:p>
      <w:pPr>
        <w:spacing w:after="0" w:line="240" w:lineRule="auto"/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z w:val="26"/>
          <w:szCs w:val="26"/>
          <w:lang w:eastAsia="ru-RU"/>
        </w:rPr>
      </w:r>
      <w:r>
        <w:rPr>
          <w:rFonts w:ascii="Tinos" w:hAnsi="Tinos" w:cs="Tinos"/>
          <w:sz w:val="26"/>
          <w:szCs w:val="26"/>
        </w:rPr>
      </w:r>
      <w:r>
        <w:rPr>
          <w:rFonts w:ascii="Tinos" w:hAnsi="Tinos" w:cs="Tinos"/>
          <w:sz w:val="26"/>
          <w:szCs w:val="26"/>
        </w:rPr>
      </w:r>
    </w:p>
    <w:p>
      <w:pPr>
        <w:spacing w:after="0" w:line="240" w:lineRule="auto"/>
        <w:rPr>
          <w:rFonts w:ascii="Tinos" w:hAnsi="Tinos" w:cs="Tinos"/>
          <w:sz w:val="26"/>
          <w:szCs w:val="26"/>
          <w:highlight w:val="none"/>
        </w:rPr>
      </w:pPr>
      <w:r>
        <w:rPr>
          <w:rFonts w:ascii="Tinos" w:hAnsi="Tinos" w:cs="Tinos"/>
          <w:sz w:val="26"/>
          <w:szCs w:val="26"/>
          <w:highlight w:val="none"/>
        </w:rPr>
      </w:r>
      <w:r>
        <w:rPr>
          <w:rFonts w:ascii="Tinos" w:hAnsi="Tinos" w:cs="Tinos"/>
          <w:sz w:val="26"/>
          <w:szCs w:val="26"/>
          <w:highlight w:val="none"/>
        </w:rPr>
      </w:r>
      <w:r>
        <w:rPr>
          <w:rFonts w:ascii="Tinos" w:hAnsi="Tinos" w:cs="Tinos"/>
          <w:sz w:val="26"/>
          <w:szCs w:val="26"/>
          <w:highlight w:val="none"/>
        </w:rPr>
      </w:r>
    </w:p>
    <w:p>
      <w:pPr>
        <w:spacing w:after="0" w:line="240" w:lineRule="auto"/>
        <w:rPr>
          <w:rFonts w:ascii="Tinos" w:hAnsi="Tinos" w:cs="Tinos"/>
          <w:sz w:val="26"/>
          <w:szCs w:val="26"/>
          <w:highlight w:val="none"/>
        </w:rPr>
      </w:pPr>
      <w:r>
        <w:rPr>
          <w:rFonts w:ascii="Tinos" w:hAnsi="Tinos" w:cs="Tinos"/>
          <w:sz w:val="26"/>
          <w:szCs w:val="26"/>
          <w:highlight w:val="none"/>
        </w:rPr>
      </w:r>
      <w:r>
        <w:rPr>
          <w:rFonts w:ascii="Tinos" w:hAnsi="Tinos" w:cs="Tinos"/>
          <w:sz w:val="26"/>
          <w:szCs w:val="26"/>
          <w:highlight w:val="none"/>
        </w:rPr>
      </w:r>
      <w:r>
        <w:rPr>
          <w:rFonts w:ascii="Tinos" w:hAnsi="Tinos" w:cs="Tinos"/>
          <w:sz w:val="26"/>
          <w:szCs w:val="26"/>
          <w:highlight w:val="none"/>
        </w:rPr>
      </w:r>
    </w:p>
    <w:p>
      <w:pPr>
        <w:spacing w:after="0" w:line="240" w:lineRule="auto"/>
        <w:rPr>
          <w:rFonts w:ascii="Tinos" w:hAnsi="Tinos" w:cs="Tinos"/>
          <w:sz w:val="26"/>
          <w:szCs w:val="26"/>
          <w:highlight w:val="none"/>
        </w:rPr>
      </w:pPr>
      <w:r>
        <w:rPr>
          <w:rFonts w:ascii="Tinos" w:hAnsi="Tinos" w:eastAsia="Tinos" w:cs="Tinos"/>
          <w:sz w:val="26"/>
          <w:szCs w:val="26"/>
          <w:highlight w:val="none"/>
          <w:lang w:eastAsia="ru-RU"/>
        </w:rPr>
      </w:r>
      <w:r>
        <w:rPr>
          <w:rFonts w:ascii="Tinos" w:hAnsi="Tinos" w:cs="Tinos"/>
          <w:sz w:val="26"/>
          <w:szCs w:val="26"/>
          <w:highlight w:val="none"/>
        </w:rPr>
      </w:r>
      <w:r>
        <w:rPr>
          <w:rFonts w:ascii="Tinos" w:hAnsi="Tinos" w:cs="Tinos"/>
          <w:sz w:val="26"/>
          <w:szCs w:val="26"/>
          <w:highlight w:val="none"/>
        </w:rPr>
      </w:r>
    </w:p>
    <w:p>
      <w:pPr>
        <w:spacing w:after="0" w:line="240" w:lineRule="auto"/>
        <w:rPr>
          <w:rFonts w:ascii="Tinos" w:hAnsi="Tinos" w:cs="Tinos"/>
          <w:sz w:val="26"/>
          <w:szCs w:val="26"/>
          <w:highlight w:val="none"/>
        </w:rPr>
      </w:pPr>
      <w:r>
        <w:rPr>
          <w:rFonts w:ascii="Tinos" w:hAnsi="Tinos" w:cs="Tinos"/>
          <w:sz w:val="26"/>
          <w:szCs w:val="26"/>
          <w:highlight w:val="none"/>
        </w:rPr>
      </w:r>
      <w:r>
        <w:rPr>
          <w:rFonts w:ascii="Tinos" w:hAnsi="Tinos" w:cs="Tinos"/>
          <w:sz w:val="26"/>
          <w:szCs w:val="26"/>
          <w:highlight w:val="none"/>
        </w:rPr>
      </w:r>
    </w:p>
    <w:p>
      <w:pPr>
        <w:spacing w:after="0" w:line="240" w:lineRule="auto"/>
        <w:rPr>
          <w:rFonts w:ascii="Tinos" w:hAnsi="Tinos" w:cs="Tinos"/>
          <w:sz w:val="26"/>
          <w:szCs w:val="26"/>
          <w:highlight w:val="none"/>
        </w:rPr>
      </w:pPr>
      <w:r>
        <w:rPr>
          <w:rFonts w:ascii="Tinos" w:hAnsi="Tinos" w:cs="Tinos"/>
          <w:sz w:val="26"/>
          <w:szCs w:val="26"/>
          <w:highlight w:val="none"/>
        </w:rPr>
      </w:r>
      <w:r>
        <w:rPr>
          <w:rFonts w:ascii="Tinos" w:hAnsi="Tinos" w:cs="Tinos"/>
          <w:sz w:val="26"/>
          <w:szCs w:val="26"/>
          <w:highlight w:val="none"/>
        </w:rPr>
      </w:r>
    </w:p>
    <w:p>
      <w:pPr>
        <w:spacing w:after="0" w:line="240" w:lineRule="auto"/>
        <w:rPr>
          <w:rFonts w:ascii="Tinos" w:hAnsi="Tinos" w:cs="Tinos"/>
          <w:sz w:val="26"/>
          <w:szCs w:val="26"/>
          <w:highlight w:val="none"/>
        </w:rPr>
      </w:pPr>
      <w:r>
        <w:rPr>
          <w:rFonts w:ascii="Tinos" w:hAnsi="Tinos" w:eastAsia="Tinos" w:cs="Tinos"/>
          <w:sz w:val="26"/>
          <w:szCs w:val="26"/>
          <w:highlight w:val="none"/>
          <w:lang w:eastAsia="ru-RU"/>
        </w:rPr>
      </w:r>
      <w:r>
        <w:rPr>
          <w:rFonts w:ascii="Tinos" w:hAnsi="Tinos" w:cs="Tinos"/>
          <w:sz w:val="26"/>
          <w:szCs w:val="26"/>
          <w:highlight w:val="none"/>
        </w:rPr>
      </w:r>
      <w:r>
        <w:rPr>
          <w:rFonts w:ascii="Tinos" w:hAnsi="Tinos" w:cs="Tinos"/>
          <w:sz w:val="26"/>
          <w:szCs w:val="26"/>
          <w:highlight w:val="none"/>
        </w:rPr>
      </w:r>
    </w:p>
    <w:p>
      <w:pPr>
        <w:ind w:right="-29"/>
        <w:jc w:val="right"/>
        <w:spacing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highlight w:val="none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right="-29"/>
        <w:jc w:val="right"/>
        <w:spacing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ru-RU"/>
        </w:rPr>
      </w:pPr>
      <w:r>
        <w:rPr>
          <w:rFonts w:ascii="Tinos" w:hAnsi="Tinos" w:eastAsia="Tinos" w:cs="Tinos"/>
          <w:sz w:val="24"/>
          <w:szCs w:val="24"/>
          <w:highlight w:val="none"/>
          <w:lang w:eastAsia="ru-RU"/>
        </w:rPr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</w:r>
    </w:p>
    <w:p>
      <w:pPr>
        <w:ind w:right="-29"/>
        <w:jc w:val="right"/>
        <w:spacing w:after="0" w:afterAutospacing="0"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П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риложение № 1</w:t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after="0" w:afterAutospacing="0"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  <w:lang w:eastAsia="ru-RU"/>
        </w:rPr>
        <w:t xml:space="preserve">к обоснованию начальной (максимальной) цены контракта, 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jc w:val="right"/>
        <w:spacing w:after="0" w:afterAutospacing="0"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  <w:lang w:eastAsia="ru-RU"/>
        </w:rPr>
        <w:t xml:space="preserve">цены контракта, заключаемого с единственным поставщиком 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jc w:val="right"/>
        <w:spacing w:after="0" w:afterAutospacing="0" w:line="240" w:lineRule="auto"/>
        <w:rPr>
          <w:rFonts w:ascii="Tinos" w:hAnsi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lang w:eastAsia="ru-RU"/>
        </w:rPr>
        <w:t xml:space="preserve">(подрядчиком, исполнителем) на </w:t>
      </w:r>
      <w:r>
        <w:rPr>
          <w:rFonts w:ascii="Tinos" w:hAnsi="Tinos" w:eastAsia="Tinos" w:cs="Tinos"/>
          <w:color w:val="0d0d0d" w:themeColor="text1" w:themeTint="F2"/>
          <w:sz w:val="22"/>
          <w:szCs w:val="22"/>
        </w:rPr>
        <w:t xml:space="preserve">поверку геодезических приборов</w:t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jc w:val="right"/>
        <w:spacing w:after="0" w:line="240" w:lineRule="auto"/>
        <w:rPr>
          <w:rFonts w:ascii="Tinos" w:hAnsi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  <w:lang w:eastAsia="ru-RU"/>
        </w:rPr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jc w:val="center"/>
        <w:spacing w:after="0" w:line="36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b/>
          <w:sz w:val="22"/>
          <w:szCs w:val="22"/>
          <w:lang w:eastAsia="ru-RU"/>
        </w:rPr>
        <w:t xml:space="preserve">Расчет начальной (максимальной) цены контракта методом сопоставимых рыночных цен (анализ рынка)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ind w:firstLine="720"/>
        <w:jc w:val="both"/>
        <w:spacing w:after="0" w:line="36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  <w:lang w:eastAsia="ru-RU"/>
        </w:rPr>
        <w:t xml:space="preserve">В соответствии с пунктом 3.7.1 приказа Минэкономразвития России от 2 октября 2013 г. № 567 «Об утверждении методических рекомендаций по применению метод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ов определения начальной (максимальной) цены контракта, цены контракта, заключаемого с единственным поставщиком (подрядчиком, исполнителем)» направлены запросы о предоставлении ценовой Информации исполнителям, обладающим опытом оказания аналогичных услуг. 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ind w:firstLine="720"/>
        <w:jc w:val="both"/>
        <w:spacing w:after="0" w:line="36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  <w:lang w:eastAsia="ru-RU"/>
        </w:rPr>
        <w:t xml:space="preserve">В целях определения НМЦК был осуществлен сбор ценовой информации среди 3 поставщиков, осуществляющих поставки товаров (выполнение работ, оказание услуг), являющихся объектом закупки.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ind w:firstLine="720"/>
        <w:jc w:val="both"/>
        <w:spacing w:after="0" w:line="360" w:lineRule="auto"/>
        <w:rPr>
          <w:rFonts w:ascii="Tinos" w:hAnsi="Tinos" w:cs="Tinos"/>
          <w:color w:val="000000"/>
          <w:sz w:val="22"/>
          <w:szCs w:val="22"/>
        </w:rPr>
      </w:pPr>
      <w:r>
        <w:rPr>
          <w:rFonts w:ascii="Tinos" w:hAnsi="Tinos" w:eastAsia="Tinos" w:cs="Tinos"/>
          <w:sz w:val="22"/>
          <w:szCs w:val="22"/>
          <w:lang w:eastAsia="ru-RU"/>
        </w:rPr>
        <w:t xml:space="preserve">При расчете использовался </w:t>
      </w:r>
      <w:r>
        <w:rPr>
          <w:rFonts w:ascii="Tinos" w:hAnsi="Tinos" w:eastAsia="Tinos" w:cs="Tinos"/>
          <w:b/>
          <w:sz w:val="22"/>
          <w:szCs w:val="22"/>
          <w:lang w:eastAsia="ru-RU"/>
        </w:rPr>
        <w:t xml:space="preserve">метод «сопоставимых рыночных цен (анализ рынка)»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, согласно предоставленным коммерческим предложениям Исполнителями, обладающими опытом оказания аналогичных услуг, выполнен расчет, в результате которого определяется стоимость </w:t>
      </w:r>
      <w:r>
        <w:rPr>
          <w:rFonts w:ascii="Tinos" w:hAnsi="Tinos" w:eastAsia="Tinos" w:cs="Tinos"/>
          <w:color w:val="000000"/>
          <w:sz w:val="22"/>
          <w:szCs w:val="22"/>
          <w:lang w:eastAsia="ru-RU"/>
        </w:rPr>
        <w:t xml:space="preserve">оказания услуг по с</w:t>
      </w:r>
      <w:r>
        <w:rPr>
          <w:rFonts w:ascii="Tinos" w:hAnsi="Tinos" w:eastAsia="Tinos" w:cs="Tinos"/>
          <w:color w:val="0d0d0d" w:themeColor="text1" w:themeTint="F2"/>
          <w:sz w:val="22"/>
          <w:szCs w:val="22"/>
        </w:rPr>
        <w:t xml:space="preserve">опровождению систем информационного обеспечения деятельности.</w:t>
      </w:r>
      <w:r>
        <w:rPr>
          <w:rFonts w:ascii="Tinos" w:hAnsi="Tinos" w:cs="Tinos"/>
          <w:color w:val="000000"/>
          <w:sz w:val="22"/>
          <w:szCs w:val="22"/>
        </w:rPr>
      </w:r>
      <w:r>
        <w:rPr>
          <w:rFonts w:ascii="Tinos" w:hAnsi="Tinos" w:cs="Tinos"/>
          <w:color w:val="000000"/>
          <w:sz w:val="22"/>
          <w:szCs w:val="22"/>
        </w:rPr>
      </w:r>
    </w:p>
    <w:p>
      <w:pPr>
        <w:ind w:firstLine="851"/>
        <w:jc w:val="both"/>
        <w:spacing w:after="0" w:line="360" w:lineRule="auto"/>
        <w:rPr>
          <w:rFonts w:ascii="Tinos" w:hAnsi="Tinos" w:cs="Tinos"/>
          <w:sz w:val="22"/>
          <w:szCs w:val="22"/>
        </w:rPr>
        <w:outlineLvl w:val="0"/>
      </w:pPr>
      <w:r>
        <w:rPr>
          <w:rFonts w:ascii="Tinos" w:hAnsi="Tinos" w:eastAsia="Tinos" w:cs="Tinos"/>
          <w:sz w:val="22"/>
          <w:szCs w:val="22"/>
          <w:lang w:eastAsia="ru-RU"/>
        </w:rPr>
        <w:t xml:space="preserve">Начальная (максимальная) цена контракта была определена по формуле: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ind w:left="5664" w:firstLine="708"/>
        <w:spacing w:after="0" w:line="36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position w:val="-24"/>
          <w:sz w:val="22"/>
          <w:szCs w:val="22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28775" cy="400050"/>
                <wp:effectExtent l="0" t="0" r="952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53909025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>
                          <a:extLst>
                            <a:ext uri="{96DAC541-7B7A-43D3-8B79-37D633B846F1}">
                              <asvg:svgBlip xmlns:asvg="http://schemas.microsoft.com/office/drawing/2016/SVG/main" r:embed="rId10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162877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28.25pt;height:31.50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где: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ind w:firstLine="851"/>
        <w:jc w:val="both"/>
        <w:spacing w:after="0" w:line="360" w:lineRule="auto"/>
        <w:widowControl w:val="off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position w:val="-10"/>
          <w:sz w:val="22"/>
          <w:szCs w:val="22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76275" cy="238125"/>
                <wp:effectExtent l="0" t="0" r="9525" b="9525"/>
                <wp:docPr id="2" name="Рисунок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78279834" name="Рисунок 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>
                          <a:extLst>
                            <a:ext uri="{96DAC541-7B7A-43D3-8B79-37D633B846F1}">
                              <asvg:svgBlip xmlns:asvg="http://schemas.microsoft.com/office/drawing/2016/SVG/main" r:embed="rId12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676274" cy="2381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53.25pt;height:18.75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 - НМЦК, 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определяемая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 методом сопоставимых рыночных цен (анализа рынка);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jc w:val="both"/>
        <w:spacing w:after="0" w:line="360" w:lineRule="auto"/>
        <w:widowControl w:val="off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23825" cy="142875"/>
                <wp:effectExtent l="0" t="0" r="9525" b="9525"/>
                <wp:docPr id="3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3889199" name="Рисунок 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123824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9.75pt;height:11.25pt;mso-wrap-distance-left:0.00pt;mso-wrap-distance-top:0.00pt;mso-wrap-distance-right:0.00pt;mso-wrap-distance-bottom:0.00pt;" stroked="f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- количество (объем) закупаемого товара (работы, услуги);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jc w:val="both"/>
        <w:spacing w:after="0" w:line="360" w:lineRule="auto"/>
        <w:widowControl w:val="off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23825" cy="142875"/>
                <wp:effectExtent l="0" t="0" r="9525" b="9525"/>
                <wp:docPr id="4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02738960" name="Рисунок 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23824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9.75pt;height:11.25pt;mso-wrap-distance-left:0.00pt;mso-wrap-distance-top:0.00pt;mso-wrap-distance-right:0.00pt;mso-wrap-distance-bottom:0.00pt;" stroked="f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 - количество значений, используемых в расчете;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jc w:val="both"/>
        <w:spacing w:after="0" w:line="360" w:lineRule="auto"/>
        <w:widowControl w:val="off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5725" cy="161925"/>
                <wp:effectExtent l="0" t="0" r="9525" b="9525"/>
                <wp:docPr id="5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1131714" name="Рисунок 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85725" cy="1619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6.75pt;height:12.75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 - номер источника ценовой информации;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ind w:firstLine="540"/>
        <w:jc w:val="both"/>
        <w:spacing w:after="0" w:line="360" w:lineRule="auto"/>
        <w:widowControl w:val="off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52400" cy="238125"/>
                <wp:effectExtent l="0" t="0" r="0" b="9525"/>
                <wp:docPr id="6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5325523" name="Рисунок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>
                          <a:extLst>
                            <a:ext uri="{96DAC541-7B7A-43D3-8B79-37D633B846F1}">
                              <asvg:svgBlip xmlns:asvg="http://schemas.microsoft.com/office/drawing/2016/SVG/main" r:embed="rId17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152399" cy="2381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12.00pt;height:18.75pt;mso-wrap-distance-left:0.00pt;mso-wrap-distance-top:0.00pt;mso-wrap-distance-right:0.00pt;mso-wrap-distance-bottom:0.00pt;" stroked="f">
                <v:path textboxrect="0,0,0,0"/>
                <v:imagedata r:id="rId16" o:title=""/>
              </v:shape>
            </w:pict>
          </mc:Fallback>
        </mc:AlternateConten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 - цена единицы товара, работы, услуг представленная в источнике с номером </w:t>
      </w:r>
      <w:r>
        <w:rPr>
          <w:rFonts w:ascii="Tinos" w:hAnsi="Tinos" w:eastAsia="Tinos" w:cs="Tinos"/>
          <w:sz w:val="22"/>
          <w:szCs w:val="22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5725" cy="161925"/>
                <wp:effectExtent l="0" t="0" r="9525" b="9525"/>
                <wp:docPr id="7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5085733" name="Рисунок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85725" cy="1619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6.75pt;height:12.75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 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ind w:firstLine="567"/>
        <w:jc w:val="both"/>
        <w:spacing w:after="0" w:line="36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  <w:lang w:eastAsia="ru-RU"/>
        </w:rPr>
        <w:t xml:space="preserve">В целях определения однородности совокупности значений цен, используемых в расчете начальной (максимальной) цены контракта, определен коэффициент вариации цен по следующей формуле: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ind w:right="650" w:firstLine="709"/>
        <w:jc w:val="both"/>
        <w:spacing w:after="0" w:line="360" w:lineRule="auto"/>
        <w:rPr>
          <w:rFonts w:ascii="Tinos" w:hAnsi="Tinos" w:cs="Tinos"/>
          <w:sz w:val="22"/>
          <w:szCs w:val="22"/>
        </w:rPr>
        <w:outlineLvl w:val="0"/>
      </w:pPr>
      <w:r>
        <w:rPr>
          <w:rFonts w:ascii="Tinos" w:hAnsi="Tinos" w:eastAsia="Tinos" w:cs="Tinos"/>
          <w:sz w:val="22"/>
          <w:szCs w:val="22"/>
          <w:lang w:eastAsia="ru-RU"/>
        </w:rPr>
      </w:r>
      <w:r>
        <w:rPr>
          <w:rFonts w:ascii="Tinos" w:hAnsi="Tinos" w:eastAsia="Tinos" w:cs="Tinos"/>
          <w:sz w:val="22"/>
          <w:szCs w:val="22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329070" cy="627321"/>
                <wp:effectExtent l="0" t="0" r="4445" b="0"/>
                <wp:docPr id="8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3475480" name="Рисунок 2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 bwMode="auto">
                        <a:xfrm>
                          <a:off x="0" y="0"/>
                          <a:ext cx="1333499" cy="6294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104.65pt;height:49.40pt;mso-wrap-distance-left:0.00pt;mso-wrap-distance-top:0.00pt;mso-wrap-distance-right:0.00pt;mso-wrap-distance-bottom:0.00pt;" stroked="f">
                <v:path textboxrect="0,0,0,0"/>
                <v:imagedata r:id="rId18" o:title=""/>
              </v:shape>
            </w:pict>
          </mc:Fallback>
        </mc:AlternateConten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ind w:right="650" w:firstLine="567"/>
        <w:spacing w:after="0" w:line="36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  <w:lang w:eastAsia="ru-RU"/>
        </w:rPr>
        <w:t xml:space="preserve">где: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ind w:right="650" w:firstLine="567"/>
        <w:spacing w:after="0" w:line="360" w:lineRule="auto"/>
        <w:rPr>
          <w:rFonts w:ascii="Tinos" w:hAnsi="Tinos" w:cs="Tinos"/>
          <w:sz w:val="22"/>
          <w:szCs w:val="22"/>
        </w:rPr>
        <w:outlineLvl w:val="0"/>
      </w:pPr>
      <w:r>
        <w:rPr>
          <w:rFonts w:ascii="Tinos" w:hAnsi="Tinos" w:eastAsia="Tinos" w:cs="Tinos"/>
          <w:sz w:val="22"/>
          <w:szCs w:val="22"/>
          <w:lang w:eastAsia="ru-RU"/>
        </w:rPr>
        <w:t xml:space="preserve">V – коэффициент вариации,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ind w:right="650" w:firstLine="567"/>
        <w:spacing w:after="0" w:line="36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  <w:lang w:eastAsia="ru-RU"/>
        </w:rPr>
        <w:fldChar w:fldCharType="begin"/>
      </w:r>
      <w:r>
        <w:rPr>
          <w:rFonts w:ascii="Tinos" w:hAnsi="Tinos" w:eastAsia="Tinos" w:cs="Tinos"/>
          <w:sz w:val="22"/>
          <w:szCs w:val="22"/>
          <w:lang w:eastAsia="ru-RU"/>
        </w:rPr>
        <w:instrText xml:space="preserve"> QUOTE </w:instrText>
      </w:r>
      <w:r>
        <w:rPr>
          <w:rFonts w:ascii="Tinos" w:hAnsi="Tinos" w:eastAsia="Tinos" w:cs="Tinos"/>
          <w:position w:val="-45"/>
          <w:sz w:val="22"/>
          <w:szCs w:val="22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352550" cy="609600"/>
                <wp:effectExtent l="0" t="0" r="0" b="0"/>
                <wp:docPr id="9" name="Рисунок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34777878" name="Рисунок 2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 bwMode="auto">
                        <a:xfrm>
                          <a:off x="0" y="0"/>
                          <a:ext cx="1352549" cy="6095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106.50pt;height:48.00pt;mso-wrap-distance-left:0.00pt;mso-wrap-distance-top:0.00pt;mso-wrap-distance-right:0.00pt;mso-wrap-distance-bottom:0.00pt;" stroked="f">
                <v:path textboxrect="0,0,0,0"/>
                <v:imagedata r:id="rId19" o:title=""/>
              </v:shape>
            </w:pict>
          </mc:Fallback>
        </mc:AlternateContent>
      </w:r>
      <w:r>
        <w:rPr>
          <w:rFonts w:ascii="Tinos" w:hAnsi="Tinos" w:eastAsia="Tinos" w:cs="Tinos"/>
          <w:sz w:val="22"/>
          <w:szCs w:val="22"/>
          <w:lang w:eastAsia="ru-RU"/>
        </w:rPr>
        <w:instrText xml:space="preserve"> </w:instrText>
      </w:r>
      <w:r>
        <w:rPr>
          <w:rFonts w:ascii="Tinos" w:hAnsi="Tinos" w:eastAsia="Tinos" w:cs="Tinos"/>
          <w:sz w:val="22"/>
          <w:szCs w:val="22"/>
          <w:lang w:eastAsia="ru-RU"/>
        </w:rPr>
        <w:fldChar w:fldCharType="separate"/>
      </w:r>
      <w:r>
        <w:rPr>
          <w:rFonts w:ascii="Tinos" w:hAnsi="Tinos" w:eastAsia="Tinos" w:cs="Tinos"/>
          <w:position w:val="-45"/>
          <w:sz w:val="22"/>
          <w:szCs w:val="22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339702" cy="637954"/>
                <wp:effectExtent l="0" t="0" r="0" b="0"/>
                <wp:docPr id="10" name="Рисунок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77571114" name="Рисунок 2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 bwMode="auto">
                        <a:xfrm>
                          <a:off x="0" y="0"/>
                          <a:ext cx="1352549" cy="6440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105.49pt;height:50.23pt;mso-wrap-distance-left:0.00pt;mso-wrap-distance-top:0.00pt;mso-wrap-distance-right:0.00pt;mso-wrap-distance-bottom:0.00pt;" stroked="f">
                <v:path textboxrect="0,0,0,0"/>
                <v:imagedata r:id="rId19" o:title=""/>
              </v:shape>
            </w:pict>
          </mc:Fallback>
        </mc:AlternateContent>
      </w:r>
      <w:r>
        <w:rPr>
          <w:rFonts w:ascii="Tinos" w:hAnsi="Tinos" w:eastAsia="Tinos" w:cs="Tinos"/>
          <w:sz w:val="22"/>
          <w:szCs w:val="22"/>
          <w:lang w:eastAsia="ru-RU"/>
        </w:rPr>
        <w:fldChar w:fldCharType="end"/>
      </w:r>
      <w:r>
        <w:rPr>
          <w:rFonts w:ascii="Tinos" w:hAnsi="Tinos" w:eastAsia="Tinos" w:cs="Tinos"/>
          <w:sz w:val="22"/>
          <w:szCs w:val="22"/>
          <w:lang w:eastAsia="ru-RU"/>
        </w:rPr>
        <w:t xml:space="preserve"> – среднеквадратичное отклонение,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ind w:right="650" w:firstLine="567"/>
        <w:spacing w:after="0" w:line="36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  <w:lang w:eastAsia="ru-RU"/>
        </w:rPr>
        <w:t xml:space="preserve">ц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i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 – цена услуги, указанная в источнике с номером i,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ind w:right="650" w:firstLine="567"/>
        <w:spacing w:after="0" w:line="36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  <w:lang w:eastAsia="ru-RU"/>
        </w:rPr>
        <w:t xml:space="preserve">ц – средняя арифметическая величина цены услуги,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jc w:val="both"/>
        <w:spacing w:after="0" w:line="240" w:lineRule="auto"/>
        <w:rPr>
          <w:rFonts w:ascii="Tinos" w:hAnsi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lang w:eastAsia="ru-RU"/>
        </w:rPr>
        <w:t xml:space="preserve">n – количество значений, используемых в расчете.</w:t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jc w:val="both"/>
        <w:spacing w:after="0" w:line="240" w:lineRule="auto"/>
        <w:rPr>
          <w:rFonts w:ascii="Tinos" w:hAnsi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tbl>
      <w:tblPr>
        <w:tblW w:w="15430" w:type="dxa"/>
        <w:tblInd w:w="-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4"/>
        <w:gridCol w:w="992"/>
        <w:gridCol w:w="1843"/>
        <w:gridCol w:w="1984"/>
        <w:gridCol w:w="1984"/>
        <w:gridCol w:w="1843"/>
        <w:gridCol w:w="1559"/>
        <w:gridCol w:w="1559"/>
        <w:gridCol w:w="1843"/>
      </w:tblGrid>
      <w:tr>
        <w:tblPrEx/>
        <w:trPr>
          <w:trHeight w:val="230"/>
        </w:trPr>
        <w:tc>
          <w:tcPr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3" w:type="dxa"/>
              <w:top w:w="113" w:type="dxa"/>
              <w:right w:w="113" w:type="dxa"/>
              <w:bottom w:w="113" w:type="dxa"/>
            </w:tcMar>
            <w:tcW w:w="15430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Расчет начальной (максимальной) цены контракта методом сопоставимых рыночных цен (анализа рынка)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                   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>
          <w:trHeight w:val="954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3" w:type="dxa"/>
              <w:top w:w="113" w:type="dxa"/>
              <w:right w:w="113" w:type="dxa"/>
              <w:bottom w:w="113" w:type="dxa"/>
            </w:tcMar>
            <w:tcW w:w="182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Характеристика  ценовой информации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3" w:type="dxa"/>
              <w:top w:w="113" w:type="dxa"/>
              <w:right w:w="113" w:type="dxa"/>
              <w:bottom w:w="113" w:type="dxa"/>
            </w:tcMar>
            <w:tcW w:w="992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Кол-во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tcMar>
              <w:left w:w="113" w:type="dxa"/>
              <w:top w:w="113" w:type="dxa"/>
              <w:right w:w="113" w:type="dxa"/>
              <w:bottom w:w="113" w:type="dxa"/>
            </w:tcMar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Цена единицы за 1 ед.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указанная в источнике №1, (руб.)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tcW w:w="1984" w:type="dxa"/>
            <w:textDirection w:val="lrTb"/>
            <w:noWrap w:val="false"/>
          </w:tcPr>
          <w:p>
            <w:pPr>
              <w:ind w:left="142" w:right="0" w:firstLine="0"/>
              <w:jc w:val="center"/>
              <w:spacing w:after="0" w:afterAutospacing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Цена единицы за  1ед.,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указанная в источнике №2, (руб.)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3" w:type="dxa"/>
              <w:top w:w="113" w:type="dxa"/>
              <w:right w:w="113" w:type="dxa"/>
              <w:bottom w:w="113" w:type="dxa"/>
            </w:tcMar>
            <w:tcW w:w="198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Цена единицы за 1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ед.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указанная в источнике №3, (руб.)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tcMar>
              <w:left w:w="113" w:type="dxa"/>
              <w:top w:w="113" w:type="dxa"/>
              <w:right w:w="113" w:type="dxa"/>
              <w:bottom w:w="113" w:type="dxa"/>
            </w:tcMar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Средняя арифметическая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величина цены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3" w:type="dxa"/>
              <w:top w:w="113" w:type="dxa"/>
              <w:right w:w="113" w:type="dxa"/>
              <w:bottom w:w="113" w:type="dxa"/>
            </w:tcMar>
            <w:tcW w:w="155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Среднее квадратичное отклонение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3" w:type="dxa"/>
              <w:top w:w="113" w:type="dxa"/>
              <w:right w:w="113" w:type="dxa"/>
              <w:bottom w:w="113" w:type="dxa"/>
            </w:tcMar>
            <w:tcW w:w="155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Коэффициент вариации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(%)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3" w:type="dxa"/>
              <w:top w:w="113" w:type="dxa"/>
              <w:right w:w="113" w:type="dxa"/>
              <w:bottom w:w="113" w:type="dxa"/>
            </w:tcMar>
            <w:tcW w:w="184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НМЦК (руб.)    </w:t>
            </w:r>
            <w:r>
              <w:rPr>
                <w:rFonts w:ascii="Tinos" w:hAnsi="Tinos" w:eastAsia="Tinos" w:cs="Tinos"/>
                <w:sz w:val="22"/>
                <w:szCs w:val="22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063421" cy="616689"/>
                      <wp:effectExtent l="0" t="0" r="0" b="0"/>
                      <wp:docPr id="1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2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67622" cy="619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" o:spid="_x0000_s10" type="#_x0000_t75" style="width:83.73pt;height:48.56pt;mso-wrap-distance-left:0.00pt;mso-wrap-distance-top:0.00pt;mso-wrap-distance-right:0.00pt;mso-wrap-distance-bottom:0.00pt;" stroked="f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>
          <w:trHeight w:val="1771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tcMar>
              <w:left w:w="113" w:type="dxa"/>
              <w:top w:w="113" w:type="dxa"/>
              <w:right w:w="113" w:type="dxa"/>
              <w:bottom w:w="113" w:type="dxa"/>
            </w:tcMar>
            <w:tcW w:w="1824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line="240" w:lineRule="auto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Услуги беспроводной связи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tcMar>
              <w:left w:w="113" w:type="dxa"/>
              <w:top w:w="113" w:type="dxa"/>
              <w:right w:w="113" w:type="dxa"/>
              <w:bottom w:w="113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pacing w:val="4"/>
                <w:sz w:val="22"/>
                <w:szCs w:val="22"/>
                <w:highlight w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pacing w:val="4"/>
                <w:sz w:val="22"/>
                <w:szCs w:val="22"/>
              </w:rPr>
              <w:t xml:space="preserve">1 номер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pacing w:val="4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pacing w:val="4"/>
                <w:sz w:val="22"/>
                <w:szCs w:val="22"/>
                <w:highlight w:val="none"/>
              </w:rPr>
            </w:r>
          </w:p>
          <w:p>
            <w:pPr>
              <w:jc w:val="center"/>
              <w:spacing w:after="0" w:afterAutospacing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pacing w:val="4"/>
                <w:sz w:val="22"/>
                <w:szCs w:val="22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pacing w:val="4"/>
                <w:sz w:val="22"/>
                <w:szCs w:val="22"/>
                <w:highlight w:val="none"/>
              </w:rPr>
              <w:t xml:space="preserve">6 мес.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pacing w:val="4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pacing w:val="4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tcMar>
              <w:left w:w="113" w:type="dxa"/>
              <w:top w:w="113" w:type="dxa"/>
              <w:right w:w="113" w:type="dxa"/>
              <w:bottom w:w="113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nos" w:hAnsi="Tinos" w:cs="Tinos"/>
                <w:b w:val="0"/>
                <w:bCs w:val="0"/>
                <w:color w:val="000000" w:themeColor="text1"/>
                <w:spacing w:val="4"/>
                <w:sz w:val="22"/>
                <w:szCs w:val="22"/>
              </w:rPr>
            </w:pP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pacing w:val="4"/>
                <w:sz w:val="22"/>
                <w:szCs w:val="22"/>
              </w:rPr>
              <w:t xml:space="preserve">1000,00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pacing w:val="4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pacing w:val="4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nos" w:hAnsi="Tinos" w:cs="Tinos"/>
                <w:b w:val="0"/>
                <w:bCs w:val="0"/>
                <w:color w:val="000000" w:themeColor="text1"/>
                <w:spacing w:val="4"/>
                <w:sz w:val="22"/>
                <w:szCs w:val="22"/>
              </w:rPr>
            </w:pP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pacing w:val="4"/>
                <w:sz w:val="22"/>
                <w:szCs w:val="22"/>
              </w:rPr>
              <w:t xml:space="preserve">1000,00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pacing w:val="4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pacing w:val="4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tcMar>
              <w:left w:w="113" w:type="dxa"/>
              <w:top w:w="113" w:type="dxa"/>
              <w:right w:w="113" w:type="dxa"/>
              <w:bottom w:w="113" w:type="dxa"/>
            </w:tcMar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nos" w:hAnsi="Tinos" w:cs="Tinos"/>
                <w:b w:val="0"/>
                <w:bCs w:val="0"/>
                <w:color w:val="000000" w:themeColor="text1"/>
                <w:spacing w:val="4"/>
                <w:sz w:val="22"/>
                <w:szCs w:val="22"/>
              </w:rPr>
            </w:pP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pacing w:val="4"/>
                <w:sz w:val="22"/>
                <w:szCs w:val="22"/>
              </w:rPr>
              <w:t xml:space="preserve">1000,00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pacing w:val="4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pacing w:val="4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tcMar>
              <w:left w:w="113" w:type="dxa"/>
              <w:top w:w="113" w:type="dxa"/>
              <w:right w:w="113" w:type="dxa"/>
              <w:bottom w:w="113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nos" w:hAnsi="Tinos" w:cs="Tinos"/>
                <w:b w:val="0"/>
                <w:bCs w:val="0"/>
                <w:color w:val="000000" w:themeColor="text1"/>
                <w:spacing w:val="4"/>
                <w:sz w:val="22"/>
                <w:szCs w:val="22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pacing w:val="4"/>
                <w:sz w:val="22"/>
                <w:szCs w:val="22"/>
              </w:rPr>
              <w:t xml:space="preserve">1000,00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pacing w:val="4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pacing w:val="4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tcMar>
              <w:left w:w="113" w:type="dxa"/>
              <w:top w:w="113" w:type="dxa"/>
              <w:right w:w="113" w:type="dxa"/>
              <w:bottom w:w="113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nos" w:hAnsi="Tinos" w:cs="Tinos"/>
                <w:b w:val="0"/>
                <w:bCs w:val="0"/>
                <w:color w:val="000000" w:themeColor="text1"/>
                <w:spacing w:val="4"/>
                <w:sz w:val="22"/>
                <w:szCs w:val="22"/>
              </w:rPr>
            </w:pP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pacing w:val="4"/>
                <w:sz w:val="22"/>
                <w:szCs w:val="22"/>
              </w:rPr>
              <w:t xml:space="preserve">0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pacing w:val="4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pacing w:val="4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tcMar>
              <w:left w:w="113" w:type="dxa"/>
              <w:top w:w="113" w:type="dxa"/>
              <w:right w:w="113" w:type="dxa"/>
              <w:bottom w:w="113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nos" w:hAnsi="Tinos" w:cs="Tinos"/>
                <w:b w:val="0"/>
                <w:bCs w:val="0"/>
                <w:color w:val="000000" w:themeColor="text1"/>
                <w:spacing w:val="4"/>
                <w:sz w:val="22"/>
                <w:szCs w:val="22"/>
              </w:rPr>
            </w:pP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pacing w:val="4"/>
                <w:sz w:val="22"/>
                <w:szCs w:val="22"/>
              </w:rPr>
              <w:t xml:space="preserve">0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pacing w:val="4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pacing w:val="4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tcMar>
              <w:left w:w="113" w:type="dxa"/>
              <w:top w:w="113" w:type="dxa"/>
              <w:right w:w="113" w:type="dxa"/>
              <w:bottom w:w="113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6000,00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</w:tr>
    </w:tbl>
    <w:p>
      <w:pPr>
        <w:jc w:val="both"/>
        <w:keepLines/>
        <w:spacing w:after="0" w:afterAutospacing="0"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ind w:left="-283" w:right="0" w:firstLine="360"/>
        <w:jc w:val="both"/>
        <w:spacing w:after="0" w:line="360" w:lineRule="auto"/>
        <w:widowControl w:val="off"/>
        <w:rPr>
          <w:rFonts w:ascii="Tinos" w:hAnsi="Tinos" w:cs="Tinos"/>
          <w:color w:val="0d0d0d" w:themeColor="text1" w:themeTint="F2"/>
          <w:sz w:val="22"/>
          <w:szCs w:val="22"/>
        </w:rPr>
      </w:pPr>
      <w:r>
        <w:rPr>
          <w:rFonts w:ascii="Tinos" w:hAnsi="Tinos" w:eastAsia="Tinos" w:cs="Tinos"/>
          <w:color w:val="0d0d0d" w:themeColor="text1" w:themeTint="F2"/>
          <w:sz w:val="22"/>
          <w:szCs w:val="22"/>
        </w:rPr>
        <w:t xml:space="preserve">        Коэффициент вариации цены по каждой позиции не превышает 33%, таким образом, совокупность значений, используемых в расчете, при определении НМЦК является однородной.</w:t>
      </w:r>
      <w:r>
        <w:rPr>
          <w:rFonts w:ascii="Tinos" w:hAnsi="Tinos" w:cs="Tinos"/>
          <w:color w:val="0d0d0d" w:themeColor="text1" w:themeTint="F2"/>
          <w:sz w:val="22"/>
          <w:szCs w:val="22"/>
        </w:rPr>
      </w:r>
      <w:r>
        <w:rPr>
          <w:rFonts w:ascii="Tinos" w:hAnsi="Tinos" w:cs="Tinos"/>
          <w:color w:val="0d0d0d" w:themeColor="text1" w:themeTint="F2"/>
          <w:sz w:val="22"/>
          <w:szCs w:val="22"/>
        </w:rPr>
      </w:r>
    </w:p>
    <w:p>
      <w:pPr>
        <w:ind w:left="-283" w:right="0" w:firstLine="360"/>
        <w:jc w:val="both"/>
        <w:rPr>
          <w:rFonts w:ascii="Tinos" w:hAnsi="Tinos" w:eastAsia="Tinos" w:cs="Tinos"/>
          <w:color w:val="0d0d0d" w:themeColor="text1" w:themeTint="F2"/>
          <w:sz w:val="22"/>
          <w:szCs w:val="22"/>
          <w:highlight w:val="none"/>
        </w:rPr>
      </w:pPr>
      <w:r>
        <w:rPr>
          <w:rFonts w:ascii="Tinos" w:hAnsi="Tinos" w:eastAsia="Tinos" w:cs="Tinos"/>
          <w:color w:val="0d0d0d" w:themeColor="text1" w:themeTint="F2"/>
          <w:sz w:val="22"/>
          <w:szCs w:val="22"/>
        </w:rPr>
        <w:t xml:space="preserve">        НМЦК включает все расходы, которые может понести Исполнитель при осуществлении им своих обязательств в полном объеме и надлежащего качества, в том числе все подлежащие уплате налоги</w:t>
      </w:r>
      <w:r>
        <w:rPr>
          <w:rFonts w:ascii="Tinos" w:hAnsi="Tinos" w:eastAsia="Tinos" w:cs="Tinos"/>
          <w:color w:val="0d0d0d" w:themeColor="text1" w:themeTint="F2"/>
          <w:sz w:val="22"/>
          <w:szCs w:val="22"/>
        </w:rPr>
        <w:t xml:space="preserve">.</w:t>
      </w:r>
      <w:r>
        <w:rPr>
          <w:rFonts w:ascii="Tinos" w:hAnsi="Tinos" w:eastAsia="Tinos" w:cs="Tinos"/>
          <w:color w:val="0d0d0d" w:themeColor="text1" w:themeTint="F2"/>
          <w:sz w:val="22"/>
          <w:szCs w:val="22"/>
        </w:rPr>
        <w:t xml:space="preserve"> </w:t>
      </w:r>
      <w:r>
        <w:rPr>
          <w:rFonts w:ascii="Tinos" w:hAnsi="Tinos" w:eastAsia="Tinos" w:cs="Tinos"/>
          <w:color w:val="0d0d0d" w:themeColor="text1" w:themeTint="F2"/>
          <w:sz w:val="22"/>
          <w:szCs w:val="22"/>
        </w:rPr>
        <w:t xml:space="preserve">с</w:t>
      </w:r>
      <w:r>
        <w:rPr>
          <w:rFonts w:ascii="Tinos" w:hAnsi="Tinos" w:eastAsia="Tinos" w:cs="Tinos"/>
          <w:color w:val="0d0d0d" w:themeColor="text1" w:themeTint="F2"/>
          <w:sz w:val="22"/>
          <w:szCs w:val="22"/>
        </w:rPr>
        <w:t xml:space="preserve">боры и другие обязательные платежи, а также иные расходы, связанные с исполнением контракта</w:t>
      </w:r>
      <w:r>
        <w:rPr>
          <w:rFonts w:ascii="Tinos" w:hAnsi="Tinos" w:eastAsia="Tinos" w:cs="Tinos"/>
          <w:color w:val="0d0d0d" w:themeColor="text1" w:themeTint="F2"/>
          <w:sz w:val="22"/>
          <w:szCs w:val="22"/>
        </w:rPr>
        <w:t xml:space="preserve">.</w:t>
      </w:r>
      <w:r>
        <w:rPr>
          <w:rFonts w:ascii="Tinos" w:hAnsi="Tinos" w:eastAsia="Tinos" w:cs="Tinos"/>
          <w:color w:val="0d0d0d" w:themeColor="text1" w:themeTint="F2"/>
          <w:sz w:val="22"/>
          <w:szCs w:val="22"/>
          <w:highlight w:val="none"/>
        </w:rPr>
      </w:r>
      <w:r>
        <w:rPr>
          <w:rFonts w:ascii="Tinos" w:hAnsi="Tinos" w:eastAsia="Tinos" w:cs="Tinos"/>
          <w:color w:val="0d0d0d" w:themeColor="text1" w:themeTint="F2"/>
          <w:sz w:val="22"/>
          <w:szCs w:val="22"/>
          <w:highlight w:val="none"/>
        </w:rPr>
      </w:r>
    </w:p>
    <w:p>
      <w:pPr>
        <w:ind w:left="-283" w:right="0" w:firstLine="360"/>
        <w:jc w:val="both"/>
        <w:rPr>
          <w:rFonts w:ascii="Tinos" w:hAnsi="Tinos" w:eastAsia="Tinos" w:cs="Tinos"/>
          <w:color w:val="0d0d0d" w:themeColor="text1" w:themeTint="F2"/>
          <w:sz w:val="22"/>
          <w:szCs w:val="22"/>
          <w:highlight w:val="none"/>
        </w:rPr>
      </w:pPr>
      <w:r>
        <w:rPr>
          <w:rFonts w:ascii="Tinos" w:hAnsi="Tinos" w:eastAsia="Tinos" w:cs="Tinos"/>
          <w:color w:val="0d0d0d" w:themeColor="text1" w:themeTint="F2"/>
          <w:sz w:val="22"/>
          <w:szCs w:val="22"/>
          <w:highlight w:val="none"/>
        </w:rPr>
      </w:r>
      <w:r/>
      <w:r/>
      <w:r>
        <w:rPr>
          <w:rFonts w:ascii="Tinos" w:hAnsi="Tinos" w:eastAsia="Tinos" w:cs="Tinos"/>
          <w:color w:val="0d0d0d" w:themeColor="text1" w:themeTint="F2"/>
          <w:sz w:val="22"/>
          <w:szCs w:val="22"/>
          <w:highlight w:val="none"/>
        </w:rPr>
      </w:r>
      <w:r>
        <w:rPr>
          <w:rFonts w:ascii="Tinos" w:hAnsi="Tinos" w:eastAsia="Tinos" w:cs="Tinos"/>
          <w:color w:val="0d0d0d" w:themeColor="text1" w:themeTint="F2"/>
          <w:sz w:val="22"/>
          <w:szCs w:val="22"/>
          <w:highlight w:val="none"/>
        </w:rPr>
      </w:r>
    </w:p>
    <w:p>
      <w:pPr>
        <w:ind w:left="-283" w:right="0" w:firstLine="360"/>
        <w:jc w:val="both"/>
        <w:rPr>
          <w:rFonts w:ascii="Tinos" w:hAnsi="Tinos" w:cs="Tinos"/>
          <w:color w:val="0d0d0d" w:themeColor="text1" w:themeTint="F2"/>
          <w:sz w:val="22"/>
          <w:szCs w:val="22"/>
        </w:rPr>
      </w:pPr>
      <w:r>
        <w:rPr>
          <w:rFonts w:ascii="Tinos" w:hAnsi="Tinos" w:eastAsia="Tinos" w:cs="Tinos"/>
          <w:color w:val="0d0d0d" w:themeColor="text1" w:themeTint="F2"/>
          <w:sz w:val="22"/>
          <w:szCs w:val="22"/>
          <w:highlight w:val="none"/>
        </w:rPr>
      </w:r>
      <w:r>
        <w:rPr>
          <w:rFonts w:ascii="Tinos" w:hAnsi="Tinos" w:eastAsia="Tinos" w:cs="Tinos"/>
          <w:color w:val="0d0d0d" w:themeColor="text1" w:themeTint="F2"/>
          <w:sz w:val="22"/>
          <w:szCs w:val="22"/>
          <w:highlight w:val="none"/>
        </w:rPr>
      </w:r>
      <w:r>
        <w:rPr>
          <w:rFonts w:ascii="Tinos" w:hAnsi="Tinos" w:cs="Tinos"/>
          <w:color w:val="0d0d0d" w:themeColor="text1" w:themeTint="F2"/>
          <w:sz w:val="22"/>
          <w:szCs w:val="22"/>
        </w:rPr>
      </w:r>
    </w:p>
    <w:sectPr>
      <w:footerReference w:type="default" r:id="rId8"/>
      <w:footnotePr/>
      <w:endnotePr/>
      <w:type w:val="nextPage"/>
      <w:pgSz w:w="16840" w:h="11907" w:orient="landscape"/>
      <w:pgMar w:top="992" w:right="567" w:bottom="710" w:left="1134" w:header="720" w:footer="72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5">
    <w:name w:val="Heading 1"/>
    <w:basedOn w:val="843"/>
    <w:next w:val="843"/>
    <w:link w:val="66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6">
    <w:name w:val="Heading 1 Char"/>
    <w:basedOn w:val="844"/>
    <w:link w:val="665"/>
    <w:uiPriority w:val="9"/>
    <w:rPr>
      <w:rFonts w:ascii="Arial" w:hAnsi="Arial" w:eastAsia="Arial" w:cs="Arial"/>
      <w:sz w:val="40"/>
      <w:szCs w:val="40"/>
    </w:rPr>
  </w:style>
  <w:style w:type="paragraph" w:styleId="667">
    <w:name w:val="Heading 2"/>
    <w:basedOn w:val="843"/>
    <w:next w:val="843"/>
    <w:link w:val="66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8">
    <w:name w:val="Heading 2 Char"/>
    <w:basedOn w:val="844"/>
    <w:link w:val="667"/>
    <w:uiPriority w:val="9"/>
    <w:rPr>
      <w:rFonts w:ascii="Arial" w:hAnsi="Arial" w:eastAsia="Arial" w:cs="Arial"/>
      <w:sz w:val="34"/>
    </w:rPr>
  </w:style>
  <w:style w:type="paragraph" w:styleId="669">
    <w:name w:val="Heading 3"/>
    <w:basedOn w:val="843"/>
    <w:next w:val="843"/>
    <w:link w:val="67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0">
    <w:name w:val="Heading 3 Char"/>
    <w:basedOn w:val="844"/>
    <w:link w:val="669"/>
    <w:uiPriority w:val="9"/>
    <w:rPr>
      <w:rFonts w:ascii="Arial" w:hAnsi="Arial" w:eastAsia="Arial" w:cs="Arial"/>
      <w:sz w:val="30"/>
      <w:szCs w:val="30"/>
    </w:rPr>
  </w:style>
  <w:style w:type="paragraph" w:styleId="671">
    <w:name w:val="Heading 4"/>
    <w:basedOn w:val="843"/>
    <w:next w:val="843"/>
    <w:link w:val="67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2">
    <w:name w:val="Heading 4 Char"/>
    <w:basedOn w:val="844"/>
    <w:link w:val="671"/>
    <w:uiPriority w:val="9"/>
    <w:rPr>
      <w:rFonts w:ascii="Arial" w:hAnsi="Arial" w:eastAsia="Arial" w:cs="Arial"/>
      <w:b/>
      <w:bCs/>
      <w:sz w:val="26"/>
      <w:szCs w:val="26"/>
    </w:rPr>
  </w:style>
  <w:style w:type="paragraph" w:styleId="673">
    <w:name w:val="Heading 5"/>
    <w:basedOn w:val="843"/>
    <w:next w:val="843"/>
    <w:link w:val="67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4">
    <w:name w:val="Heading 5 Char"/>
    <w:basedOn w:val="844"/>
    <w:link w:val="673"/>
    <w:uiPriority w:val="9"/>
    <w:rPr>
      <w:rFonts w:ascii="Arial" w:hAnsi="Arial" w:eastAsia="Arial" w:cs="Arial"/>
      <w:b/>
      <w:bCs/>
      <w:sz w:val="24"/>
      <w:szCs w:val="24"/>
    </w:rPr>
  </w:style>
  <w:style w:type="paragraph" w:styleId="675">
    <w:name w:val="Heading 6"/>
    <w:basedOn w:val="843"/>
    <w:next w:val="843"/>
    <w:link w:val="67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6">
    <w:name w:val="Heading 6 Char"/>
    <w:basedOn w:val="844"/>
    <w:link w:val="675"/>
    <w:uiPriority w:val="9"/>
    <w:rPr>
      <w:rFonts w:ascii="Arial" w:hAnsi="Arial" w:eastAsia="Arial" w:cs="Arial"/>
      <w:b/>
      <w:bCs/>
      <w:sz w:val="22"/>
      <w:szCs w:val="22"/>
    </w:rPr>
  </w:style>
  <w:style w:type="paragraph" w:styleId="677">
    <w:name w:val="Heading 7"/>
    <w:basedOn w:val="843"/>
    <w:next w:val="843"/>
    <w:link w:val="67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8">
    <w:name w:val="Heading 7 Char"/>
    <w:basedOn w:val="844"/>
    <w:link w:val="67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9">
    <w:name w:val="Heading 8"/>
    <w:basedOn w:val="843"/>
    <w:next w:val="843"/>
    <w:link w:val="68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0">
    <w:name w:val="Heading 8 Char"/>
    <w:basedOn w:val="844"/>
    <w:link w:val="679"/>
    <w:uiPriority w:val="9"/>
    <w:rPr>
      <w:rFonts w:ascii="Arial" w:hAnsi="Arial" w:eastAsia="Arial" w:cs="Arial"/>
      <w:i/>
      <w:iCs/>
      <w:sz w:val="22"/>
      <w:szCs w:val="22"/>
    </w:rPr>
  </w:style>
  <w:style w:type="paragraph" w:styleId="681">
    <w:name w:val="Heading 9"/>
    <w:basedOn w:val="843"/>
    <w:next w:val="843"/>
    <w:link w:val="68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2">
    <w:name w:val="Heading 9 Char"/>
    <w:basedOn w:val="844"/>
    <w:link w:val="681"/>
    <w:uiPriority w:val="9"/>
    <w:rPr>
      <w:rFonts w:ascii="Arial" w:hAnsi="Arial" w:eastAsia="Arial" w:cs="Arial"/>
      <w:i/>
      <w:iCs/>
      <w:sz w:val="21"/>
      <w:szCs w:val="21"/>
    </w:rPr>
  </w:style>
  <w:style w:type="paragraph" w:styleId="683">
    <w:name w:val="List Paragraph"/>
    <w:basedOn w:val="843"/>
    <w:uiPriority w:val="34"/>
    <w:qFormat/>
    <w:pPr>
      <w:contextualSpacing/>
      <w:ind w:left="720"/>
    </w:pPr>
  </w:style>
  <w:style w:type="paragraph" w:styleId="684">
    <w:name w:val="No Spacing"/>
    <w:uiPriority w:val="1"/>
    <w:qFormat/>
    <w:pPr>
      <w:spacing w:before="0" w:after="0" w:line="240" w:lineRule="auto"/>
    </w:pPr>
  </w:style>
  <w:style w:type="paragraph" w:styleId="685">
    <w:name w:val="Title"/>
    <w:basedOn w:val="843"/>
    <w:next w:val="843"/>
    <w:link w:val="68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6">
    <w:name w:val="Title Char"/>
    <w:basedOn w:val="844"/>
    <w:link w:val="685"/>
    <w:uiPriority w:val="10"/>
    <w:rPr>
      <w:sz w:val="48"/>
      <w:szCs w:val="48"/>
    </w:rPr>
  </w:style>
  <w:style w:type="paragraph" w:styleId="687">
    <w:name w:val="Subtitle"/>
    <w:basedOn w:val="843"/>
    <w:next w:val="843"/>
    <w:link w:val="688"/>
    <w:uiPriority w:val="11"/>
    <w:qFormat/>
    <w:pPr>
      <w:spacing w:before="200" w:after="200"/>
    </w:pPr>
    <w:rPr>
      <w:sz w:val="24"/>
      <w:szCs w:val="24"/>
    </w:rPr>
  </w:style>
  <w:style w:type="character" w:styleId="688">
    <w:name w:val="Subtitle Char"/>
    <w:basedOn w:val="844"/>
    <w:link w:val="687"/>
    <w:uiPriority w:val="11"/>
    <w:rPr>
      <w:sz w:val="24"/>
      <w:szCs w:val="24"/>
    </w:rPr>
  </w:style>
  <w:style w:type="paragraph" w:styleId="689">
    <w:name w:val="Quote"/>
    <w:basedOn w:val="843"/>
    <w:next w:val="843"/>
    <w:link w:val="690"/>
    <w:uiPriority w:val="29"/>
    <w:qFormat/>
    <w:pPr>
      <w:ind w:left="720" w:right="720"/>
    </w:pPr>
    <w:rPr>
      <w:i/>
    </w:rPr>
  </w:style>
  <w:style w:type="character" w:styleId="690">
    <w:name w:val="Quote Char"/>
    <w:link w:val="689"/>
    <w:uiPriority w:val="29"/>
    <w:rPr>
      <w:i/>
    </w:rPr>
  </w:style>
  <w:style w:type="paragraph" w:styleId="691">
    <w:name w:val="Intense Quote"/>
    <w:basedOn w:val="843"/>
    <w:next w:val="843"/>
    <w:link w:val="69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2">
    <w:name w:val="Intense Quote Char"/>
    <w:link w:val="691"/>
    <w:uiPriority w:val="30"/>
    <w:rPr>
      <w:i/>
    </w:rPr>
  </w:style>
  <w:style w:type="paragraph" w:styleId="693">
    <w:name w:val="Header"/>
    <w:basedOn w:val="843"/>
    <w:link w:val="69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4">
    <w:name w:val="Header Char"/>
    <w:basedOn w:val="844"/>
    <w:link w:val="693"/>
    <w:uiPriority w:val="99"/>
  </w:style>
  <w:style w:type="paragraph" w:styleId="695">
    <w:name w:val="Footer"/>
    <w:basedOn w:val="843"/>
    <w:link w:val="69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6">
    <w:name w:val="Footer Char"/>
    <w:basedOn w:val="844"/>
    <w:link w:val="695"/>
    <w:uiPriority w:val="99"/>
  </w:style>
  <w:style w:type="paragraph" w:styleId="697">
    <w:name w:val="Caption"/>
    <w:basedOn w:val="843"/>
    <w:next w:val="843"/>
    <w:link w:val="6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8">
    <w:name w:val="Caption Char"/>
    <w:basedOn w:val="697"/>
    <w:link w:val="695"/>
    <w:uiPriority w:val="99"/>
  </w:style>
  <w:style w:type="table" w:styleId="699">
    <w:name w:val="Table Grid"/>
    <w:basedOn w:val="84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0">
    <w:name w:val="Table Grid Light"/>
    <w:basedOn w:val="84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1">
    <w:name w:val="Plain Table 1"/>
    <w:basedOn w:val="84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2">
    <w:name w:val="Plain Table 2"/>
    <w:basedOn w:val="84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3">
    <w:name w:val="Plain Table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4">
    <w:name w:val="Plain Table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Plain Table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6">
    <w:name w:val="Grid Table 1 Light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4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8">
    <w:name w:val="Grid Table 4 - Accent 1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9">
    <w:name w:val="Grid Table 4 - Accent 2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0">
    <w:name w:val="Grid Table 4 - Accent 3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1">
    <w:name w:val="Grid Table 4 - Accent 4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2">
    <w:name w:val="Grid Table 4 - Accent 5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3">
    <w:name w:val="Grid Table 4 - Accent 6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4">
    <w:name w:val="Grid Table 5 Dark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5">
    <w:name w:val="Grid Table 5 Dark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8">
    <w:name w:val="Grid Table 5 Dark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1">
    <w:name w:val="Grid Table 6 Colorful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2">
    <w:name w:val="Grid Table 6 Colorful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3">
    <w:name w:val="Grid Table 6 Colorful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4">
    <w:name w:val="Grid Table 6 Colorful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5">
    <w:name w:val="Grid Table 6 Colorful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6">
    <w:name w:val="Grid Table 6 Colorful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7">
    <w:name w:val="Grid Table 6 Colorful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8">
    <w:name w:val="Grid Table 7 Colorful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3">
    <w:name w:val="List Table 2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4">
    <w:name w:val="List Table 2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5">
    <w:name w:val="List Table 2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6">
    <w:name w:val="List Table 2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7">
    <w:name w:val="List Table 2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8">
    <w:name w:val="List Table 2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9">
    <w:name w:val="List Table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5 Dark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6 Colorful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1">
    <w:name w:val="List Table 6 Colorful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2">
    <w:name w:val="List Table 6 Colorful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3">
    <w:name w:val="List Table 6 Colorful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4">
    <w:name w:val="List Table 6 Colorful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5">
    <w:name w:val="List Table 6 Colorful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6">
    <w:name w:val="List Table 6 Colorful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7">
    <w:name w:val="List Table 7 Colorful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8">
    <w:name w:val="List Table 7 Colorful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9">
    <w:name w:val="List Table 7 Colorful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0">
    <w:name w:val="List Table 7 Colorful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1">
    <w:name w:val="List Table 7 Colorful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2">
    <w:name w:val="List Table 7 Colorful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3">
    <w:name w:val="List Table 7 Colorful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4">
    <w:name w:val="Lined - Accent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5">
    <w:name w:val="Lined - Accent 1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6">
    <w:name w:val="Lined - Accent 2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7">
    <w:name w:val="Lined - Accent 3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8">
    <w:name w:val="Lined - Accent 4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9">
    <w:name w:val="Lined - Accent 5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0">
    <w:name w:val="Lined - Accent 6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1">
    <w:name w:val="Bordered &amp; Lined - Accent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2">
    <w:name w:val="Bordered &amp; Lined - Accent 1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3">
    <w:name w:val="Bordered &amp; Lined - Accent 2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4">
    <w:name w:val="Bordered &amp; Lined - Accent 3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5">
    <w:name w:val="Bordered &amp; Lined - Accent 4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6">
    <w:name w:val="Bordered &amp; Lined - Accent 5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7">
    <w:name w:val="Bordered &amp; Lined - Accent 6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8">
    <w:name w:val="Bordered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9">
    <w:name w:val="Bordered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0">
    <w:name w:val="Bordered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1">
    <w:name w:val="Bordered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2">
    <w:name w:val="Bordered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3">
    <w:name w:val="Bordered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4">
    <w:name w:val="Bordered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5">
    <w:name w:val="Hyperlink"/>
    <w:uiPriority w:val="99"/>
    <w:unhideWhenUsed/>
    <w:rPr>
      <w:color w:val="0000ff" w:themeColor="hyperlink"/>
      <w:u w:val="single"/>
    </w:rPr>
  </w:style>
  <w:style w:type="paragraph" w:styleId="826">
    <w:name w:val="footnote text"/>
    <w:basedOn w:val="843"/>
    <w:link w:val="827"/>
    <w:uiPriority w:val="99"/>
    <w:semiHidden/>
    <w:unhideWhenUsed/>
    <w:pPr>
      <w:spacing w:after="40" w:line="240" w:lineRule="auto"/>
    </w:pPr>
    <w:rPr>
      <w:sz w:val="18"/>
    </w:rPr>
  </w:style>
  <w:style w:type="character" w:styleId="827">
    <w:name w:val="Footnote Text Char"/>
    <w:link w:val="826"/>
    <w:uiPriority w:val="99"/>
    <w:rPr>
      <w:sz w:val="18"/>
    </w:rPr>
  </w:style>
  <w:style w:type="character" w:styleId="828">
    <w:name w:val="footnote reference"/>
    <w:basedOn w:val="844"/>
    <w:uiPriority w:val="99"/>
    <w:unhideWhenUsed/>
    <w:rPr>
      <w:vertAlign w:val="superscript"/>
    </w:rPr>
  </w:style>
  <w:style w:type="paragraph" w:styleId="829">
    <w:name w:val="endnote text"/>
    <w:basedOn w:val="843"/>
    <w:link w:val="830"/>
    <w:uiPriority w:val="99"/>
    <w:semiHidden/>
    <w:unhideWhenUsed/>
    <w:pPr>
      <w:spacing w:after="0" w:line="240" w:lineRule="auto"/>
    </w:pPr>
    <w:rPr>
      <w:sz w:val="20"/>
    </w:rPr>
  </w:style>
  <w:style w:type="character" w:styleId="830">
    <w:name w:val="Endnote Text Char"/>
    <w:link w:val="829"/>
    <w:uiPriority w:val="99"/>
    <w:rPr>
      <w:sz w:val="20"/>
    </w:rPr>
  </w:style>
  <w:style w:type="character" w:styleId="831">
    <w:name w:val="endnote reference"/>
    <w:basedOn w:val="844"/>
    <w:uiPriority w:val="99"/>
    <w:semiHidden/>
    <w:unhideWhenUsed/>
    <w:rPr>
      <w:vertAlign w:val="superscript"/>
    </w:rPr>
  </w:style>
  <w:style w:type="paragraph" w:styleId="832">
    <w:name w:val="toc 1"/>
    <w:basedOn w:val="843"/>
    <w:next w:val="843"/>
    <w:uiPriority w:val="39"/>
    <w:unhideWhenUsed/>
    <w:pPr>
      <w:ind w:left="0" w:right="0" w:firstLine="0"/>
      <w:spacing w:after="57"/>
    </w:pPr>
  </w:style>
  <w:style w:type="paragraph" w:styleId="833">
    <w:name w:val="toc 2"/>
    <w:basedOn w:val="843"/>
    <w:next w:val="843"/>
    <w:uiPriority w:val="39"/>
    <w:unhideWhenUsed/>
    <w:pPr>
      <w:ind w:left="283" w:right="0" w:firstLine="0"/>
      <w:spacing w:after="57"/>
    </w:pPr>
  </w:style>
  <w:style w:type="paragraph" w:styleId="834">
    <w:name w:val="toc 3"/>
    <w:basedOn w:val="843"/>
    <w:next w:val="843"/>
    <w:uiPriority w:val="39"/>
    <w:unhideWhenUsed/>
    <w:pPr>
      <w:ind w:left="567" w:right="0" w:firstLine="0"/>
      <w:spacing w:after="57"/>
    </w:pPr>
  </w:style>
  <w:style w:type="paragraph" w:styleId="835">
    <w:name w:val="toc 4"/>
    <w:basedOn w:val="843"/>
    <w:next w:val="843"/>
    <w:uiPriority w:val="39"/>
    <w:unhideWhenUsed/>
    <w:pPr>
      <w:ind w:left="850" w:right="0" w:firstLine="0"/>
      <w:spacing w:after="57"/>
    </w:pPr>
  </w:style>
  <w:style w:type="paragraph" w:styleId="836">
    <w:name w:val="toc 5"/>
    <w:basedOn w:val="843"/>
    <w:next w:val="843"/>
    <w:uiPriority w:val="39"/>
    <w:unhideWhenUsed/>
    <w:pPr>
      <w:ind w:left="1134" w:right="0" w:firstLine="0"/>
      <w:spacing w:after="57"/>
    </w:pPr>
  </w:style>
  <w:style w:type="paragraph" w:styleId="837">
    <w:name w:val="toc 6"/>
    <w:basedOn w:val="843"/>
    <w:next w:val="843"/>
    <w:uiPriority w:val="39"/>
    <w:unhideWhenUsed/>
    <w:pPr>
      <w:ind w:left="1417" w:right="0" w:firstLine="0"/>
      <w:spacing w:after="57"/>
    </w:pPr>
  </w:style>
  <w:style w:type="paragraph" w:styleId="838">
    <w:name w:val="toc 7"/>
    <w:basedOn w:val="843"/>
    <w:next w:val="843"/>
    <w:uiPriority w:val="39"/>
    <w:unhideWhenUsed/>
    <w:pPr>
      <w:ind w:left="1701" w:right="0" w:firstLine="0"/>
      <w:spacing w:after="57"/>
    </w:pPr>
  </w:style>
  <w:style w:type="paragraph" w:styleId="839">
    <w:name w:val="toc 8"/>
    <w:basedOn w:val="843"/>
    <w:next w:val="843"/>
    <w:uiPriority w:val="39"/>
    <w:unhideWhenUsed/>
    <w:pPr>
      <w:ind w:left="1984" w:right="0" w:firstLine="0"/>
      <w:spacing w:after="57"/>
    </w:pPr>
  </w:style>
  <w:style w:type="paragraph" w:styleId="840">
    <w:name w:val="toc 9"/>
    <w:basedOn w:val="843"/>
    <w:next w:val="843"/>
    <w:uiPriority w:val="39"/>
    <w:unhideWhenUsed/>
    <w:pPr>
      <w:ind w:left="2268" w:right="0" w:firstLine="0"/>
      <w:spacing w:after="57"/>
    </w:pPr>
  </w:style>
  <w:style w:type="paragraph" w:styleId="841">
    <w:name w:val="TOC Heading"/>
    <w:uiPriority w:val="39"/>
    <w:unhideWhenUsed/>
  </w:style>
  <w:style w:type="paragraph" w:styleId="842">
    <w:name w:val="table of figures"/>
    <w:basedOn w:val="843"/>
    <w:next w:val="843"/>
    <w:uiPriority w:val="99"/>
    <w:unhideWhenUsed/>
    <w:pPr>
      <w:spacing w:after="0" w:afterAutospacing="0"/>
    </w:pPr>
  </w:style>
  <w:style w:type="paragraph" w:styleId="843" w:default="1">
    <w:name w:val="Normal"/>
    <w:qFormat/>
  </w:style>
  <w:style w:type="character" w:styleId="844" w:default="1">
    <w:name w:val="Default Paragraph Font"/>
    <w:uiPriority w:val="1"/>
    <w:semiHidden/>
    <w:unhideWhenUsed/>
  </w:style>
  <w:style w:type="table" w:styleId="84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6" w:default="1">
    <w:name w:val="No List"/>
    <w:uiPriority w:val="99"/>
    <w:semiHidden/>
    <w:unhideWhenUsed/>
  </w:style>
  <w:style w:type="paragraph" w:styleId="847">
    <w:name w:val="Balloon Text"/>
    <w:basedOn w:val="843"/>
    <w:link w:val="84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48" w:customStyle="1">
    <w:name w:val="Текст выноски Знак"/>
    <w:basedOn w:val="844"/>
    <w:link w:val="847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image" Target="media/image1.wmf"/><Relationship Id="rId10" Type="http://schemas.openxmlformats.org/officeDocument/2006/relationships/image" Target="media/media1.svg"/><Relationship Id="rId11" Type="http://schemas.openxmlformats.org/officeDocument/2006/relationships/image" Target="media/image2.wmf"/><Relationship Id="rId12" Type="http://schemas.openxmlformats.org/officeDocument/2006/relationships/image" Target="media/media2.sv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wmf"/><Relationship Id="rId17" Type="http://schemas.openxmlformats.org/officeDocument/2006/relationships/image" Target="media/media3.svg"/><Relationship Id="rId18" Type="http://schemas.openxmlformats.org/officeDocument/2006/relationships/image" Target="media/image7.png"/><Relationship Id="rId19" Type="http://schemas.openxmlformats.org/officeDocument/2006/relationships/image" Target="media/image8.png"/><Relationship Id="rId20" Type="http://schemas.openxmlformats.org/officeDocument/2006/relationships/image" Target="media/image9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bgan_vp</cp:lastModifiedBy>
  <cp:revision>24</cp:revision>
  <dcterms:created xsi:type="dcterms:W3CDTF">2019-12-11T13:37:00Z</dcterms:created>
  <dcterms:modified xsi:type="dcterms:W3CDTF">2026-07-13T15:00:58Z</dcterms:modified>
</cp:coreProperties>
</file>