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69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5"/>
        <w:gridCol w:w="5218"/>
      </w:tblGrid>
      <w:tr>
        <w:tblPrEx/>
        <w:trPr/>
        <w:tc>
          <w:tcPr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cW w:w="4705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cW w:w="5218" w:type="dxa"/>
            <w:textDirection w:val="lrTb"/>
            <w:noWrap w:val="false"/>
          </w:tcPr>
          <w:p>
            <w:r/>
            <w:r/>
          </w:p>
        </w:tc>
      </w:tr>
    </w:tbl>
    <w:p>
      <w:pPr>
        <w:ind w:left="0" w:firstLine="709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Проект </w:t>
      </w:r>
      <w:r>
        <w:rPr>
          <w:rFonts w:ascii="Times New Roman" w:hAnsi="Times New Roman"/>
          <w:sz w:val="24"/>
        </w:rPr>
      </w:r>
    </w:p>
    <w:p>
      <w:pPr>
        <w:jc w:val="center"/>
        <w:spacing w:before="120" w:after="12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Государственный контракт №</w:t>
      </w:r>
      <w:r>
        <w:rPr>
          <w:rFonts w:ascii="Times New Roman" w:hAnsi="Times New Roman"/>
          <w:sz w:val="24"/>
        </w:rPr>
        <w:t xml:space="preserve"> ____________</w:t>
      </w:r>
      <w:r>
        <w:rPr>
          <w:rFonts w:ascii="Times New Roman" w:hAnsi="Times New Roman"/>
          <w:sz w:val="24"/>
        </w:rPr>
      </w:r>
    </w:p>
    <w:p>
      <w:pPr>
        <w:jc w:val="center"/>
        <w:spacing w:before="120" w:after="120" w:line="240" w:lineRule="auto"/>
        <w:widowControl w:val="off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ИКЗ 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</w:t>
      </w:r>
      <w:r>
        <w:rPr>
          <w:rFonts w:ascii="Times New Roman" w:hAnsi="Times New Roman"/>
          <w:sz w:val="24"/>
        </w:rPr>
        <w:t xml:space="preserve">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_____»_________ 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Территориальное управление Ф</w:t>
      </w:r>
      <w:r>
        <w:rPr>
          <w:rFonts w:ascii="Times New Roman" w:hAnsi="Times New Roman"/>
          <w:sz w:val="24"/>
        </w:rPr>
        <w:t xml:space="preserve">едерального агентства по управлению государственным имуществом в Свердловской области, именуемое в дальнейшем </w:t>
      </w: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Заказчик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, в лице ____________________________________, действующего на основании Положения, ________________________ с одной стороны, и______________________________________ (наименование организации-исполнителя), именуемый(</w:t>
      </w:r>
      <w:r>
        <w:rPr>
          <w:rFonts w:ascii="Times New Roman" w:hAnsi="Times New Roman"/>
          <w:sz w:val="24"/>
        </w:rPr>
        <w:t xml:space="preserve">ое</w:t>
      </w:r>
      <w:r>
        <w:rPr>
          <w:rFonts w:ascii="Times New Roman" w:hAnsi="Times New Roman"/>
          <w:sz w:val="24"/>
        </w:rPr>
        <w:t xml:space="preserve">) в дальнейшем </w:t>
      </w: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, в лице _____________________________(ФИО руководителя организации-исполнителя), действующего на основании (наименование Учредительного документа), с другой стороны, </w:t>
      </w:r>
      <w:r>
        <w:rPr>
          <w:rFonts w:ascii="Times New Roman" w:hAnsi="Times New Roman"/>
          <w:sz w:val="24"/>
        </w:rPr>
        <w:t xml:space="preserve">совместно именуемые «Стороны», </w:t>
      </w:r>
      <w:r>
        <w:rPr>
          <w:rFonts w:ascii="Times New Roman" w:hAnsi="Times New Roman"/>
          <w:sz w:val="24"/>
        </w:rPr>
        <w:t xml:space="preserve">заключили настоящий государственный контракт (далее – Контракт) о нижеследующем: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</w:p>
    <w:p>
      <w:pPr>
        <w:ind w:left="0" w:firstLine="720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1.1. </w:t>
      </w:r>
      <w:r>
        <w:rPr>
          <w:rFonts w:ascii="Times New Roman" w:hAnsi="Times New Roman"/>
          <w:sz w:val="24"/>
        </w:rPr>
        <w:t xml:space="preserve">Заказчик поручает, а Исполнитель принимает на себя обязательства по оказанию услуг </w:t>
      </w:r>
      <w:r>
        <w:rPr>
          <w:rFonts w:ascii="Times New Roman" w:hAnsi="Times New Roman"/>
          <w:sz w:val="24"/>
        </w:rPr>
        <w:t xml:space="preserve">по экспертизе имущества, обращенного в собственность государства на предмет проверки его соответствия требованиям технических регламентов, документам</w:t>
      </w:r>
      <w:r>
        <w:rPr>
          <w:rFonts w:ascii="Times New Roman" w:hAnsi="Times New Roman"/>
          <w:sz w:val="24"/>
        </w:rPr>
        <w:t xml:space="preserve"> по стандартизации в порядке, предусмотренном законодательством Российской Федерации о техническом регулировании  и проведение экспертизы в целях подтверждения его безопасности для жизни и здоровья человека и возможности использования по прямому назначению</w:t>
      </w:r>
      <w:r>
        <w:rPr>
          <w:rFonts w:ascii="Times New Roman" w:hAnsi="Times New Roman"/>
          <w:sz w:val="24"/>
        </w:rPr>
        <w:t xml:space="preserve"> в соответствии со Спецификацией </w:t>
      </w:r>
      <w:r>
        <w:rPr>
          <w:rFonts w:ascii="Times New Roman" w:hAnsi="Times New Roman"/>
          <w:sz w:val="24"/>
        </w:rPr>
        <w:t xml:space="preserve">(Приложение № 1 к Контракту)</w:t>
      </w:r>
      <w:r>
        <w:rPr>
          <w:rFonts w:ascii="Times New Roman" w:hAnsi="Times New Roman"/>
          <w:sz w:val="24"/>
        </w:rPr>
        <w:t xml:space="preserve"> и Описанием объекта закупки (Приложение № 2)</w:t>
      </w:r>
      <w:r>
        <w:rPr>
          <w:rFonts w:ascii="Times New Roman" w:hAnsi="Times New Roman"/>
          <w:sz w:val="24"/>
        </w:rPr>
        <w:t xml:space="preserve">, являющим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ся неотъемлемой частью настоящего Контракта.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 С</w:t>
      </w:r>
      <w:r>
        <w:rPr>
          <w:rFonts w:ascii="Times New Roman" w:hAnsi="Times New Roman"/>
          <w:sz w:val="24"/>
        </w:rPr>
        <w:t xml:space="preserve">рок оказания услуг: с </w:t>
      </w:r>
      <w:r>
        <w:rPr>
          <w:rFonts w:ascii="Times New Roman" w:hAnsi="Times New Roman"/>
          <w:sz w:val="24"/>
        </w:rPr>
        <w:t xml:space="preserve">даты заключения Контракта</w:t>
      </w:r>
      <w:r>
        <w:rPr>
          <w:rFonts w:ascii="Times New Roman" w:hAnsi="Times New Roman"/>
          <w:sz w:val="24"/>
        </w:rPr>
        <w:t xml:space="preserve"> по 10</w:t>
      </w:r>
      <w:r>
        <w:rPr>
          <w:rFonts w:ascii="Times New Roman" w:hAnsi="Times New Roman"/>
          <w:sz w:val="24"/>
        </w:rPr>
        <w:t xml:space="preserve"> октября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ind w:left="0" w:firstLine="705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</w:t>
      </w:r>
      <w:r>
        <w:rPr>
          <w:rFonts w:ascii="Times New Roman" w:hAnsi="Times New Roman"/>
          <w:sz w:val="24"/>
        </w:rPr>
        <w:t xml:space="preserve">При исполнении настоящего Контракта Исполнитель руководствуется </w:t>
      </w:r>
      <w:r>
        <w:rPr>
          <w:rFonts w:ascii="Times New Roman" w:hAnsi="Times New Roman"/>
          <w:sz w:val="24"/>
        </w:rPr>
        <w:t xml:space="preserve">Постановлением Правительства Российской Федерации от 23.09.2019 № 1238 </w:t>
      </w:r>
      <w:r>
        <w:rPr>
          <w:rFonts w:ascii="Times New Roman" w:hAnsi="Times New Roman"/>
          <w:sz w:val="24"/>
        </w:rPr>
        <w:t xml:space="preserve">«О распоряжении имуществом, обращенным в собственность государства»</w:t>
      </w:r>
      <w:r>
        <w:rPr>
          <w:rFonts w:ascii="Times New Roman" w:hAnsi="Times New Roman"/>
          <w:sz w:val="24"/>
        </w:rPr>
        <w:t xml:space="preserve">, а также </w:t>
      </w:r>
      <w:r>
        <w:rPr>
          <w:rFonts w:ascii="Times New Roman" w:hAnsi="Times New Roman"/>
          <w:sz w:val="24"/>
        </w:rPr>
        <w:t xml:space="preserve">действующим законодательством, в том числе нормативно-правовыми актами о техническом регулировании, санитарно-эпидемиологическом благополучии населения, охране окружающей сред</w:t>
      </w:r>
      <w:r>
        <w:rPr>
          <w:rFonts w:ascii="Times New Roman" w:hAnsi="Times New Roman"/>
          <w:sz w:val="24"/>
        </w:rPr>
        <w:t xml:space="preserve">ы, актами, регламентирующими порядок проведения экспертизы, взятие проб и образцов имущества и других мероприятий, осуществляемых Исполнителем по Контракту, техническими регламентами и инструкциями, установленными стандартами и нормами (ГН, ГОСТ, ОСТ, ПБ, </w:t>
      </w:r>
      <w:r>
        <w:rPr>
          <w:rFonts w:ascii="Times New Roman" w:hAnsi="Times New Roman"/>
          <w:sz w:val="24"/>
        </w:rPr>
        <w:t xml:space="preserve">СанПин</w:t>
      </w:r>
      <w:r>
        <w:rPr>
          <w:rFonts w:ascii="Times New Roman" w:hAnsi="Times New Roman"/>
          <w:sz w:val="24"/>
        </w:rPr>
        <w:t xml:space="preserve">, СП и др.). 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b w:val="0"/>
          <w:color w:val="000000"/>
          <w:sz w:val="24"/>
        </w:rPr>
      </w:r>
      <w:r>
        <w:rPr>
          <w:rFonts w:ascii="Times New Roman" w:hAnsi="Times New Roman"/>
          <w:b w:val="0"/>
          <w:color w:val="000000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</w:t>
      </w:r>
      <w:r>
        <w:rPr>
          <w:rFonts w:ascii="Times New Roman" w:hAnsi="Times New Roman"/>
          <w:b/>
          <w:sz w:val="24"/>
        </w:rPr>
        <w:t xml:space="preserve"> </w:t>
      </w:r>
      <w:r>
        <w:rPr>
          <w:rFonts w:ascii="Times New Roman" w:hAnsi="Times New Roman"/>
          <w:b/>
          <w:sz w:val="24"/>
        </w:rPr>
        <w:t xml:space="preserve">Цена Контракта 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</w:rPr>
        <w:t xml:space="preserve">2.1. Цена настоящего Контракта составляет 63 859 (Шестьдесят три тысячи восемьсот пятьдесят девять) рублей, в том числе НДС</w:t>
      </w:r>
      <w:r>
        <w:rPr>
          <w:rFonts w:ascii="Times New Roman" w:hAnsi="Times New Roman"/>
          <w:sz w:val="24"/>
        </w:rPr>
        <w:t xml:space="preserve"> по применимой ставке/НДС не предусмотрен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highlight w:val="none"/>
        </w:rPr>
        <w:t xml:space="preserve">Стоимость экспертизы (1 поручение, экспертиза)______________________</w:t>
      </w:r>
      <w:r>
        <w:rPr>
          <w:rFonts w:ascii="Times New Roman" w:hAnsi="Times New Roman"/>
          <w:sz w:val="24"/>
          <w:highlight w:val="non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 Цена Контракта включает стоимость оказания услуг и все суммы уплаты налогов, сборов и других обязательных платежей, в том числе НДС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применимой ставке</w:t>
      </w:r>
      <w:r>
        <w:rPr>
          <w:rFonts w:ascii="Times New Roman" w:hAnsi="Times New Roman"/>
          <w:sz w:val="24"/>
        </w:rPr>
        <w:t xml:space="preserve">, связанные с исполнением Контракта.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>
        <w:rPr>
          <w:rFonts w:ascii="Times New Roman" w:hAnsi="Times New Roman"/>
          <w:sz w:val="24"/>
        </w:rPr>
        <w:t xml:space="preserve">Цена Контракта является твердой и не может изменяться в ходе его исполнения, кроме случаев предусмот</w:t>
      </w:r>
      <w:r>
        <w:rPr>
          <w:rFonts w:ascii="Times New Roman" w:hAnsi="Times New Roman"/>
          <w:color w:val="000000"/>
          <w:sz w:val="24"/>
        </w:rPr>
        <w:t xml:space="preserve">ренных в </w:t>
      </w:r>
      <w:r>
        <w:rPr>
          <w:rFonts w:ascii="Times New Roman" w:hAnsi="Times New Roman"/>
          <w:color w:val="000000"/>
          <w:sz w:val="24"/>
        </w:rPr>
        <w:t xml:space="preserve">разделе 9 Контракта</w:t>
      </w:r>
      <w:r>
        <w:rPr>
          <w:rFonts w:ascii="Times New Roman" w:hAnsi="Times New Roman"/>
          <w:color w:val="000000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В случае изменения расчетного счета, Исполнитель обязан в течен</w:t>
      </w:r>
      <w:r>
        <w:rPr>
          <w:rFonts w:ascii="Times New Roman" w:hAnsi="Times New Roman"/>
          <w:sz w:val="24"/>
        </w:rPr>
        <w:t xml:space="preserve">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</w:t>
      </w:r>
      <w:r>
        <w:rPr>
          <w:rFonts w:ascii="Times New Roman" w:hAnsi="Times New Roman"/>
          <w:b/>
          <w:sz w:val="24"/>
        </w:rPr>
        <w:t xml:space="preserve"> </w:t>
      </w:r>
      <w:r>
        <w:rPr>
          <w:rFonts w:ascii="Times New Roman" w:hAnsi="Times New Roman"/>
          <w:b/>
          <w:sz w:val="24"/>
        </w:rPr>
        <w:t xml:space="preserve"> Порядок расчётов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Источник финансирования услуг, оказываемых по настоящему Контракту – федеральный бюджет.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2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Оплата оказанных услуг осуществляется по безналичному расчету, путем </w:t>
      </w:r>
      <w:r>
        <w:rPr>
          <w:rFonts w:ascii="Times New Roman" w:hAnsi="Times New Roman"/>
          <w:sz w:val="24"/>
        </w:rPr>
        <w:t xml:space="preserve">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Периодичность оказания услуг определяется Заказчиком по Заданию (поручению) на экспертизу </w:t>
      </w:r>
      <w:r>
        <w:rPr>
          <w:rFonts w:ascii="Times New Roman" w:hAnsi="Times New Roman"/>
          <w:sz w:val="24"/>
        </w:rPr>
        <w:t xml:space="preserve">(далее - Поручение)</w:t>
      </w:r>
      <w:r>
        <w:rPr>
          <w:rFonts w:ascii="Times New Roman" w:hAnsi="Times New Roman"/>
          <w:sz w:val="24"/>
        </w:rPr>
        <w:t xml:space="preserve">, составленном согласно форме (Приложение №3 к настоящему Контракту). Исполнитель в сроки, установленные Поручением, представляет Заказчику выполненные на бумажном носителе экспертные заключения, отвечающие установленным требованиям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Оплата оказанных услуг производится в течение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семи</w:t>
      </w:r>
      <w:r>
        <w:rPr>
          <w:rFonts w:ascii="Times New Roman" w:hAnsi="Times New Roman"/>
          <w:sz w:val="24"/>
        </w:rPr>
        <w:t xml:space="preserve">) рабочих дней с момента подписания Сторонами </w:t>
      </w:r>
      <w:r>
        <w:rPr>
          <w:rFonts w:ascii="Times New Roman" w:hAnsi="Times New Roman"/>
          <w:sz w:val="24"/>
        </w:rPr>
        <w:t xml:space="preserve">документа о приемке (</w:t>
      </w:r>
      <w:r>
        <w:rPr>
          <w:rFonts w:ascii="Times New Roman" w:hAnsi="Times New Roman"/>
          <w:sz w:val="24"/>
        </w:rPr>
        <w:t xml:space="preserve">Акт приема-сдачи 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слуг</w:t>
      </w:r>
      <w:r>
        <w:rPr>
          <w:rFonts w:ascii="Times New Roman" w:hAnsi="Times New Roman"/>
          <w:sz w:val="24"/>
        </w:rPr>
        <w:t xml:space="preserve">, Приложение № 4 к настоящему Контракту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, оформленного на основании документов, предусмотренных разделом 5 Контракта</w:t>
      </w:r>
      <w:r>
        <w:rPr>
          <w:rFonts w:ascii="Times New Roman" w:hAnsi="Times New Roman"/>
          <w:sz w:val="24"/>
        </w:rPr>
        <w:t xml:space="preserve">, по мере поступления средств из федерального бюджета на расчетный счет Заказчика.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 Права и обязанности сторон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</w:t>
      </w:r>
      <w:r>
        <w:rPr>
          <w:rFonts w:ascii="Times New Roman" w:hAnsi="Times New Roman"/>
          <w:b/>
          <w:sz w:val="24"/>
        </w:rPr>
        <w:t xml:space="preserve">.1.</w:t>
      </w:r>
      <w:r>
        <w:rPr>
          <w:rFonts w:ascii="Times New Roman" w:hAnsi="Times New Roman"/>
          <w:b/>
          <w:sz w:val="24"/>
        </w:rPr>
        <w:t xml:space="preserve"> </w:t>
      </w:r>
      <w:r>
        <w:rPr>
          <w:rFonts w:ascii="Times New Roman" w:hAnsi="Times New Roman"/>
          <w:b/>
          <w:sz w:val="24"/>
        </w:rPr>
        <w:t xml:space="preserve">Исполнитель обязуется: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.1.1. </w:t>
      </w:r>
      <w:r>
        <w:rPr>
          <w:rFonts w:ascii="Times New Roman" w:hAnsi="Times New Roman"/>
          <w:sz w:val="24"/>
        </w:rPr>
        <w:t xml:space="preserve">Оказ</w:t>
      </w:r>
      <w:r>
        <w:rPr>
          <w:rFonts w:ascii="Times New Roman" w:hAnsi="Times New Roman"/>
          <w:sz w:val="24"/>
        </w:rPr>
        <w:t xml:space="preserve">ать</w:t>
      </w:r>
      <w:r>
        <w:rPr>
          <w:rFonts w:ascii="Times New Roman" w:hAnsi="Times New Roman"/>
          <w:sz w:val="24"/>
        </w:rPr>
        <w:t xml:space="preserve"> услуг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по экспертизе имущества, на предмет проверки его соответствия требованиям технических регламентов, документам по </w:t>
      </w:r>
      <w:r>
        <w:rPr>
          <w:rFonts w:ascii="Times New Roman" w:hAnsi="Times New Roman"/>
          <w:sz w:val="24"/>
        </w:rPr>
        <w:t xml:space="preserve">стандартизации в порядке, предусмотренном законодательством Российской Федерации о техническом регулировании (далее - экспертиза соответствия) и проведение экспертизы в целях подтверждения его безопасности для жизни и здоровья человека и возможности исполь</w:t>
      </w:r>
      <w:r>
        <w:rPr>
          <w:rFonts w:ascii="Times New Roman" w:hAnsi="Times New Roman"/>
          <w:sz w:val="24"/>
        </w:rPr>
        <w:t xml:space="preserve">зования по прямому назначению (далее - экспертиза безопасности), в соответствии с п. 18, п. 19 Положения о распоряжении имуществом, обращенным в собственность государства, утвержденным Постановлением Правительства Российской Федерации от 23.09.2019 № 1238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«О распоряжении имуществом, обращенн</w:t>
      </w:r>
      <w:r>
        <w:rPr>
          <w:rFonts w:ascii="Times New Roman" w:hAnsi="Times New Roman"/>
          <w:sz w:val="24"/>
        </w:rPr>
        <w:t xml:space="preserve">ым в собственность государства»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в течение срока действия Контракта и на условиях, предусмотренных настоящим Контрактом.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4.1.2.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ринять в течение 3 (трех) рабочих дней со дня получения Поручения от Заказчика имеющиеся у него в наличии документы, необходимые для проведения экспертизы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4.1.3. О</w:t>
      </w:r>
      <w:r>
        <w:rPr>
          <w:rFonts w:ascii="Times New Roman" w:hAnsi="Times New Roman"/>
          <w:sz w:val="24"/>
        </w:rPr>
        <w:t xml:space="preserve">существлять в целях проведения экспертизы имущества осмотр имущества по месту фактического нахождения, указанному в Поручении.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.1.4. Осуществить сбор и анализ необходимых документов и информации.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.1.5. Обеспечить сохранность документов, получаемых от Заказчика и третьих лиц в ходе исполнения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.1.6. Не разглашать конфиденциальную информацию, полученну</w:t>
      </w:r>
      <w:r>
        <w:rPr>
          <w:rFonts w:ascii="Times New Roman" w:hAnsi="Times New Roman"/>
          <w:sz w:val="24"/>
        </w:rPr>
        <w:t xml:space="preserve">ю от Заказчика в ходе проведения экспертизы.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4.1.7. П</w:t>
      </w:r>
      <w:r>
        <w:rPr>
          <w:rFonts w:ascii="Times New Roman" w:hAnsi="Times New Roman"/>
          <w:sz w:val="24"/>
        </w:rPr>
        <w:t xml:space="preserve">редставить по результатам проведенной экспертизы имущества в срок, установленный в Поручении, но </w:t>
      </w:r>
      <w:r>
        <w:rPr>
          <w:rFonts w:ascii="Times New Roman" w:hAnsi="Times New Roman"/>
          <w:sz w:val="24"/>
        </w:rPr>
        <w:t xml:space="preserve">не позднее 30 (тридцати) дней после получения Поручения, </w:t>
      </w:r>
      <w:r>
        <w:rPr>
          <w:rFonts w:ascii="Times New Roman" w:hAnsi="Times New Roman"/>
          <w:sz w:val="24"/>
        </w:rPr>
        <w:t xml:space="preserve">письменное экспертное заключение в печатном виде на бумажном носителе и в электронном виде на электронном носителе (оптический диск CD или диск DVD, флеш-накопитель), включая электронные копии документов, полученных в ходе проведения экспертизы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4.1.8. Э</w:t>
      </w:r>
      <w:r>
        <w:rPr>
          <w:rFonts w:ascii="Times New Roman" w:hAnsi="Times New Roman"/>
          <w:sz w:val="24"/>
        </w:rPr>
        <w:t xml:space="preserve">кспертное заключение должно содержать информацию о соответствии или несоответствии имущества требов</w:t>
      </w:r>
      <w:r>
        <w:rPr>
          <w:rFonts w:ascii="Times New Roman" w:hAnsi="Times New Roman"/>
          <w:sz w:val="24"/>
        </w:rPr>
        <w:t xml:space="preserve">аниям технических регламентов, документам по стандартизации, безопасности объекта имущества и возможности его использования по назначению или несоответствии объекта имущества установленным требованиям о безопасности и/или утрате им потребительских свойств.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</w:t>
      </w:r>
      <w:r>
        <w:rPr>
          <w:rFonts w:ascii="Times New Roman" w:hAnsi="Times New Roman"/>
          <w:b/>
          <w:sz w:val="24"/>
        </w:rPr>
        <w:t xml:space="preserve">.2. Исполнитель </w:t>
      </w:r>
      <w:r>
        <w:rPr>
          <w:rFonts w:ascii="Times New Roman" w:hAnsi="Times New Roman"/>
          <w:b/>
          <w:sz w:val="24"/>
        </w:rPr>
        <w:t xml:space="preserve">вправе</w:t>
      </w:r>
      <w:r>
        <w:rPr>
          <w:rFonts w:ascii="Times New Roman" w:hAnsi="Times New Roman"/>
          <w:b/>
          <w:sz w:val="24"/>
        </w:rPr>
        <w:t xml:space="preserve">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.2.1. Получать разъяснения и дополнительные сведения, необходимые для оказания услуг, предусмотренных данным Контрактом.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20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4.2.2. </w:t>
      </w:r>
      <w:r>
        <w:rPr>
          <w:rFonts w:ascii="Times New Roman" w:hAnsi="Times New Roman"/>
          <w:sz w:val="24"/>
        </w:rPr>
        <w:t xml:space="preserve">Получать от Заказчика разъяснения и документацию по вопросам экспертизы различных видов имущества.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20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4.2.3. </w:t>
      </w:r>
      <w:r>
        <w:rPr>
          <w:rFonts w:ascii="Times New Roman" w:hAnsi="Times New Roman"/>
          <w:sz w:val="24"/>
        </w:rPr>
        <w:t xml:space="preserve">Требовать возмещения убытков, уплаты неустоек (штрафов, пеней) в соответствии с разделом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20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4.2.4. </w:t>
      </w:r>
      <w:r>
        <w:rPr>
          <w:rFonts w:ascii="Times New Roman" w:hAnsi="Times New Roman"/>
          <w:sz w:val="24"/>
        </w:rPr>
        <w:t xml:space="preserve">Требовать своевременной оплаты на условиях, установленных Контрактом, надлежащим образом оказанных и принятых услуг.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20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4.2.5. </w:t>
      </w:r>
      <w:r>
        <w:rPr>
          <w:rFonts w:ascii="Times New Roman" w:hAnsi="Times New Roman"/>
          <w:sz w:val="24"/>
        </w:rPr>
        <w:t xml:space="preserve">Принять решение об одностороннем отказе от исполнения Контракта в соответствии с гражданским законодательством.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4.3.</w:t>
      </w:r>
      <w:r>
        <w:rPr>
          <w:rFonts w:ascii="Times New Roman" w:hAnsi="Times New Roman"/>
          <w:b/>
          <w:sz w:val="24"/>
        </w:rPr>
        <w:t xml:space="preserve"> </w:t>
      </w:r>
      <w:r>
        <w:rPr>
          <w:rFonts w:ascii="Times New Roman" w:hAnsi="Times New Roman"/>
          <w:b/>
          <w:sz w:val="24"/>
        </w:rPr>
        <w:t xml:space="preserve">Заказчик </w:t>
      </w:r>
      <w:r>
        <w:rPr>
          <w:rFonts w:ascii="Times New Roman" w:hAnsi="Times New Roman"/>
          <w:b/>
          <w:sz w:val="24"/>
        </w:rPr>
        <w:t xml:space="preserve">обязуется</w:t>
      </w:r>
      <w:r>
        <w:rPr>
          <w:rFonts w:ascii="Times New Roman" w:hAnsi="Times New Roman"/>
          <w:b/>
          <w:sz w:val="24"/>
        </w:rPr>
        <w:t xml:space="preserve">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4.3.1. </w:t>
      </w:r>
      <w:r>
        <w:rPr>
          <w:rFonts w:ascii="Times New Roman" w:hAnsi="Times New Roman"/>
          <w:sz w:val="24"/>
        </w:rPr>
        <w:t xml:space="preserve"> П</w:t>
      </w:r>
      <w:r>
        <w:rPr>
          <w:rFonts w:ascii="Times New Roman" w:hAnsi="Times New Roman"/>
          <w:sz w:val="24"/>
        </w:rPr>
        <w:t xml:space="preserve">ри направлении Исполнителю письменного Пору</w:t>
      </w:r>
      <w:r>
        <w:rPr>
          <w:rFonts w:ascii="Times New Roman" w:hAnsi="Times New Roman"/>
          <w:sz w:val="24"/>
        </w:rPr>
        <w:t xml:space="preserve">чения на оказание услуг по экспертизе имущества передать Исполнителю имеющиеся в наличии у Заказчика документы, необходимые для проведения экспертизы имущества, в течение не более 3 (трех) рабочих дней со дня подтверждения получения Исполнителем Поручения.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4.3.2. Обеспечить с</w:t>
      </w:r>
      <w:r>
        <w:rPr>
          <w:rFonts w:ascii="Times New Roman" w:hAnsi="Times New Roman"/>
          <w:sz w:val="24"/>
        </w:rPr>
        <w:t xml:space="preserve">воевременную приемку оказанных услуг надлежащего качества в порядке и сроки, предусмотренные Контрактом.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4.3.3. Осуществлять оплату принятых Услуг, в размере, указанном в разделе 2 настоящего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</w:t>
      </w:r>
      <w:r>
        <w:rPr>
          <w:rFonts w:ascii="Times New Roman" w:hAnsi="Times New Roman"/>
          <w:b/>
          <w:sz w:val="24"/>
        </w:rPr>
        <w:t xml:space="preserve">.4. Заказчик вправе: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.4.1. Потребовать от Исполнителя предоставить, документ об образовании, подтверждающий получение профессиональных знаний в области </w:t>
      </w:r>
      <w:r>
        <w:rPr>
          <w:rFonts w:ascii="Times New Roman" w:hAnsi="Times New Roman"/>
          <w:sz w:val="24"/>
        </w:rPr>
        <w:t xml:space="preserve">экспертной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4.4.2. </w:t>
      </w:r>
      <w:r>
        <w:rPr>
          <w:rFonts w:ascii="Times New Roman" w:hAnsi="Times New Roman"/>
          <w:sz w:val="24"/>
        </w:rPr>
        <w:t xml:space="preserve">Требовать возмещения убытков, уплаты неустоек (штрафов, пеней) в соответствии с разделом 7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4.4.3. </w:t>
      </w:r>
      <w:r>
        <w:rPr>
          <w:rFonts w:ascii="Times New Roman" w:hAnsi="Times New Roman"/>
          <w:sz w:val="24"/>
        </w:rPr>
        <w:t xml:space="preserve">П</w:t>
      </w:r>
      <w:r>
        <w:rPr>
          <w:rFonts w:ascii="Times New Roman" w:hAnsi="Times New Roman"/>
          <w:sz w:val="24"/>
        </w:rPr>
        <w:t xml:space="preserve">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ind w:left="0"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 Порядок сдачи-приёмки оказанных услуг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5.1. </w:t>
      </w:r>
      <w:r>
        <w:rPr>
          <w:rFonts w:ascii="Times New Roman" w:hAnsi="Times New Roman"/>
          <w:sz w:val="24"/>
        </w:rPr>
        <w:t xml:space="preserve">Исполнитель передает экспертное заключение </w:t>
      </w: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аказчику </w:t>
      </w:r>
      <w:r>
        <w:rPr>
          <w:rFonts w:ascii="Times New Roman" w:hAnsi="Times New Roman"/>
          <w:sz w:val="24"/>
        </w:rPr>
        <w:t xml:space="preserve">не позднее 10 (десяти) дней п</w:t>
      </w:r>
      <w:r>
        <w:rPr>
          <w:rFonts w:ascii="Times New Roman" w:hAnsi="Times New Roman"/>
          <w:sz w:val="24"/>
        </w:rPr>
        <w:t xml:space="preserve">осле получения Поручения на экспертизу на бумажном носителе в количестве, установленном в описи имущества, подлежащего экспертизе (далее – Опись), но не более чем в трех экземплярах, и в электронном виде на CD (R/RW) диске в виде файлов следующего формата: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6"/>
        </w:numPr>
        <w:contextualSpacing/>
        <w:ind w:left="0" w:firstLine="698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текст экспертного заключения – </w:t>
      </w:r>
      <w:r>
        <w:rPr>
          <w:rFonts w:ascii="Times New Roman" w:hAnsi="Times New Roman"/>
          <w:sz w:val="24"/>
        </w:rPr>
        <w:t xml:space="preserve">MicrosoftWord</w:t>
      </w:r>
      <w:r>
        <w:rPr>
          <w:rFonts w:ascii="Times New Roman" w:hAnsi="Times New Roman"/>
          <w:sz w:val="24"/>
        </w:rPr>
        <w:t xml:space="preserve"> 97-2003 (*.</w:t>
      </w:r>
      <w:r>
        <w:rPr>
          <w:rFonts w:ascii="Times New Roman" w:hAnsi="Times New Roman"/>
          <w:sz w:val="24"/>
        </w:rPr>
        <w:t xml:space="preserve">doc</w:t>
      </w:r>
      <w:r>
        <w:rPr>
          <w:rFonts w:ascii="Times New Roman" w:hAnsi="Times New Roman"/>
          <w:sz w:val="24"/>
        </w:rPr>
        <w:t xml:space="preserve">) или </w:t>
      </w:r>
      <w:r>
        <w:rPr>
          <w:rFonts w:ascii="Times New Roman" w:hAnsi="Times New Roman"/>
          <w:sz w:val="24"/>
        </w:rPr>
        <w:t xml:space="preserve">Microsoft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Word</w:t>
      </w:r>
      <w:r>
        <w:rPr>
          <w:rFonts w:ascii="Times New Roman" w:hAnsi="Times New Roman"/>
          <w:sz w:val="24"/>
        </w:rPr>
        <w:t xml:space="preserve"> (*.</w:t>
      </w:r>
      <w:r>
        <w:rPr>
          <w:rFonts w:ascii="Times New Roman" w:hAnsi="Times New Roman"/>
          <w:sz w:val="24"/>
        </w:rPr>
        <w:t xml:space="preserve">docx</w:t>
      </w:r>
      <w:r>
        <w:rPr>
          <w:rFonts w:ascii="Times New Roman" w:hAnsi="Times New Roman"/>
          <w:sz w:val="24"/>
        </w:rPr>
        <w:t xml:space="preserve">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6"/>
        </w:numPr>
        <w:contextualSpacing/>
        <w:ind w:left="0" w:firstLine="698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фотографии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изображения</w:t>
      </w:r>
      <w:r>
        <w:rPr>
          <w:rFonts w:ascii="Times New Roman" w:hAnsi="Times New Roman"/>
          <w:sz w:val="24"/>
        </w:rPr>
        <w:t xml:space="preserve"> – Joint Photographic Experts Group (*.jpg).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ind w:left="0" w:firstLine="698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Экспертное з</w:t>
      </w:r>
      <w:r>
        <w:rPr>
          <w:rFonts w:ascii="Times New Roman" w:hAnsi="Times New Roman"/>
          <w:sz w:val="24"/>
        </w:rPr>
        <w:t xml:space="preserve">аключение</w:t>
      </w:r>
      <w:r>
        <w:rPr>
          <w:rFonts w:ascii="Times New Roman" w:hAnsi="Times New Roman"/>
          <w:sz w:val="24"/>
        </w:rPr>
        <w:t xml:space="preserve"> должно содержать: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основание, время, место и способ проведения экспертизы имущества;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сведения об экспертной организации, эксперте (фамилия, имя и отчество (при наличии), образование, специальность, стаж работы, ученая степень, занимаемая должность);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вопросы, поставленные перед экспертом;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наименование и количество имущества, в отношении которого проводится экспертиза имущества;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перечень документов, рассмотренных (примененных) при экспертизе имущества;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е) результаты экспертизы имущества, обоснованные выводы по поставленным вопросам: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0" w:firstLine="567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безопасности имущества для жизни и здоровья человека и возможности использования по прямому назначению (для имущества, бывшего в употреблении);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ind w:left="0" w:firstLine="567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соответствии или несоответствии имущества требованиям технических регламентов, документам по стандартизации (для имущества, ранее не находившегося в употреблении).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 В случае несоответствия оказанных Услуг (их объема и качества) </w:t>
      </w:r>
      <w:r>
        <w:rPr>
          <w:rFonts w:ascii="Times New Roman" w:hAnsi="Times New Roman"/>
          <w:sz w:val="24"/>
        </w:rPr>
        <w:t xml:space="preserve">Заказчик письменно направляет Исполнителю мотивированные замечания с </w:t>
      </w:r>
      <w:r>
        <w:rPr>
          <w:rFonts w:ascii="Times New Roman" w:hAnsi="Times New Roman"/>
          <w:sz w:val="24"/>
        </w:rPr>
        <w:t xml:space="preserve">перечнем необходи</w:t>
      </w:r>
      <w:r>
        <w:rPr>
          <w:rFonts w:ascii="Times New Roman" w:hAnsi="Times New Roman"/>
          <w:sz w:val="24"/>
        </w:rPr>
        <w:t xml:space="preserve">мых доработок. Претензии о проведении доработок должны быть предъявлены Заказчиком в течение 10 (десяти) дней после получения экспертного заключения. Исполнитель обязан произвести необходимые исправления без дополнительной оплаты в пределах Цены Контракта.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</w:t>
      </w:r>
      <w:r>
        <w:rPr>
          <w:rFonts w:ascii="Times New Roman" w:hAnsi="Times New Roman"/>
          <w:sz w:val="24"/>
        </w:rPr>
        <w:t xml:space="preserve">. В том случае, если Заказчиком будут выявлены недоработки, Исполнитель обязан в течение </w:t>
      </w:r>
      <w:r>
        <w:rPr>
          <w:rFonts w:ascii="Times New Roman" w:hAnsi="Times New Roman"/>
          <w:sz w:val="24"/>
        </w:rPr>
        <w:t xml:space="preserve">7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семи</w:t>
      </w:r>
      <w:r>
        <w:rPr>
          <w:rFonts w:ascii="Times New Roman" w:hAnsi="Times New Roman"/>
          <w:sz w:val="24"/>
        </w:rPr>
        <w:t xml:space="preserve">) дней со дня получения </w:t>
      </w:r>
      <w:r>
        <w:rPr>
          <w:rFonts w:ascii="Times New Roman" w:hAnsi="Times New Roman"/>
          <w:sz w:val="24"/>
        </w:rPr>
        <w:t xml:space="preserve">сообщения о недоработках</w:t>
      </w:r>
      <w:r>
        <w:rPr>
          <w:rFonts w:ascii="Times New Roman" w:hAnsi="Times New Roman"/>
          <w:sz w:val="24"/>
        </w:rPr>
        <w:t xml:space="preserve"> безвозмездно устранить их. </w:t>
      </w:r>
      <w:r>
        <w:rPr>
          <w:rFonts w:ascii="Times New Roman" w:hAnsi="Times New Roman"/>
          <w:sz w:val="24"/>
        </w:rPr>
        <w:t xml:space="preserve">Доработанный экспертное заключение направляется Заказчику в порядке, установленном п. 5.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 Контракта.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недоработок Заказчик в срок не более 10 (десяти) рабочих дней проводит повторную </w:t>
      </w:r>
      <w:r>
        <w:rPr>
          <w:rFonts w:ascii="Times New Roman" w:hAnsi="Times New Roman"/>
          <w:sz w:val="24"/>
        </w:rPr>
        <w:t xml:space="preserve">проверку </w:t>
      </w:r>
      <w:r>
        <w:rPr>
          <w:rFonts w:ascii="Times New Roman" w:hAnsi="Times New Roman"/>
          <w:sz w:val="24"/>
        </w:rPr>
        <w:t xml:space="preserve">экспертно</w:t>
      </w:r>
      <w:r>
        <w:rPr>
          <w:rFonts w:ascii="Times New Roman" w:hAnsi="Times New Roman"/>
          <w:sz w:val="24"/>
        </w:rPr>
        <w:t xml:space="preserve">го</w:t>
      </w:r>
      <w:r>
        <w:rPr>
          <w:rFonts w:ascii="Times New Roman" w:hAnsi="Times New Roman"/>
          <w:sz w:val="24"/>
        </w:rPr>
        <w:t xml:space="preserve"> заключени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</w:t>
      </w:r>
      <w:r>
        <w:rPr>
          <w:rFonts w:ascii="Times New Roman" w:hAnsi="Times New Roman"/>
          <w:sz w:val="24"/>
        </w:rPr>
        <w:t xml:space="preserve">. Срок рассмотрения документов (экспертного заключения)  - 5 рабочих дней,  В том случае, если экспертное заключение соответствует требованиям законодательства, касающегося </w:t>
      </w:r>
      <w:r>
        <w:rPr>
          <w:rFonts w:ascii="Times New Roman" w:hAnsi="Times New Roman"/>
          <w:sz w:val="24"/>
        </w:rPr>
        <w:t xml:space="preserve">экспертной</w:t>
      </w:r>
      <w:r>
        <w:rPr>
          <w:rFonts w:ascii="Times New Roman" w:hAnsi="Times New Roman"/>
          <w:sz w:val="24"/>
        </w:rPr>
        <w:t xml:space="preserve"> деятельности в Российской Федерации, Заказчик </w:t>
      </w:r>
      <w:r>
        <w:rPr>
          <w:rFonts w:ascii="Times New Roman" w:hAnsi="Times New Roman"/>
          <w:sz w:val="24"/>
        </w:rPr>
        <w:t xml:space="preserve">подписывает документ о приемке и оплачивает оказанные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5.6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Гарантийный срок оказания услуг – 36 месяцев с момента подписания </w:t>
      </w:r>
      <w:r>
        <w:rPr>
          <w:rFonts w:ascii="Times New Roman" w:hAnsi="Times New Roman"/>
          <w:sz w:val="24"/>
        </w:rPr>
        <w:t xml:space="preserve">документа о приемке (Акта приема-сдачи услуг)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Заказчик вправе в течение гарантийного срока оказания услуг предъявить требования к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сполнителю, связанные с ненадлежащим исполнением обязательств по Контракту. В случае обнаружения </w:t>
      </w: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аказчиком предоставления некачественной услуги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сполнителем и поступления претензии от </w:t>
      </w:r>
      <w:r>
        <w:rPr>
          <w:rFonts w:ascii="Times New Roman" w:hAnsi="Times New Roman"/>
          <w:sz w:val="24"/>
        </w:rPr>
        <w:t xml:space="preserve">З</w:t>
      </w:r>
      <w:r>
        <w:rPr>
          <w:rFonts w:ascii="Times New Roman" w:hAnsi="Times New Roman"/>
          <w:sz w:val="24"/>
        </w:rPr>
        <w:t xml:space="preserve">аказчика, оформленной в письменном виде, услуга считается не оказанной и подлежит повторному оказанию без дополнительной оплаты.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Обеспечение исполнения контракта</w:t>
      </w:r>
      <w:r>
        <w:rPr>
          <w:rFonts w:ascii="Times New Roman" w:hAnsi="Times New Roman"/>
          <w:b/>
          <w:sz w:val="24"/>
        </w:rPr>
      </w:r>
    </w:p>
    <w:p>
      <w:pPr>
        <w:ind w:left="0" w:firstLine="708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</w:t>
      </w:r>
      <w:r>
        <w:rPr>
          <w:rFonts w:ascii="Times New Roman" w:hAnsi="Times New Roman"/>
          <w:sz w:val="24"/>
        </w:rPr>
        <w:t xml:space="preserve"> Не предусмотрено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 Ответственность сторон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За неисполнение или ненадлежащее исполнение Контракта Стороны несут ответственность в соответствии с законодательством Российской Федерации (Постановление от 30 августа 2017 г. </w:t>
      </w:r>
      <w:r>
        <w:rPr>
          <w:rFonts w:ascii="Times New Roman" w:hAnsi="Times New Roman"/>
          <w:sz w:val="24"/>
        </w:rPr>
        <w:t xml:space="preserve">№</w:t>
      </w:r>
      <w:r>
        <w:rPr>
          <w:rFonts w:ascii="Times New Roman" w:hAnsi="Times New Roman"/>
          <w:sz w:val="24"/>
        </w:rPr>
        <w:t xml:space="preserve"> 1042) и условиями настоящего Контракта.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В случае неисполнения </w:t>
      </w:r>
      <w:r>
        <w:rPr>
          <w:rFonts w:ascii="Times New Roman" w:hAnsi="Times New Roman"/>
          <w:sz w:val="24"/>
        </w:rPr>
        <w:t xml:space="preserve">Исполнителем</w:t>
      </w:r>
      <w:r>
        <w:rPr>
          <w:rFonts w:ascii="Times New Roman" w:hAnsi="Times New Roman"/>
          <w:sz w:val="24"/>
        </w:rPr>
        <w:t xml:space="preserve"> условий Контракта Заказчик вправе обратиться в суд с требованием о расторжении Контракта. 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7.3. 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7.4. В случае просрочки исполнения </w:t>
      </w:r>
      <w:r>
        <w:rPr>
          <w:rFonts w:ascii="Times New Roman" w:hAnsi="Times New Roman"/>
          <w:sz w:val="24"/>
        </w:rPr>
        <w:t xml:space="preserve">Исполнителем</w:t>
      </w:r>
      <w:r>
        <w:rPr>
          <w:rFonts w:ascii="Times New Roman" w:hAnsi="Times New Roman"/>
          <w:sz w:val="24"/>
        </w:rPr>
        <w:t xml:space="preserve"> обязательств, предусмотренных Контрактом, </w:t>
      </w:r>
      <w:r>
        <w:rPr>
          <w:rFonts w:ascii="Times New Roman" w:hAnsi="Times New Roman"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уплачивает Заказчику пени.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 xml:space="preserve">Исполнителем</w:t>
      </w:r>
      <w:r>
        <w:rPr>
          <w:rFonts w:ascii="Times New Roman" w:hAnsi="Times New Roman"/>
          <w:sz w:val="24"/>
        </w:rPr>
        <w:t xml:space="preserve"> обязательства, предусмотренного к</w:t>
      </w:r>
      <w:r>
        <w:rPr>
          <w:rFonts w:ascii="Times New Roman" w:hAnsi="Times New Roman"/>
          <w:sz w:val="24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Fonts w:ascii="Times New Roman" w:hAnsi="Times New Roman"/>
          <w:sz w:val="24"/>
        </w:rPr>
        <w:t xml:space="preserve">Исполнителем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7.5. 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Исполнителем обязательств, предусмотренных ко</w:t>
      </w:r>
      <w:r>
        <w:rPr>
          <w:rFonts w:ascii="Times New Roman" w:hAnsi="Times New Roman"/>
          <w:sz w:val="24"/>
        </w:rPr>
        <w:t xml:space="preserve">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 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 xml:space="preserve">Исполнителем</w:t>
      </w:r>
      <w:r>
        <w:rPr>
          <w:rFonts w:ascii="Times New Roman" w:hAnsi="Times New Roman"/>
          <w:sz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sz w:val="24"/>
        </w:rPr>
        <w:t xml:space="preserve">1000 рублей, если цена контракта не превышает 3 млн. рублей.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7.6.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/>
          <w:sz w:val="24"/>
        </w:rPr>
        <w:t xml:space="preserve">Исполнителем</w:t>
      </w:r>
      <w:r>
        <w:rPr>
          <w:rFonts w:ascii="Times New Roman" w:hAnsi="Times New Roman"/>
          <w:sz w:val="24"/>
        </w:rPr>
        <w:t xml:space="preserve">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7.7. В случае просрочки исполнения Заказчиком обязательств, предусмотренных контрактом, </w:t>
      </w:r>
      <w:r>
        <w:rPr>
          <w:rFonts w:ascii="Times New Roman" w:hAnsi="Times New Roman"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вправе потребовать уплаты пеней. Пеня начисляется за каждый день просрочки исполнения обязательства, предусмотренного контрактом, начиная со дня, </w:t>
      </w:r>
      <w:r>
        <w:rPr>
          <w:rFonts w:ascii="Times New Roman" w:hAnsi="Times New Roman"/>
          <w:sz w:val="24"/>
        </w:rPr>
        <w:t xml:space="preserve">следующего после дня истечения установленного контрактом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 </w:t>
      </w:r>
      <w:r>
        <w:rPr>
          <w:rFonts w:ascii="Times New Roman" w:hAnsi="Times New Roman"/>
          <w:sz w:val="24"/>
        </w:rPr>
        <w:t xml:space="preserve">1000 рублей, если цена контракта не превышает 3 млн. рублей (включительно).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7.11. Применение неустойки (штрафа, пени) не освобождает Стороны от исполнения обязательств по Контракту.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7.12. В случае просрочки со стороны </w:t>
      </w:r>
      <w:r>
        <w:rPr>
          <w:rFonts w:ascii="Times New Roman" w:hAnsi="Times New Roman"/>
          <w:sz w:val="24"/>
        </w:rPr>
        <w:t xml:space="preserve">Исполнителя</w:t>
      </w:r>
      <w:r>
        <w:rPr>
          <w:rFonts w:ascii="Times New Roman" w:hAnsi="Times New Roman"/>
          <w:sz w:val="24"/>
        </w:rPr>
        <w:t xml:space="preserve"> исполнения Контракта на срок более чем один месяц, Заказчик имеет право обратиться к </w:t>
      </w:r>
      <w:r>
        <w:rPr>
          <w:rFonts w:ascii="Times New Roman" w:hAnsi="Times New Roman"/>
          <w:sz w:val="24"/>
        </w:rPr>
        <w:t xml:space="preserve">Исполнителю</w:t>
      </w:r>
      <w:r>
        <w:rPr>
          <w:rFonts w:ascii="Times New Roman" w:hAnsi="Times New Roman"/>
          <w:sz w:val="24"/>
        </w:rPr>
        <w:t xml:space="preserve"> с предложением о расторжении Контракта и уплате штрафных санкций, а при несогласии </w:t>
      </w:r>
      <w:r>
        <w:rPr>
          <w:rFonts w:ascii="Times New Roman" w:hAnsi="Times New Roman"/>
          <w:sz w:val="24"/>
        </w:rPr>
        <w:t xml:space="preserve">Исполнителя</w:t>
      </w:r>
      <w:r>
        <w:rPr>
          <w:rFonts w:ascii="Times New Roman" w:hAnsi="Times New Roman"/>
          <w:sz w:val="24"/>
        </w:rPr>
        <w:t xml:space="preserve"> – обратиться в суд с соответствующим иском.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7.13. В случае расторжения Контракта в связи с односторонним отказом </w:t>
      </w:r>
      <w:r>
        <w:rPr>
          <w:rFonts w:ascii="Times New Roman" w:hAnsi="Times New Roman"/>
          <w:sz w:val="24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 Разрешение споров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 Все споры между Сторонами разрешаются путем переговоров.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 При </w:t>
      </w:r>
      <w:r>
        <w:rPr>
          <w:rFonts w:ascii="Times New Roman" w:hAnsi="Times New Roman"/>
          <w:sz w:val="24"/>
        </w:rPr>
        <w:t xml:space="preserve">недостижении</w:t>
      </w:r>
      <w:r>
        <w:rPr>
          <w:rFonts w:ascii="Times New Roman" w:hAnsi="Times New Roman"/>
          <w:sz w:val="24"/>
        </w:rPr>
        <w:t xml:space="preserve">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нахождения Заказчика.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Изменения и дополнения к Контракту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</w:t>
      </w:r>
      <w:r>
        <w:rPr>
          <w:rFonts w:ascii="Times New Roman" w:hAnsi="Times New Roman"/>
          <w:sz w:val="24"/>
        </w:rPr>
        <w:t xml:space="preserve"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Изменение существенных условий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онтракта при его исполнении не допускается, за исключением их изменения по соглашению сторон в случаях, предусмотренных пунктами 1.1, 1.2, 6 и 12 части 1 статьи 95 </w:t>
      </w:r>
      <w:r>
        <w:rPr>
          <w:rFonts w:ascii="Times New Roman" w:hAnsi="Times New Roman"/>
          <w:sz w:val="24"/>
        </w:rPr>
        <w:t xml:space="preserve">Федерального закона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№ 44-ФЗ.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9.2. При исполнении Контракта не допускается перемена Исполнителя, за исключением случая, если новый Исполнитель является правопреемн</w:t>
      </w:r>
      <w:r>
        <w:rPr>
          <w:rFonts w:ascii="Times New Roman" w:hAnsi="Times New Roman"/>
          <w:sz w:val="24"/>
        </w:rPr>
        <w:t xml:space="preserve">иком Исполнителя по настоящему К</w:t>
      </w:r>
      <w:r>
        <w:rPr>
          <w:rFonts w:ascii="Times New Roman" w:hAnsi="Times New Roman"/>
          <w:sz w:val="24"/>
        </w:rPr>
        <w:t xml:space="preserve">онтракту вследствие реорганизации юридического лица в форме преобразования, слияния или присоединения. 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 Срок действия Контракта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10.1. </w:t>
      </w:r>
      <w:r>
        <w:rPr>
          <w:rFonts w:ascii="Times New Roman" w:hAnsi="Times New Roman"/>
          <w:sz w:val="24"/>
        </w:rPr>
        <w:t xml:space="preserve">Настоящий Контракт вступает в силу с даты заключения</w:t>
      </w:r>
      <w:r>
        <w:rPr>
          <w:rFonts w:ascii="Times New Roman" w:hAnsi="Times New Roman"/>
          <w:sz w:val="24"/>
        </w:rPr>
        <w:t xml:space="preserve"> и действует до 30</w:t>
      </w:r>
      <w:r>
        <w:rPr>
          <w:rFonts w:ascii="Times New Roman" w:hAnsi="Times New Roman"/>
          <w:sz w:val="24"/>
        </w:rPr>
        <w:t xml:space="preserve">.1</w:t>
      </w:r>
      <w:r>
        <w:rPr>
          <w:rFonts w:ascii="Times New Roman" w:hAnsi="Times New Roman"/>
          <w:sz w:val="24"/>
        </w:rPr>
        <w:t xml:space="preserve">1</w:t>
      </w:r>
      <w:r>
        <w:rPr>
          <w:rFonts w:ascii="Times New Roman" w:hAnsi="Times New Roman"/>
          <w:sz w:val="24"/>
        </w:rPr>
        <w:t xml:space="preserve">.2026</w:t>
      </w:r>
      <w:r>
        <w:rPr>
          <w:rFonts w:ascii="Times New Roman" w:hAnsi="Times New Roman"/>
          <w:sz w:val="24"/>
        </w:rPr>
        <w:t xml:space="preserve">, но в любом случае до надлежащего выполнения Сторонами всех обязательств по настоящему Контракту.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 Форс-мажор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</w:t>
      </w:r>
      <w:r>
        <w:rPr>
          <w:rFonts w:ascii="Times New Roman" w:hAnsi="Times New Roman"/>
          <w:sz w:val="24"/>
        </w:rPr>
        <w:t xml:space="preserve">.1. Стороны освобождаются о</w:t>
      </w:r>
      <w:r>
        <w:rPr>
          <w:rFonts w:ascii="Times New Roman" w:hAnsi="Times New Roman"/>
          <w:sz w:val="24"/>
        </w:rPr>
        <w:t xml:space="preserve">т ответственности за полное или частичное неисполнение своих обязательств по настоящему Контракту, в случае если оно явилось следствием обстоятельств непреодолимой силы, а также обстоятельств, которые Стороны были не в состоянии предвидеть и предотвратить.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11.2. Сторона, для которой создалась невозможность исполнения обязательств по Контракту, должна незамедлительно известить об этом в письменной форме другую сторону и предпринять разумные меры для преодоления создавшегося положения и возобновления с </w:t>
      </w:r>
      <w:r>
        <w:rPr>
          <w:rFonts w:ascii="Times New Roman" w:hAnsi="Times New Roman"/>
          <w:sz w:val="24"/>
        </w:rPr>
        <w:t xml:space="preserve">возможно меньшей задержкой исполнения обязательств по настоящему Контракту.</w:t>
      </w:r>
      <w:r>
        <w:rPr>
          <w:rFonts w:ascii="Times New Roman" w:hAnsi="Times New Roman"/>
          <w:spacing w:val="-1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Расторжение Контракта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12.1. </w:t>
      </w:r>
      <w:r>
        <w:rPr>
          <w:rFonts w:ascii="Times New Roman" w:hAnsi="Times New Roman"/>
          <w:sz w:val="24"/>
        </w:rPr>
        <w:t xml:space="preserve">Расторжение Контракта допускается по соглашению Сторон, решению суда или в связи с односторонним отказом Заказчика от исполнения Контракта по основаниям, предусмотренным гражданским законодательством.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12.2. </w:t>
      </w:r>
      <w:r>
        <w:rPr>
          <w:rFonts w:ascii="Times New Roman" w:hAnsi="Times New Roman"/>
          <w:sz w:val="24"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 в соответствии с положениями статьи 95 </w:t>
      </w:r>
      <w:r>
        <w:rPr>
          <w:rFonts w:ascii="Times New Roman" w:hAnsi="Times New Roman"/>
          <w:sz w:val="24"/>
        </w:rPr>
        <w:t xml:space="preserve">Федерального закона №44-ФЗ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Прочие условия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13.1. Настоящий Контракт составлен на русском языке, подписан посредством  электронной цифровой подписи каждой из Сторон. </w:t>
      </w:r>
      <w:r>
        <w:rPr>
          <w:rFonts w:ascii="Times New Roman" w:hAnsi="Times New Roman"/>
          <w:sz w:val="24"/>
        </w:rPr>
        <w:t xml:space="preserve">Все экземпляры имеют одинаковую юридическую силу.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13.3.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13.4</w:t>
      </w:r>
      <w:r>
        <w:rPr>
          <w:rFonts w:ascii="Times New Roman" w:hAnsi="Times New Roman"/>
          <w:spacing w:val="-1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Во всем, что не оговорено в настоящем Контракте,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Спецификация (приложение № 1)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 xml:space="preserve">Описание объекта закупки</w:t>
      </w:r>
      <w:r>
        <w:rPr>
          <w:rFonts w:ascii="Times New Roman" w:hAnsi="Times New Roman"/>
          <w:sz w:val="24"/>
        </w:rPr>
        <w:t xml:space="preserve"> (приложение № 2)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Задание (поручение) на экспертизу (приложение № 3).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14. Реквизиты и адреса Сторон</w:t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От Исполнителя:</w:t>
      </w:r>
      <w:r>
        <w:rPr>
          <w:rFonts w:ascii="Times New Roman" w:hAnsi="Times New Roman"/>
          <w:sz w:val="24"/>
        </w:rPr>
      </w:r>
    </w:p>
    <w:tbl>
      <w:tblPr>
        <w:tblStyle w:val="76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адрес: 620075.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Екатеринбург, ул. Восточная, 52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Екатеринбург, ул. Восточная, 52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667001001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Свердловской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03211643000000016200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40102810645370000054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УРАЛЬСКОЕ ГУ БАНКА РОССИИ//УФК по </w:t>
            </w:r>
            <w:r>
              <w:rPr>
                <w:rFonts w:ascii="Times New Roman" w:hAnsi="Times New Roman"/>
                <w:sz w:val="24"/>
              </w:rPr>
              <w:t xml:space="preserve">Свердловской области, г Екатеринбург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016577551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6" w:type="dxa"/>
            <w:textDirection w:val="lrTb"/>
            <w:noWrap w:val="false"/>
          </w:tcPr>
          <w:p>
            <w:pPr>
              <w:ind w:left="0" w:firstLine="709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М.П. _______________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(ФИО)</w:t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подписано усиленной электронной подписью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                      подписано усиленной электронной подписью</w:t>
      </w:r>
      <w:r>
        <w:rPr>
          <w:rFonts w:ascii="Times New Roman" w:hAnsi="Times New Roman"/>
          <w:color w:val="000000"/>
          <w:sz w:val="20"/>
        </w:rPr>
      </w:r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134" w:right="707" w:bottom="993" w:left="1276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</w:p>
    <w:p>
      <w:pPr>
        <w:ind w:left="0"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онтракту №______________</w:t>
      </w:r>
      <w:r>
        <w:rPr>
          <w:rFonts w:ascii="Times New Roman" w:hAnsi="Times New Roman"/>
          <w:sz w:val="24"/>
        </w:rPr>
      </w:r>
    </w:p>
    <w:p>
      <w:pPr>
        <w:ind w:left="0"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</w:t>
      </w:r>
      <w:r>
        <w:rPr>
          <w:rFonts w:ascii="Times New Roman" w:hAnsi="Times New Roman"/>
          <w:sz w:val="24"/>
        </w:rPr>
        <w:t xml:space="preserve">_»_</w:t>
      </w:r>
      <w:r>
        <w:rPr>
          <w:rFonts w:ascii="Times New Roman" w:hAnsi="Times New Roman"/>
          <w:sz w:val="24"/>
        </w:rPr>
        <w:t xml:space="preserve">__________2026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76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712"/>
        <w:gridCol w:w="1701"/>
        <w:gridCol w:w="1418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Количество, ед. измерения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руб. за единицу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3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Итого, сумма, руб.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экспертизе имущества, обращенного в собственность государства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на предмет проверки его соответствия требованиям технических регламентов, стандартов и (или) подтверждения его безопасности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для жизни и здоровья человека</w:t>
            </w:r>
            <w:r>
              <w:rPr>
                <w:rFonts w:ascii="Times New Roman" w:hAnsi="Times New Roman"/>
                <w:sz w:val="24"/>
              </w:rPr>
              <w:t xml:space="preserve">,</w:t>
            </w:r>
            <w:r>
              <w:rPr>
                <w:rFonts w:ascii="Times New Roman" w:hAnsi="Times New Roman"/>
                <w:sz w:val="24"/>
              </w:rPr>
              <w:t xml:space="preserve"> и возможности использования по прямому назначению.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1 усл единица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left="0" w:firstLine="3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Итого______________ </w:t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М.П</w:t>
      </w:r>
      <w:r>
        <w:rPr>
          <w:rFonts w:ascii="Times New Roman" w:hAnsi="Times New Roman"/>
          <w:sz w:val="24"/>
        </w:rPr>
        <w:t xml:space="preserve">. _______________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(ФИО)</w:t>
      </w:r>
      <w:r>
        <w:rPr>
          <w:rFonts w:ascii="Times New Roman" w:hAnsi="Times New Roman"/>
          <w:sz w:val="24"/>
        </w:rPr>
      </w:r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851" w:right="1134" w:bottom="851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</w:p>
    <w:p>
      <w:pPr>
        <w:ind w:left="0"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онтракту №______________</w:t>
      </w:r>
      <w:r>
        <w:rPr>
          <w:rFonts w:ascii="Times New Roman" w:hAnsi="Times New Roman"/>
          <w:sz w:val="24"/>
        </w:rPr>
      </w:r>
    </w:p>
    <w:p>
      <w:pPr>
        <w:ind w:left="0"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 xml:space="preserve">«____</w:t>
      </w:r>
      <w:r>
        <w:rPr>
          <w:rFonts w:ascii="Times New Roman" w:hAnsi="Times New Roman"/>
          <w:sz w:val="24"/>
        </w:rPr>
        <w:t xml:space="preserve">_»_</w:t>
      </w:r>
      <w:r>
        <w:rPr>
          <w:rFonts w:ascii="Times New Roman" w:hAnsi="Times New Roman"/>
          <w:sz w:val="24"/>
        </w:rPr>
        <w:t xml:space="preserve">__________2026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Описание объекта закупки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widowControl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1. Наименование услуг</w:t>
      </w:r>
      <w:r>
        <w:rPr>
          <w:rFonts w:ascii="Times New Roman" w:hAnsi="Times New Roman"/>
          <w:b/>
          <w:sz w:val="24"/>
          <w:u w:val="single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 Оказание услуг по экспертизе имущества, </w:t>
      </w:r>
      <w:r>
        <w:rPr>
          <w:rFonts w:ascii="Times New Roman" w:hAnsi="Times New Roman"/>
          <w:sz w:val="24"/>
        </w:rPr>
        <w:t xml:space="preserve">на предмет проверки его соответствия требованиям технических регламентов, документам по стандартизации в порядке, предусмотренном законодательством Российской Федерации о техническом регулировании (д</w:t>
      </w:r>
      <w:r>
        <w:rPr>
          <w:rFonts w:ascii="Times New Roman" w:hAnsi="Times New Roman"/>
          <w:sz w:val="24"/>
        </w:rPr>
        <w:t xml:space="preserve">алее - экспертиза соответствия) и </w:t>
      </w:r>
      <w:r>
        <w:rPr>
          <w:rFonts w:ascii="Times New Roman" w:hAnsi="Times New Roman"/>
          <w:sz w:val="24"/>
        </w:rPr>
        <w:t xml:space="preserve">проведение экспертизы в целях подтверждения его безопасности для жизни и здоровья человека и возможности использования по прямому назначению (далее - экспертиза безопасности)</w:t>
      </w:r>
      <w:r>
        <w:rPr>
          <w:rFonts w:ascii="Times New Roman" w:hAnsi="Times New Roman"/>
          <w:sz w:val="24"/>
        </w:rPr>
        <w:t xml:space="preserve">, в соответствии с п. 18, п. 19 Положения о распоряжении имуществом, обращенным в собственность государства, утвержденным Постановлением Правительства Российской Федерации </w:t>
      </w:r>
      <w:r>
        <w:rPr>
          <w:rFonts w:ascii="Times New Roman" w:hAnsi="Times New Roman"/>
          <w:sz w:val="24"/>
        </w:rPr>
        <w:t xml:space="preserve">от 23</w:t>
      </w:r>
      <w:r>
        <w:rPr>
          <w:rFonts w:ascii="Times New Roman" w:hAnsi="Times New Roman"/>
          <w:sz w:val="24"/>
        </w:rPr>
        <w:t xml:space="preserve">.09.</w:t>
      </w:r>
      <w:r>
        <w:rPr>
          <w:rFonts w:ascii="Times New Roman" w:hAnsi="Times New Roman"/>
          <w:sz w:val="24"/>
        </w:rPr>
        <w:t xml:space="preserve">2019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1238</w:t>
      </w:r>
      <w:r>
        <w:rPr>
          <w:rFonts w:ascii="Times New Roman" w:hAnsi="Times New Roman"/>
          <w:sz w:val="24"/>
        </w:rPr>
        <w:t xml:space="preserve"> «О</w:t>
      </w:r>
      <w:r>
        <w:rPr>
          <w:rFonts w:ascii="Times New Roman" w:hAnsi="Times New Roman"/>
          <w:sz w:val="24"/>
        </w:rPr>
        <w:t xml:space="preserve"> распоряжении имуществом, обращенным в собственность государства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0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2. Цели и задачи услуг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Проведение экспертизы </w:t>
      </w:r>
      <w:r>
        <w:rPr>
          <w:rFonts w:ascii="Times New Roman" w:hAnsi="Times New Roman"/>
          <w:sz w:val="24"/>
        </w:rPr>
        <w:t xml:space="preserve">на предмет проверки его соответствия требованиям технических регламентов, документам по стандартизации в порядке, предусмотренном законодательством Российской Федерации о техническом регулировании </w:t>
      </w:r>
      <w:r>
        <w:rPr>
          <w:rFonts w:ascii="Times New Roman" w:hAnsi="Times New Roman"/>
          <w:sz w:val="24"/>
        </w:rPr>
        <w:t xml:space="preserve">по каждому объекту имущества,</w:t>
      </w:r>
      <w:r>
        <w:rPr>
          <w:rFonts w:ascii="Times New Roman" w:hAnsi="Times New Roman"/>
          <w:sz w:val="24"/>
        </w:rPr>
        <w:t xml:space="preserve"> в отношении которого из </w:t>
      </w:r>
      <w:r>
        <w:rPr>
          <w:rFonts w:ascii="Times New Roman" w:hAnsi="Times New Roman"/>
          <w:sz w:val="24"/>
        </w:rPr>
        <w:t xml:space="preserve">правоустанавливающих документов </w:t>
      </w:r>
      <w:r>
        <w:rPr>
          <w:rFonts w:ascii="Times New Roman" w:hAnsi="Times New Roman"/>
          <w:b/>
          <w:sz w:val="24"/>
        </w:rPr>
        <w:t xml:space="preserve">не следует</w:t>
      </w:r>
      <w:r>
        <w:rPr>
          <w:rFonts w:ascii="Times New Roman" w:hAnsi="Times New Roman"/>
          <w:sz w:val="24"/>
        </w:rPr>
        <w:t xml:space="preserve">, что указанное имущество, обращенное в собственность государства, ранее было в употреблении</w:t>
      </w:r>
      <w:r>
        <w:rPr>
          <w:rFonts w:ascii="Times New Roman" w:hAnsi="Times New Roman"/>
          <w:sz w:val="24"/>
        </w:rPr>
        <w:t xml:space="preserve"> (новое).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Проведение экспертизы </w:t>
      </w:r>
      <w:r>
        <w:rPr>
          <w:rFonts w:ascii="Times New Roman" w:hAnsi="Times New Roman"/>
          <w:sz w:val="24"/>
        </w:rPr>
        <w:t xml:space="preserve">в целях подтверждения его безопасности для жизни и здоровья человека и возможности использования по прямому назначению </w:t>
      </w:r>
      <w:r>
        <w:rPr>
          <w:rFonts w:ascii="Times New Roman" w:hAnsi="Times New Roman"/>
          <w:sz w:val="24"/>
        </w:rPr>
        <w:t xml:space="preserve">по каждому объекту имущества,</w:t>
      </w:r>
      <w:r>
        <w:rPr>
          <w:rFonts w:ascii="Times New Roman" w:hAnsi="Times New Roman"/>
          <w:sz w:val="24"/>
        </w:rPr>
        <w:t xml:space="preserve"> в отношении которого из </w:t>
      </w:r>
      <w:r>
        <w:rPr>
          <w:rFonts w:ascii="Times New Roman" w:hAnsi="Times New Roman"/>
          <w:sz w:val="24"/>
        </w:rPr>
        <w:t xml:space="preserve">правоустанавливающих документов </w:t>
      </w:r>
      <w:r>
        <w:rPr>
          <w:rFonts w:ascii="Times New Roman" w:hAnsi="Times New Roman"/>
          <w:b/>
          <w:sz w:val="24"/>
        </w:rPr>
        <w:t xml:space="preserve">следует</w:t>
      </w:r>
      <w:r>
        <w:rPr>
          <w:rFonts w:ascii="Times New Roman" w:hAnsi="Times New Roman"/>
          <w:sz w:val="24"/>
        </w:rPr>
        <w:t xml:space="preserve">, что указанное имущество, обращенное в собственность государства, ранее было в употреблении</w:t>
      </w:r>
      <w:r>
        <w:rPr>
          <w:rFonts w:ascii="Times New Roman" w:hAnsi="Times New Roman"/>
          <w:sz w:val="24"/>
        </w:rPr>
        <w:t xml:space="preserve"> (б/у).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Указанные виды экспертиз проводятся при наличии физической и юридической возможности для экспертизы имущества. П</w:t>
      </w:r>
      <w:r>
        <w:rPr>
          <w:rFonts w:ascii="Times New Roman" w:hAnsi="Times New Roman"/>
          <w:sz w:val="24"/>
        </w:rPr>
        <w:t xml:space="preserve">о результатам </w:t>
      </w:r>
      <w:r>
        <w:rPr>
          <w:rFonts w:ascii="Times New Roman" w:hAnsi="Times New Roman"/>
          <w:sz w:val="24"/>
        </w:rPr>
        <w:t xml:space="preserve">экспертизы</w:t>
      </w:r>
      <w:r>
        <w:rPr>
          <w:rFonts w:ascii="Times New Roman" w:hAnsi="Times New Roman"/>
          <w:sz w:val="24"/>
        </w:rPr>
        <w:t xml:space="preserve"> должно быть установлено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Соответств</w:t>
      </w:r>
      <w:r>
        <w:rPr>
          <w:rFonts w:ascii="Times New Roman" w:hAnsi="Times New Roman"/>
          <w:sz w:val="24"/>
        </w:rPr>
        <w:t xml:space="preserve">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</w:t>
      </w:r>
      <w:r>
        <w:rPr>
          <w:rFonts w:ascii="Times New Roman" w:hAnsi="Times New Roman"/>
          <w:sz w:val="24"/>
        </w:rPr>
        <w:t xml:space="preserve">несоответствие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имущества </w:t>
      </w:r>
      <w:r>
        <w:rPr>
          <w:rFonts w:ascii="Times New Roman" w:hAnsi="Times New Roman"/>
          <w:sz w:val="24"/>
        </w:rPr>
        <w:t xml:space="preserve">требованиям технических регламентов, документам по стандартизации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Признани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(н</w:t>
      </w:r>
      <w:r>
        <w:rPr>
          <w:rFonts w:ascii="Times New Roman" w:hAnsi="Times New Roman"/>
          <w:sz w:val="24"/>
        </w:rPr>
        <w:t xml:space="preserve">епризнание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имущества, обращенного в собственность государства, безопасным для жизни и здоровья человека и возможности его использования по прямому назначению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</w:p>
    <w:p>
      <w:pPr>
        <w:contextualSpacing/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2.3.3. Необходимость проведения сертификации или декларирования для реализации.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Представить в </w:t>
      </w:r>
      <w:r>
        <w:rPr>
          <w:rFonts w:ascii="Times New Roman" w:hAnsi="Times New Roman"/>
          <w:sz w:val="24"/>
        </w:rPr>
        <w:t xml:space="preserve">ТУ </w:t>
      </w:r>
      <w:r>
        <w:rPr>
          <w:rFonts w:ascii="Times New Roman" w:hAnsi="Times New Roman"/>
          <w:sz w:val="24"/>
        </w:rPr>
        <w:t xml:space="preserve">Росимущества в Свердловской области (далее Заказчик) экспертное заключение о </w:t>
      </w:r>
      <w:r>
        <w:rPr>
          <w:rFonts w:ascii="Times New Roman" w:hAnsi="Times New Roman"/>
          <w:sz w:val="24"/>
        </w:rPr>
        <w:t xml:space="preserve">соответств</w:t>
      </w:r>
      <w:r>
        <w:rPr>
          <w:rFonts w:ascii="Times New Roman" w:hAnsi="Times New Roman"/>
          <w:sz w:val="24"/>
        </w:rPr>
        <w:t xml:space="preserve">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несоответствии имущества </w:t>
      </w:r>
      <w:r>
        <w:rPr>
          <w:rFonts w:ascii="Times New Roman" w:hAnsi="Times New Roman"/>
          <w:sz w:val="24"/>
        </w:rPr>
        <w:t xml:space="preserve">требованиям технических регламентов, документам по стандартизации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безопасности объекта имущества и возможности его использования по назначению или несоответствии объекта имущества установленным требованиям о безопасности и/или утрате им потребительских свойств.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0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3. Объекты экспертизы (исследования)</w:t>
      </w:r>
      <w:r>
        <w:rPr>
          <w:rFonts w:ascii="Times New Roman" w:hAnsi="Times New Roman"/>
          <w:b/>
          <w:sz w:val="24"/>
          <w:u w:val="singl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Оказание услуг по экспертизе следующих видов имущества (вещей):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товаров народного потребления;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продовольственной группы товаров и сырья, используемого для изготовления продуктов питания;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технологического и иного оборудования, запчастей и комплектующих к нему;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табака, табачных изделий и промышленных заменителей табака, парфюмерной и косметической продукции, биологически активных добавок и т.п.;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автотранспортных средств, запчастей и комплектующих к ним;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лома черных и цветных металлов;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иного движимого имущества, не вошедшего ни в одну вышеуказанную категорию имущества, за исключением ценных бумаг;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иного изъятого имущества.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0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4. Исходные материалы,</w:t>
      </w:r>
      <w:r>
        <w:rPr>
          <w:rFonts w:ascii="Times New Roman" w:hAnsi="Times New Roman"/>
          <w:sz w:val="24"/>
        </w:rPr>
        <w:t xml:space="preserve"> предоставляемые Исполнителю: задание (поручение) на экспертизу (далее - Поручение), техническая и правоустанавливающая документация (при наличии).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Заказчик при направлении Исполнителю письменного Пору</w:t>
      </w:r>
      <w:r>
        <w:rPr>
          <w:rFonts w:ascii="Times New Roman" w:hAnsi="Times New Roman"/>
          <w:sz w:val="24"/>
        </w:rPr>
        <w:t xml:space="preserve">чения на оказание услуг по экспертизе имущества передать Исполнителю имеющиеся в наличии у Заказчика документы, необходимые для проведения экспертизы имущества, в течение не более 3 (трех) рабочих дней со дня подтверждения получения Исполнителем Поручения.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0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5. Выходные материалы:</w:t>
      </w:r>
      <w:r>
        <w:rPr>
          <w:rFonts w:ascii="Times New Roman" w:hAnsi="Times New Roman"/>
          <w:sz w:val="24"/>
        </w:rPr>
        <w:t xml:space="preserve"> заключения об экспертизе (далее - экспертное заключение) объектов экспертизы (исследования).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0"/>
        <w:jc w:val="both"/>
        <w:spacing w:before="0" w:after="0" w:line="240" w:lineRule="auto"/>
        <w:widowControl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6. Место, срок и условия оказания услуг:</w:t>
      </w:r>
      <w:r>
        <w:rPr>
          <w:rFonts w:ascii="Times New Roman" w:hAnsi="Times New Roman"/>
          <w:b/>
          <w:sz w:val="24"/>
          <w:u w:val="single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6.1. Место оказания услуг: территория Свердловской области</w:t>
      </w:r>
      <w:r>
        <w:rPr>
          <w:rFonts w:ascii="Times New Roman" w:hAnsi="Times New Roman"/>
          <w:sz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b/>
          <w:sz w:val="24"/>
          <w:u w:val="single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Срок оказания услуг: с </w:t>
      </w:r>
      <w:r>
        <w:rPr>
          <w:rFonts w:ascii="Times New Roman" w:hAnsi="Times New Roman"/>
          <w:sz w:val="24"/>
        </w:rPr>
        <w:t xml:space="preserve">даты заключения контракта</w:t>
      </w:r>
      <w:r>
        <w:rPr>
          <w:rFonts w:ascii="Times New Roman" w:hAnsi="Times New Roman"/>
          <w:sz w:val="24"/>
        </w:rPr>
        <w:t xml:space="preserve"> до 10</w:t>
      </w:r>
      <w:r>
        <w:rPr>
          <w:rFonts w:ascii="Times New Roman" w:hAnsi="Times New Roman"/>
          <w:sz w:val="24"/>
        </w:rPr>
        <w:t xml:space="preserve"> октября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 xml:space="preserve">26</w:t>
      </w:r>
      <w:r>
        <w:rPr>
          <w:rFonts w:ascii="Times New Roman" w:hAnsi="Times New Roman"/>
          <w:sz w:val="24"/>
        </w:rPr>
        <w:t xml:space="preserve"> года;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Условия оказания услуг: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6.3.1. В результате проведения экспертизы </w:t>
      </w:r>
      <w:r>
        <w:rPr>
          <w:rFonts w:ascii="Times New Roman" w:hAnsi="Times New Roman"/>
          <w:b/>
          <w:sz w:val="24"/>
        </w:rPr>
        <w:t xml:space="preserve">по каждому объекту имущества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предмет проверки его соответствия требованиям технических регламентов, документам по стандартизации в порядке, предусмотренном законодательством Российской Федерации о </w:t>
      </w:r>
      <w:r>
        <w:rPr>
          <w:rFonts w:ascii="Times New Roman" w:hAnsi="Times New Roman"/>
          <w:sz w:val="24"/>
        </w:rPr>
        <w:t xml:space="preserve">техническом регулировании (далее - экспертиза соответствия) по каждому объекту имущества в отношении которого из  правоустанавливающих документов </w:t>
      </w:r>
      <w:r>
        <w:rPr>
          <w:rFonts w:ascii="Times New Roman" w:hAnsi="Times New Roman"/>
          <w:b/>
          <w:sz w:val="24"/>
        </w:rPr>
        <w:t xml:space="preserve">не следует</w:t>
      </w:r>
      <w:r>
        <w:rPr>
          <w:rFonts w:ascii="Times New Roman" w:hAnsi="Times New Roman"/>
          <w:sz w:val="24"/>
        </w:rPr>
        <w:t xml:space="preserve">, что указанное имущество, обращенное в собственность государства, ранее было в </w:t>
      </w:r>
      <w:r>
        <w:rPr>
          <w:rFonts w:ascii="Times New Roman" w:hAnsi="Times New Roman"/>
          <w:sz w:val="24"/>
        </w:rPr>
        <w:t xml:space="preserve">употреблении (новое) или </w:t>
      </w:r>
      <w:r>
        <w:rPr>
          <w:rFonts w:ascii="Times New Roman" w:hAnsi="Times New Roman"/>
          <w:sz w:val="24"/>
        </w:rPr>
        <w:t xml:space="preserve">в целях подтверждения его безопасности для жизни и здоровья человека и возможности использования по прямому назначению (далее - экспертиза безоп</w:t>
      </w:r>
      <w:r>
        <w:rPr>
          <w:rFonts w:ascii="Times New Roman" w:hAnsi="Times New Roman"/>
          <w:sz w:val="24"/>
        </w:rPr>
        <w:t xml:space="preserve">асности) по каждому объекту имущества в отношении которого из  </w:t>
      </w:r>
      <w:r>
        <w:rPr>
          <w:rFonts w:ascii="Times New Roman" w:hAnsi="Times New Roman"/>
          <w:sz w:val="24"/>
        </w:rPr>
        <w:t xml:space="preserve">правоустанавливающих документов </w:t>
      </w:r>
      <w:r>
        <w:rPr>
          <w:rFonts w:ascii="Times New Roman" w:hAnsi="Times New Roman"/>
          <w:b/>
          <w:sz w:val="24"/>
        </w:rPr>
        <w:t xml:space="preserve">следует</w:t>
      </w:r>
      <w:r>
        <w:rPr>
          <w:rFonts w:ascii="Times New Roman" w:hAnsi="Times New Roman"/>
          <w:sz w:val="24"/>
        </w:rPr>
        <w:t xml:space="preserve">, что указанное имущество, обращенное в собственность государства, ранее было в употреблении</w:t>
      </w:r>
      <w:r>
        <w:rPr>
          <w:rFonts w:ascii="Times New Roman" w:hAnsi="Times New Roman"/>
          <w:sz w:val="24"/>
        </w:rPr>
        <w:t xml:space="preserve"> (б/у)</w:t>
      </w:r>
      <w:r>
        <w:rPr>
          <w:rFonts w:ascii="Times New Roman" w:hAnsi="Times New Roman"/>
          <w:sz w:val="24"/>
        </w:rPr>
        <w:t xml:space="preserve">, необходимость проведения сертификации или декларирования для реализации;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6.3.2. Самостоятельный выбор Заказчиком количества имущества, передаваемого для экспертизы. Исходя из потребности Заказчика, последний формирует Поручение на экспертизу следующим образом: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Поручение должно содержать следующую информацию: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contextualSpacing/>
        <w:ind w:left="0"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объект экспертизы (исследования);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contextualSpacing/>
        <w:ind w:left="0"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имущественные права на о</w:t>
      </w:r>
      <w:r>
        <w:rPr>
          <w:rFonts w:ascii="Times New Roman" w:hAnsi="Times New Roman"/>
          <w:sz w:val="24"/>
        </w:rPr>
        <w:t xml:space="preserve">бъект экспертизы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contextualSpacing/>
        <w:ind w:left="0" w:firstLine="567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реквизиты документа об обращении взыскания на имущество.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одно </w:t>
      </w:r>
      <w:r>
        <w:rPr>
          <w:rFonts w:ascii="Times New Roman" w:hAnsi="Times New Roman"/>
          <w:sz w:val="24"/>
        </w:rPr>
        <w:t xml:space="preserve">Поручение</w:t>
      </w:r>
      <w:r>
        <w:rPr>
          <w:rFonts w:ascii="Times New Roman" w:hAnsi="Times New Roman"/>
          <w:sz w:val="24"/>
        </w:rPr>
        <w:t xml:space="preserve"> на </w:t>
      </w:r>
      <w:r>
        <w:rPr>
          <w:rFonts w:ascii="Times New Roman" w:hAnsi="Times New Roman"/>
          <w:sz w:val="24"/>
        </w:rPr>
        <w:t xml:space="preserve">экспертизу</w:t>
      </w:r>
      <w:r>
        <w:rPr>
          <w:rFonts w:ascii="Times New Roman" w:hAnsi="Times New Roman"/>
          <w:sz w:val="24"/>
        </w:rPr>
        <w:t xml:space="preserve"> может содержать от 1 до 100 объектов исследовани</w:t>
      </w:r>
      <w:r>
        <w:rPr>
          <w:rFonts w:ascii="Times New Roman" w:hAnsi="Times New Roman"/>
          <w:sz w:val="24"/>
        </w:rPr>
        <w:t xml:space="preserve">я; объект исследования включает в себя одно наименование вещи или совокупность однородных, идентичных движимых вещей (товары, имеющие одинаковые характерные для них основные признаки и/или сходные характеристики и/или состоят из схожих компонентов, что поз</w:t>
      </w:r>
      <w:r>
        <w:rPr>
          <w:rFonts w:ascii="Times New Roman" w:hAnsi="Times New Roman"/>
          <w:sz w:val="24"/>
        </w:rPr>
        <w:t xml:space="preserve">воляет им выполнять одни и те же функции, быть коммерчески взаимозаменяемыми);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>
        <w:rPr>
          <w:rFonts w:ascii="Times New Roman" w:hAnsi="Times New Roman"/>
          <w:sz w:val="24"/>
        </w:rPr>
        <w:t xml:space="preserve"> н</w:t>
      </w:r>
      <w:r>
        <w:rPr>
          <w:rFonts w:ascii="Times New Roman" w:hAnsi="Times New Roman"/>
          <w:sz w:val="24"/>
        </w:rPr>
        <w:t xml:space="preserve">а основании 1 (одного) </w:t>
      </w:r>
      <w:r>
        <w:rPr>
          <w:rFonts w:ascii="Times New Roman" w:hAnsi="Times New Roman"/>
          <w:sz w:val="24"/>
        </w:rPr>
        <w:t xml:space="preserve"> Поручения составляется о</w:t>
      </w:r>
      <w:r>
        <w:rPr>
          <w:rFonts w:ascii="Times New Roman" w:hAnsi="Times New Roman"/>
          <w:sz w:val="24"/>
        </w:rPr>
        <w:t xml:space="preserve">дно экспертное заключение. </w:t>
      </w:r>
      <w:r>
        <w:rPr>
          <w:rFonts w:ascii="Times New Roman" w:hAnsi="Times New Roman"/>
          <w:b/>
          <w:sz w:val="24"/>
        </w:rPr>
        <w:t xml:space="preserve">Одно экспертное заключение </w:t>
      </w:r>
      <w:r>
        <w:rPr>
          <w:rFonts w:ascii="Times New Roman" w:hAnsi="Times New Roman"/>
          <w:b/>
          <w:sz w:val="24"/>
        </w:rPr>
        <w:t xml:space="preserve">считать 1 (одной) Условной единицей</w:t>
      </w:r>
      <w:r>
        <w:rPr>
          <w:rFonts w:ascii="Times New Roman" w:hAnsi="Times New Roman"/>
          <w:sz w:val="24"/>
        </w:rPr>
        <w:t xml:space="preserve"> оказываемой Услуги.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6.3.3. Исполнитель представляет Заказчику в согласованные с ним ср</w:t>
      </w:r>
      <w:r>
        <w:rPr>
          <w:rFonts w:ascii="Times New Roman" w:hAnsi="Times New Roman"/>
          <w:sz w:val="24"/>
        </w:rPr>
        <w:t xml:space="preserve">оки экспертное заключение о безопасности объекта имущества и возможности его использования по назначению или несоответствии объекта имущества установленным требованиям о безопасности и/или утрате им потребительских свойств и подписанный со своей стороны ак</w:t>
      </w:r>
      <w:r>
        <w:rPr>
          <w:rFonts w:ascii="Times New Roman" w:hAnsi="Times New Roman"/>
          <w:sz w:val="24"/>
        </w:rPr>
        <w:t xml:space="preserve">т приема-сдачи оказанных услуг; заключение может быть сформировано по усмотрению Исполнителя</w:t>
      </w:r>
      <w:r>
        <w:rPr>
          <w:rFonts w:ascii="Times New Roman" w:hAnsi="Times New Roman"/>
          <w:sz w:val="24"/>
        </w:rPr>
        <w:t xml:space="preserve"> по товарным группам, по дате подачи Поручения на экспертизу, при этом экспертное заключение должно содержать заключение </w:t>
      </w:r>
      <w:r>
        <w:rPr>
          <w:rFonts w:ascii="Times New Roman" w:hAnsi="Times New Roman"/>
          <w:b/>
          <w:sz w:val="24"/>
        </w:rPr>
        <w:t xml:space="preserve">по каждому объекту имущества</w:t>
      </w:r>
      <w:r>
        <w:rPr>
          <w:rFonts w:ascii="Times New Roman" w:hAnsi="Times New Roman"/>
          <w:sz w:val="24"/>
        </w:rPr>
        <w:t xml:space="preserve">, а также к экспертному заключению прилагаются фотографии каждого объекта имущества или товарной группы объектов имущества;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6.3.4. Экспертное заключение передается Исполнителем Заказчику не позднее 10 (десяти) дней после получения </w:t>
      </w:r>
      <w:r>
        <w:rPr>
          <w:rFonts w:ascii="Times New Roman" w:hAnsi="Times New Roman"/>
          <w:sz w:val="24"/>
        </w:rPr>
        <w:t xml:space="preserve">Поручения</w:t>
      </w:r>
      <w:r>
        <w:rPr>
          <w:rFonts w:ascii="Times New Roman" w:hAnsi="Times New Roman"/>
          <w:sz w:val="24"/>
        </w:rPr>
        <w:t xml:space="preserve"> на экспертизу на бумажном носителе в количестве, установленном в описи имущества, подлежащего экспертизе (далее – Опись), но не более чем в трех экземплярах, и в электронном виде на CD (R/RW) диске в виде файлов следующего формата: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текст экспертного заключения – </w:t>
      </w:r>
      <w:r>
        <w:rPr>
          <w:rFonts w:ascii="Times New Roman" w:hAnsi="Times New Roman"/>
          <w:sz w:val="24"/>
        </w:rPr>
        <w:t xml:space="preserve">MicrosoftWord</w:t>
      </w:r>
      <w:r>
        <w:rPr>
          <w:rFonts w:ascii="Times New Roman" w:hAnsi="Times New Roman"/>
          <w:sz w:val="24"/>
        </w:rPr>
        <w:t xml:space="preserve"> 97-2003 (*.</w:t>
      </w:r>
      <w:r>
        <w:rPr>
          <w:rFonts w:ascii="Times New Roman" w:hAnsi="Times New Roman"/>
          <w:sz w:val="24"/>
        </w:rPr>
        <w:t xml:space="preserve">doc</w:t>
      </w:r>
      <w:r>
        <w:rPr>
          <w:rFonts w:ascii="Times New Roman" w:hAnsi="Times New Roman"/>
          <w:sz w:val="24"/>
        </w:rPr>
        <w:t xml:space="preserve">) или </w:t>
      </w:r>
      <w:r>
        <w:rPr>
          <w:rFonts w:ascii="Times New Roman" w:hAnsi="Times New Roman"/>
          <w:sz w:val="24"/>
        </w:rPr>
        <w:t xml:space="preserve">Microsoft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Word</w:t>
      </w:r>
      <w:r>
        <w:rPr>
          <w:rFonts w:ascii="Times New Roman" w:hAnsi="Times New Roman"/>
          <w:sz w:val="24"/>
        </w:rPr>
        <w:t xml:space="preserve"> (*.</w:t>
      </w:r>
      <w:r>
        <w:rPr>
          <w:rFonts w:ascii="Times New Roman" w:hAnsi="Times New Roman"/>
          <w:sz w:val="24"/>
        </w:rPr>
        <w:t xml:space="preserve">docx</w:t>
      </w:r>
      <w:r>
        <w:rPr>
          <w:rFonts w:ascii="Times New Roman" w:hAnsi="Times New Roman"/>
          <w:sz w:val="24"/>
        </w:rPr>
        <w:t xml:space="preserve">);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4"/>
        </w:numPr>
        <w:contextualSpacing/>
        <w:ind w:left="0"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фотографии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изображения</w:t>
      </w:r>
      <w:r>
        <w:rPr>
          <w:rFonts w:ascii="Times New Roman" w:hAnsi="Times New Roman"/>
          <w:sz w:val="24"/>
        </w:rPr>
        <w:t xml:space="preserve"> – Joint Photographic Experts Group (*.jpg).</w:t>
      </w:r>
      <w:r>
        <w:rPr>
          <w:rFonts w:ascii="Times New Roman" w:hAnsi="Times New Roman"/>
          <w:sz w:val="24"/>
        </w:rPr>
      </w:r>
    </w:p>
    <w:p>
      <w:pPr>
        <w:contextualSpacing/>
        <w:ind w:left="0" w:firstLine="698"/>
        <w:jc w:val="both"/>
        <w:spacing w:before="0"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6.3.5. Экспертное з</w:t>
      </w:r>
      <w:r>
        <w:rPr>
          <w:rFonts w:ascii="Times New Roman" w:hAnsi="Times New Roman"/>
          <w:sz w:val="24"/>
        </w:rPr>
        <w:t xml:space="preserve">аключение</w:t>
      </w:r>
      <w:r>
        <w:rPr>
          <w:rFonts w:ascii="Times New Roman" w:hAnsi="Times New Roman"/>
          <w:sz w:val="24"/>
        </w:rPr>
        <w:t xml:space="preserve"> должно содержать: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основание, время, место и способ проведения экспертизы имущества;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сведения об экспертной организации, эксперте (фамилия, имя и отчество (при наличии), образование, специальность, стаж работы, ученая степень, занимаемая должность);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вопросы, поставленные перед экспертом;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наименование и количество имущества, в отношении которого проводится экспертиза имущества;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перечень документов, рассмотренных (примененных) при экспертизе имущества;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е) результаты экспертизы имущества, обоснованные выводы по поставленным вопросам: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5"/>
        </w:numPr>
        <w:ind w:left="0" w:firstLine="567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безопасности имущества для жизни и здоровья человека и возможности использования по прямому назначению (для имущества, бывшего в употреблении);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5"/>
        </w:numPr>
        <w:ind w:left="0" w:firstLine="567"/>
        <w:jc w:val="both"/>
        <w:spacing w:before="0"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соответствии или несоответствии имущества требованиям технических регламентов, документам по стандартизации (для имущества, ранее не находившегося в употреблении).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widowControl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экспертном заключении должно быть указано, в том числе:</w:t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/>
        <w:tabs>
          <w:tab w:val="left" w:pos="851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– документ, подтверждающий компетентность эксперта.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6.3.6. В сл</w:t>
      </w:r>
      <w:r>
        <w:rPr>
          <w:rFonts w:ascii="Times New Roman" w:hAnsi="Times New Roman"/>
          <w:sz w:val="24"/>
        </w:rPr>
        <w:t xml:space="preserve">учае несоответствия объекта им</w:t>
      </w:r>
      <w:r>
        <w:rPr>
          <w:rFonts w:ascii="Times New Roman" w:hAnsi="Times New Roman"/>
          <w:sz w:val="24"/>
        </w:rPr>
        <w:t xml:space="preserve">ущества установленным требованиям о безопасности и/или утрате им потребительских свойств в заключении экспертизы должна быть указана возможность его переработки (утилизации), а при невозможности и/или нецелесообразности таковой – необходимость уничтожения.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Исполнитель руководствуется действующим законодательством о санитарно-эпидемиологическом благополучии населения, об охране окружающей природной среды и о техническом регулировании, в том числе нормативными пра</w:t>
      </w:r>
      <w:r>
        <w:rPr>
          <w:rFonts w:ascii="Times New Roman" w:hAnsi="Times New Roman"/>
          <w:sz w:val="24"/>
        </w:rPr>
        <w:t xml:space="preserve">вовыми актами, регламентирующими порядок проведения экспертизы, взятие проб и образцов имущества и других мероприятий, осуществляемых Исполнителем, техническими регламентами и инструкциями, установленными стандартами и нормами, а также условиями Контракта.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6.4.1. </w:t>
      </w:r>
      <w:r>
        <w:rPr>
          <w:rFonts w:ascii="Times New Roman" w:hAnsi="Times New Roman"/>
          <w:sz w:val="24"/>
        </w:rPr>
        <w:t xml:space="preserve">Отбор, израсходование и возврат образцов (проб) имущества Исполнителем осуществляются в соответст</w:t>
      </w:r>
      <w:r>
        <w:rPr>
          <w:rFonts w:ascii="Times New Roman" w:hAnsi="Times New Roman"/>
          <w:sz w:val="24"/>
        </w:rPr>
        <w:t xml:space="preserve">вии с пунктом 21 Положения о распоряжении имуществом, обращенным в собственность государства, утвержденного постановлением Правительства Российской Федерации от 23 сентября 2019 г. № 1238 «О распоряжении имуществом, обращенным в собственность государства».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0"/>
        <w:jc w:val="both"/>
        <w:spacing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7. Требования к сроку и(или) объему предоставления гарантий качества услуг: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Гарантийный срок оказания услуг – 36 месяцев с момента подписания акта приема-сдачи услуг.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7.2. Заказчик вправе в течение гарантийного срока оказания услуг предъявить требования к Исполнителю, связанные с ненадлежащим исполнением обязательств по Контракту. </w:t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before="0" w:after="0" w:line="240" w:lineRule="auto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7.3. В случае обнаружения Заказчиком предоставления некачественной услуги Исполнителем и поступления претензии от Заказчика, оформленной в письменном виде, услуга считается не оказанной и подлежит повторному оказанию без дополнительной оплаты.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М.П</w:t>
      </w:r>
      <w:r>
        <w:rPr>
          <w:rFonts w:ascii="Times New Roman" w:hAnsi="Times New Roman"/>
          <w:sz w:val="24"/>
        </w:rPr>
        <w:t xml:space="preserve">. _______________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(</w:t>
      </w:r>
      <w:r>
        <w:rPr>
          <w:rFonts w:ascii="Times New Roman" w:hAnsi="Times New Roman"/>
          <w:sz w:val="24"/>
        </w:rPr>
        <w:t xml:space="preserve">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(ФИО)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</w:t>
      </w:r>
      <w:r>
        <w:rPr>
          <w:rFonts w:ascii="Times New Roman" w:hAnsi="Times New Roman"/>
          <w:sz w:val="24"/>
        </w:rPr>
      </w:r>
    </w:p>
    <w:p>
      <w:pPr>
        <w:ind w:left="0" w:firstLine="720"/>
        <w:jc w:val="right"/>
        <w:spacing w:after="12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онтракту № __________</w:t>
      </w:r>
      <w:r>
        <w:rPr>
          <w:rFonts w:ascii="Times New Roman" w:hAnsi="Times New Roman"/>
          <w:sz w:val="24"/>
        </w:rPr>
      </w:r>
    </w:p>
    <w:p>
      <w:pPr>
        <w:ind w:left="2835" w:firstLine="720"/>
        <w:jc w:val="right"/>
        <w:spacing w:before="60" w:after="6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 ___________ 2026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ФОРМА</w:t>
      </w:r>
      <w:r>
        <w:rPr>
          <w:rFonts w:ascii="Times New Roman" w:hAnsi="Times New Roman"/>
          <w:b/>
          <w:sz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Задание (поручение)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экспертизу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«</w:t>
      </w:r>
      <w:r>
        <w:rPr>
          <w:rFonts w:ascii="Times New Roman" w:hAnsi="Times New Roman"/>
          <w:sz w:val="24"/>
        </w:rPr>
        <w:t xml:space="preserve">___» _________ 202__</w:t>
      </w:r>
      <w:r>
        <w:rPr>
          <w:rFonts w:ascii="Times New Roman" w:hAnsi="Times New Roman"/>
          <w:sz w:val="24"/>
        </w:rPr>
        <w:t xml:space="preserve">года</w:t>
      </w:r>
      <w:r>
        <w:rPr>
          <w:rFonts w:ascii="Times New Roman" w:hAnsi="Times New Roman"/>
          <w:sz w:val="24"/>
        </w:rPr>
      </w:r>
    </w:p>
    <w:p>
      <w:pPr>
        <w:ind w:left="0" w:firstLine="426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государственным контрактом от </w:t>
      </w:r>
      <w:r>
        <w:rPr>
          <w:rFonts w:ascii="Times New Roman" w:hAnsi="Times New Roman"/>
          <w:sz w:val="24"/>
        </w:rPr>
        <w:t xml:space="preserve">«__» ________202_г. №______ </w:t>
      </w:r>
      <w:r>
        <w:rPr>
          <w:rFonts w:ascii="Times New Roman" w:hAnsi="Times New Roman"/>
          <w:sz w:val="24"/>
        </w:rPr>
        <w:t xml:space="preserve">Территориальное управление Федерального агентства по управлению государственным имуществом в Свердловской области поручает в срок до </w:t>
      </w:r>
      <w:r>
        <w:rPr>
          <w:rFonts w:ascii="Times New Roman" w:hAnsi="Times New Roman"/>
          <w:sz w:val="24"/>
        </w:rPr>
        <w:t xml:space="preserve">«__»________202_г. </w:t>
      </w:r>
      <w:r>
        <w:rPr>
          <w:rFonts w:ascii="Times New Roman" w:hAnsi="Times New Roman"/>
          <w:sz w:val="24"/>
        </w:rPr>
        <w:t xml:space="preserve">провести </w:t>
      </w:r>
      <w:r>
        <w:rPr>
          <w:rFonts w:ascii="Times New Roman" w:hAnsi="Times New Roman"/>
          <w:b/>
          <w:sz w:val="24"/>
          <w:u w:val="single"/>
        </w:rPr>
        <w:t xml:space="preserve">экспертизу имущества</w:t>
      </w:r>
      <w:r>
        <w:rPr>
          <w:rFonts w:ascii="Times New Roman" w:hAnsi="Times New Roman"/>
          <w:sz w:val="24"/>
        </w:rPr>
        <w:t xml:space="preserve">, на предмет проверки его соответствия требованиям технических регламентов, документам по </w:t>
      </w:r>
      <w:r>
        <w:rPr>
          <w:rFonts w:ascii="Times New Roman" w:hAnsi="Times New Roman"/>
          <w:sz w:val="24"/>
        </w:rPr>
        <w:t xml:space="preserve">стандартизации в порядке, предусмотренном законодательством Российской Федерации  о техническом регулировании и проведение экспертизы в целях подтверждения его безопасности для жизни и здоровья человека и возможности использования по прямому назначению, в </w:t>
      </w:r>
      <w:r>
        <w:rPr>
          <w:rFonts w:ascii="Times New Roman" w:hAnsi="Times New Roman"/>
          <w:sz w:val="24"/>
        </w:rPr>
        <w:t xml:space="preserve">соответствии с п. 18, п. 19 Положения о распоряжении имуществом, обращенным в собственность государства, утвержденным Постановлением Правительства Российской Федерации от 23.09.2019 № 1238 «О распоряжении имуществом, обращенным в собственность государства»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</w:r>
    </w:p>
    <w:p>
      <w:pPr>
        <w:ind w:left="0" w:firstLine="426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76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"/>
        <w:gridCol w:w="5081"/>
        <w:gridCol w:w="995"/>
        <w:gridCol w:w="1422"/>
        <w:gridCol w:w="126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п/п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имущества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Идентификация объекта экспертизы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Кол-во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Регистрационный номер ПИБИ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2" w:type="dxa"/>
            <w:vAlign w:val="center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8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left="0" w:firstLine="426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отдела продажи </w:t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арестованного, конфискованного </w:t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иного государственного имущества                 _____________         _________________</w:t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(Ф.И.О.)</w:t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sectPr>
      <w:headerReference w:type="default" r:id="rId11"/>
      <w:footnotePr/>
      <w:endnotePr/>
      <w:type w:val="nextPage"/>
      <w:pgSz w:w="11906" w:h="16838" w:orient="portrait"/>
      <w:pgMar w:top="1417" w:right="850" w:bottom="1134" w:left="1418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Заказчику не может быть заранее известно место нахождения или предоставления объекта имущества, в связи с чем его осмотр и при необходимости отбор образцов и проведение экспертизы может осуществляться на всей территории </w:t>
      </w:r>
      <w:r>
        <w:rPr>
          <w:rFonts w:ascii="Times New Roman" w:hAnsi="Times New Roman"/>
          <w:sz w:val="20"/>
        </w:rPr>
        <w:t xml:space="preserve">Свердловской</w:t>
      </w:r>
      <w:r>
        <w:rPr>
          <w:rFonts w:ascii="Times New Roman" w:hAnsi="Times New Roman"/>
          <w:sz w:val="20"/>
        </w:rPr>
        <w:t xml:space="preserve"> области.</w:t>
      </w:r>
      <w:r>
        <w:rPr>
          <w:rFonts w:ascii="Times New Roman" w:hAnsi="Times New Roman"/>
          <w:sz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widowControl w:val="off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widowControl w:val="off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widowControl w:val="off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429" w:hanging="360"/>
        <w:widowControl w:val="off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widowControl w:val="off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widowControl w:val="off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widowControl w:val="off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widowControl w:val="off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widowControl w:val="off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widowControl w:val="off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widowControl w:val="off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widowControl w:val="off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widowControl w:val="off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widowControl w:val="off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widowControl w:val="off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widowControl w:val="off"/>
      </w:pPr>
      <w:rPr>
        <w:rFonts w:ascii="Wingdings" w:hAnsi="Wingdings"/>
      </w:r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6"/>
    <w:link w:val="74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6"/>
    <w:link w:val="76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6"/>
    <w:link w:val="7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6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6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8"/>
    <w:next w:val="7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8"/>
    <w:next w:val="7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8"/>
    <w:next w:val="7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8"/>
    <w:next w:val="7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6"/>
    <w:link w:val="764"/>
    <w:uiPriority w:val="10"/>
    <w:rPr>
      <w:sz w:val="48"/>
      <w:szCs w:val="48"/>
    </w:rPr>
  </w:style>
  <w:style w:type="character" w:styleId="37">
    <w:name w:val="Subtitle Char"/>
    <w:basedOn w:val="746"/>
    <w:link w:val="762"/>
    <w:uiPriority w:val="11"/>
    <w:rPr>
      <w:sz w:val="24"/>
      <w:szCs w:val="24"/>
    </w:rPr>
  </w:style>
  <w:style w:type="paragraph" w:styleId="38">
    <w:name w:val="Quote"/>
    <w:basedOn w:val="718"/>
    <w:next w:val="7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8"/>
    <w:next w:val="7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6"/>
    <w:link w:val="734"/>
    <w:uiPriority w:val="99"/>
  </w:style>
  <w:style w:type="character" w:styleId="45">
    <w:name w:val="Footer Char"/>
    <w:basedOn w:val="746"/>
    <w:link w:val="740"/>
    <w:uiPriority w:val="99"/>
  </w:style>
  <w:style w:type="paragraph" w:styleId="46">
    <w:name w:val="Caption"/>
    <w:basedOn w:val="718"/>
    <w:next w:val="7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4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6"/>
    <w:uiPriority w:val="99"/>
    <w:unhideWhenUsed/>
    <w:rPr>
      <w:vertAlign w:val="superscript"/>
    </w:rPr>
  </w:style>
  <w:style w:type="paragraph" w:styleId="178">
    <w:name w:val="endnote text"/>
    <w:basedOn w:val="7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6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718"/>
    <w:next w:val="718"/>
    <w:uiPriority w:val="99"/>
    <w:unhideWhenUsed/>
    <w:pPr>
      <w:spacing w:after="0" w:afterAutospacing="0"/>
    </w:pPr>
  </w:style>
  <w:style w:type="paragraph" w:styleId="717" w:default="1">
    <w:name w:val="Normal"/>
    <w:link w:val="718"/>
    <w:uiPriority w:val="0"/>
    <w:qFormat/>
  </w:style>
  <w:style w:type="character" w:styleId="718" w:default="1">
    <w:name w:val="Normal"/>
    <w:link w:val="717"/>
  </w:style>
  <w:style w:type="paragraph" w:styleId="719">
    <w:name w:val="toc 2"/>
    <w:next w:val="717"/>
    <w:link w:val="720"/>
    <w:uiPriority w:val="39"/>
    <w:pPr>
      <w:ind w:left="200" w:firstLine="0"/>
      <w:jc w:val="left"/>
      <w:widowControl w:val="off"/>
    </w:pPr>
    <w:rPr>
      <w:rFonts w:ascii="XO Thames" w:hAnsi="XO Thames"/>
      <w:sz w:val="28"/>
    </w:rPr>
  </w:style>
  <w:style w:type="character" w:styleId="720">
    <w:name w:val="toc 2"/>
    <w:link w:val="719"/>
    <w:rPr>
      <w:rFonts w:ascii="XO Thames" w:hAnsi="XO Thames"/>
      <w:sz w:val="28"/>
    </w:rPr>
  </w:style>
  <w:style w:type="paragraph" w:styleId="721">
    <w:name w:val="toc 4"/>
    <w:next w:val="717"/>
    <w:link w:val="722"/>
    <w:uiPriority w:val="39"/>
    <w:pPr>
      <w:ind w:left="600" w:firstLine="0"/>
      <w:jc w:val="left"/>
      <w:widowControl w:val="off"/>
    </w:pPr>
    <w:rPr>
      <w:rFonts w:ascii="XO Thames" w:hAnsi="XO Thames"/>
      <w:sz w:val="28"/>
    </w:rPr>
  </w:style>
  <w:style w:type="character" w:styleId="722">
    <w:name w:val="toc 4"/>
    <w:link w:val="721"/>
    <w:rPr>
      <w:rFonts w:ascii="XO Thames" w:hAnsi="XO Thames"/>
      <w:sz w:val="28"/>
    </w:rPr>
  </w:style>
  <w:style w:type="paragraph" w:styleId="723">
    <w:name w:val="toc 6"/>
    <w:next w:val="717"/>
    <w:link w:val="724"/>
    <w:uiPriority w:val="39"/>
    <w:pPr>
      <w:ind w:left="1000" w:firstLine="0"/>
      <w:jc w:val="left"/>
      <w:widowControl w:val="off"/>
    </w:pPr>
    <w:rPr>
      <w:rFonts w:ascii="XO Thames" w:hAnsi="XO Thames"/>
      <w:sz w:val="28"/>
    </w:rPr>
  </w:style>
  <w:style w:type="character" w:styleId="724">
    <w:name w:val="toc 6"/>
    <w:link w:val="723"/>
    <w:rPr>
      <w:rFonts w:ascii="XO Thames" w:hAnsi="XO Thames"/>
      <w:sz w:val="28"/>
    </w:rPr>
  </w:style>
  <w:style w:type="paragraph" w:styleId="725">
    <w:name w:val="toc 7"/>
    <w:next w:val="717"/>
    <w:link w:val="726"/>
    <w:uiPriority w:val="39"/>
    <w:pPr>
      <w:ind w:left="1200" w:firstLine="0"/>
      <w:jc w:val="left"/>
      <w:widowControl w:val="off"/>
    </w:pPr>
    <w:rPr>
      <w:rFonts w:ascii="XO Thames" w:hAnsi="XO Thames"/>
      <w:sz w:val="28"/>
    </w:rPr>
  </w:style>
  <w:style w:type="character" w:styleId="726">
    <w:name w:val="toc 7"/>
    <w:link w:val="725"/>
    <w:rPr>
      <w:rFonts w:ascii="XO Thames" w:hAnsi="XO Thames"/>
      <w:sz w:val="28"/>
    </w:rPr>
  </w:style>
  <w:style w:type="paragraph" w:styleId="727">
    <w:name w:val="Endnote"/>
    <w:link w:val="728"/>
    <w:pPr>
      <w:ind w:left="0" w:firstLine="851"/>
      <w:jc w:val="both"/>
      <w:widowControl w:val="off"/>
    </w:pPr>
    <w:rPr>
      <w:rFonts w:ascii="XO Thames" w:hAnsi="XO Thames"/>
      <w:sz w:val="22"/>
    </w:rPr>
  </w:style>
  <w:style w:type="character" w:styleId="728">
    <w:name w:val="Endnote"/>
    <w:link w:val="727"/>
    <w:rPr>
      <w:rFonts w:ascii="XO Thames" w:hAnsi="XO Thames"/>
      <w:sz w:val="22"/>
    </w:rPr>
  </w:style>
  <w:style w:type="paragraph" w:styleId="729">
    <w:name w:val="Heading 3"/>
    <w:next w:val="717"/>
    <w:link w:val="730"/>
    <w:uiPriority w:val="9"/>
    <w:qFormat/>
    <w:pPr>
      <w:jc w:val="both"/>
      <w:spacing w:before="120" w:after="120"/>
      <w:widowControl w:val="off"/>
      <w:outlineLvl w:val="2"/>
    </w:pPr>
    <w:rPr>
      <w:rFonts w:ascii="XO Thames" w:hAnsi="XO Thames"/>
      <w:b/>
      <w:sz w:val="26"/>
    </w:rPr>
  </w:style>
  <w:style w:type="character" w:styleId="730">
    <w:name w:val="Heading 3"/>
    <w:link w:val="729"/>
    <w:rPr>
      <w:rFonts w:ascii="XO Thames" w:hAnsi="XO Thames"/>
      <w:b/>
      <w:sz w:val="26"/>
    </w:rPr>
  </w:style>
  <w:style w:type="paragraph" w:styleId="731">
    <w:name w:val="Balloon Text"/>
    <w:basedOn w:val="717"/>
    <w:link w:val="732"/>
    <w:pPr>
      <w:spacing w:after="0" w:line="240" w:lineRule="auto"/>
      <w:widowControl w:val="off"/>
    </w:pPr>
    <w:rPr>
      <w:rFonts w:ascii="Tahoma" w:hAnsi="Tahoma"/>
      <w:sz w:val="16"/>
    </w:rPr>
  </w:style>
  <w:style w:type="character" w:styleId="732">
    <w:name w:val="Balloon Text"/>
    <w:basedOn w:val="718"/>
    <w:link w:val="731"/>
    <w:rPr>
      <w:rFonts w:ascii="Tahoma" w:hAnsi="Tahoma"/>
      <w:sz w:val="16"/>
    </w:rPr>
  </w:style>
  <w:style w:type="paragraph" w:styleId="733">
    <w:name w:val="Header"/>
    <w:basedOn w:val="717"/>
    <w:link w:val="734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</w:style>
  <w:style w:type="character" w:styleId="734">
    <w:name w:val="Header"/>
    <w:basedOn w:val="718"/>
    <w:link w:val="733"/>
  </w:style>
  <w:style w:type="paragraph" w:styleId="735">
    <w:name w:val="toc 3"/>
    <w:next w:val="717"/>
    <w:link w:val="736"/>
    <w:uiPriority w:val="39"/>
    <w:pPr>
      <w:ind w:left="400" w:firstLine="0"/>
      <w:jc w:val="left"/>
      <w:widowControl w:val="off"/>
    </w:pPr>
    <w:rPr>
      <w:rFonts w:ascii="XO Thames" w:hAnsi="XO Thames"/>
      <w:sz w:val="28"/>
    </w:rPr>
  </w:style>
  <w:style w:type="character" w:styleId="736">
    <w:name w:val="toc 3"/>
    <w:link w:val="735"/>
    <w:rPr>
      <w:rFonts w:ascii="XO Thames" w:hAnsi="XO Thames"/>
      <w:sz w:val="28"/>
    </w:rPr>
  </w:style>
  <w:style w:type="paragraph" w:styleId="737">
    <w:name w:val="List Paragraph"/>
    <w:basedOn w:val="717"/>
    <w:link w:val="738"/>
    <w:pPr>
      <w:contextualSpacing/>
      <w:ind w:left="720" w:firstLine="0"/>
      <w:widowControl w:val="off"/>
    </w:pPr>
  </w:style>
  <w:style w:type="character" w:styleId="738">
    <w:name w:val="List Paragraph"/>
    <w:basedOn w:val="718"/>
    <w:link w:val="737"/>
  </w:style>
  <w:style w:type="paragraph" w:styleId="739">
    <w:name w:val="Footer"/>
    <w:basedOn w:val="717"/>
    <w:link w:val="740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</w:style>
  <w:style w:type="character" w:styleId="740">
    <w:name w:val="Footer"/>
    <w:basedOn w:val="718"/>
    <w:link w:val="739"/>
  </w:style>
  <w:style w:type="paragraph" w:styleId="741">
    <w:name w:val="Heading 5"/>
    <w:next w:val="717"/>
    <w:link w:val="742"/>
    <w:uiPriority w:val="9"/>
    <w:qFormat/>
    <w:pPr>
      <w:jc w:val="both"/>
      <w:spacing w:before="120" w:after="120"/>
      <w:widowControl w:val="off"/>
      <w:outlineLvl w:val="4"/>
    </w:pPr>
    <w:rPr>
      <w:rFonts w:ascii="XO Thames" w:hAnsi="XO Thames"/>
      <w:b/>
      <w:sz w:val="22"/>
    </w:rPr>
  </w:style>
  <w:style w:type="character" w:styleId="742">
    <w:name w:val="Heading 5"/>
    <w:link w:val="741"/>
    <w:rPr>
      <w:rFonts w:ascii="XO Thames" w:hAnsi="XO Thames"/>
      <w:b/>
      <w:sz w:val="22"/>
    </w:rPr>
  </w:style>
  <w:style w:type="paragraph" w:styleId="743">
    <w:name w:val="Heading 1"/>
    <w:next w:val="717"/>
    <w:link w:val="744"/>
    <w:uiPriority w:val="9"/>
    <w:qFormat/>
    <w:pPr>
      <w:jc w:val="both"/>
      <w:spacing w:before="120" w:after="120"/>
      <w:widowControl w:val="off"/>
      <w:outlineLvl w:val="0"/>
    </w:pPr>
    <w:rPr>
      <w:rFonts w:ascii="XO Thames" w:hAnsi="XO Thames"/>
      <w:b/>
      <w:sz w:val="32"/>
    </w:rPr>
  </w:style>
  <w:style w:type="character" w:styleId="744">
    <w:name w:val="Heading 1"/>
    <w:link w:val="743"/>
    <w:rPr>
      <w:rFonts w:ascii="XO Thames" w:hAnsi="XO Thames"/>
      <w:b/>
      <w:sz w:val="32"/>
    </w:rPr>
  </w:style>
  <w:style w:type="paragraph" w:styleId="745">
    <w:name w:val="Default Paragraph Font"/>
    <w:link w:val="746"/>
  </w:style>
  <w:style w:type="character" w:styleId="746">
    <w:name w:val="Default Paragraph Font"/>
    <w:link w:val="745"/>
  </w:style>
  <w:style w:type="paragraph" w:styleId="747">
    <w:name w:val="Hyperlink"/>
    <w:link w:val="748"/>
    <w:rPr>
      <w:color w:val="0000ff"/>
      <w:u w:val="single"/>
    </w:rPr>
  </w:style>
  <w:style w:type="character" w:styleId="748">
    <w:name w:val="Hyperlink"/>
    <w:link w:val="747"/>
    <w:rPr>
      <w:color w:val="0000ff"/>
      <w:u w:val="single"/>
    </w:rPr>
  </w:style>
  <w:style w:type="paragraph" w:styleId="749">
    <w:name w:val="Footnote"/>
    <w:link w:val="750"/>
    <w:pPr>
      <w:ind w:left="0" w:firstLine="851"/>
      <w:jc w:val="both"/>
      <w:widowControl w:val="off"/>
    </w:pPr>
    <w:rPr>
      <w:rFonts w:ascii="XO Thames" w:hAnsi="XO Thames"/>
      <w:sz w:val="22"/>
    </w:rPr>
  </w:style>
  <w:style w:type="character" w:styleId="750">
    <w:name w:val="Footnote"/>
    <w:link w:val="749"/>
    <w:rPr>
      <w:rFonts w:ascii="XO Thames" w:hAnsi="XO Thames"/>
      <w:sz w:val="22"/>
    </w:rPr>
  </w:style>
  <w:style w:type="paragraph" w:styleId="751">
    <w:name w:val="toc 1"/>
    <w:next w:val="717"/>
    <w:link w:val="752"/>
    <w:uiPriority w:val="39"/>
    <w:pPr>
      <w:ind w:left="0" w:firstLine="0"/>
      <w:jc w:val="left"/>
      <w:widowControl w:val="off"/>
    </w:pPr>
    <w:rPr>
      <w:rFonts w:ascii="XO Thames" w:hAnsi="XO Thames"/>
      <w:b/>
      <w:sz w:val="28"/>
    </w:rPr>
  </w:style>
  <w:style w:type="character" w:styleId="752">
    <w:name w:val="toc 1"/>
    <w:link w:val="751"/>
    <w:rPr>
      <w:rFonts w:ascii="XO Thames" w:hAnsi="XO Thames"/>
      <w:b/>
      <w:sz w:val="28"/>
    </w:rPr>
  </w:style>
  <w:style w:type="paragraph" w:styleId="753">
    <w:name w:val="Header and Footer"/>
    <w:link w:val="754"/>
    <w:pPr>
      <w:jc w:val="both"/>
      <w:spacing w:line="240" w:lineRule="auto"/>
      <w:widowControl w:val="off"/>
    </w:pPr>
    <w:rPr>
      <w:rFonts w:ascii="XO Thames" w:hAnsi="XO Thames"/>
      <w:sz w:val="20"/>
    </w:rPr>
  </w:style>
  <w:style w:type="character" w:styleId="754">
    <w:name w:val="Header and Footer"/>
    <w:link w:val="753"/>
    <w:rPr>
      <w:rFonts w:ascii="XO Thames" w:hAnsi="XO Thames"/>
      <w:sz w:val="20"/>
    </w:rPr>
  </w:style>
  <w:style w:type="paragraph" w:styleId="755">
    <w:name w:val="toc 9"/>
    <w:next w:val="717"/>
    <w:link w:val="756"/>
    <w:uiPriority w:val="39"/>
    <w:pPr>
      <w:ind w:left="1600" w:firstLine="0"/>
      <w:jc w:val="left"/>
      <w:widowControl w:val="off"/>
    </w:pPr>
    <w:rPr>
      <w:rFonts w:ascii="XO Thames" w:hAnsi="XO Thames"/>
      <w:sz w:val="28"/>
    </w:rPr>
  </w:style>
  <w:style w:type="character" w:styleId="756">
    <w:name w:val="toc 9"/>
    <w:link w:val="755"/>
    <w:rPr>
      <w:rFonts w:ascii="XO Thames" w:hAnsi="XO Thames"/>
      <w:sz w:val="28"/>
    </w:rPr>
  </w:style>
  <w:style w:type="paragraph" w:styleId="757">
    <w:name w:val="toc 8"/>
    <w:next w:val="717"/>
    <w:link w:val="758"/>
    <w:uiPriority w:val="39"/>
    <w:pPr>
      <w:ind w:left="1400" w:firstLine="0"/>
      <w:jc w:val="left"/>
      <w:widowControl w:val="off"/>
    </w:pPr>
    <w:rPr>
      <w:rFonts w:ascii="XO Thames" w:hAnsi="XO Thames"/>
      <w:sz w:val="28"/>
    </w:rPr>
  </w:style>
  <w:style w:type="character" w:styleId="758">
    <w:name w:val="toc 8"/>
    <w:link w:val="757"/>
    <w:rPr>
      <w:rFonts w:ascii="XO Thames" w:hAnsi="XO Thames"/>
      <w:sz w:val="28"/>
    </w:rPr>
  </w:style>
  <w:style w:type="paragraph" w:styleId="759">
    <w:name w:val="toc 5"/>
    <w:next w:val="717"/>
    <w:link w:val="760"/>
    <w:uiPriority w:val="39"/>
    <w:pPr>
      <w:ind w:left="800" w:firstLine="0"/>
      <w:jc w:val="left"/>
      <w:widowControl w:val="off"/>
    </w:pPr>
    <w:rPr>
      <w:rFonts w:ascii="XO Thames" w:hAnsi="XO Thames"/>
      <w:sz w:val="28"/>
    </w:rPr>
  </w:style>
  <w:style w:type="character" w:styleId="760">
    <w:name w:val="toc 5"/>
    <w:link w:val="759"/>
    <w:rPr>
      <w:rFonts w:ascii="XO Thames" w:hAnsi="XO Thames"/>
      <w:sz w:val="28"/>
    </w:rPr>
  </w:style>
  <w:style w:type="paragraph" w:styleId="761">
    <w:name w:val="Subtitle"/>
    <w:next w:val="717"/>
    <w:link w:val="762"/>
    <w:uiPriority w:val="11"/>
    <w:qFormat/>
    <w:pPr>
      <w:jc w:val="both"/>
      <w:widowControl w:val="off"/>
    </w:pPr>
    <w:rPr>
      <w:rFonts w:ascii="XO Thames" w:hAnsi="XO Thames"/>
      <w:i/>
      <w:sz w:val="24"/>
    </w:rPr>
  </w:style>
  <w:style w:type="character" w:styleId="762">
    <w:name w:val="Subtitle"/>
    <w:link w:val="761"/>
    <w:rPr>
      <w:rFonts w:ascii="XO Thames" w:hAnsi="XO Thames"/>
      <w:i/>
      <w:sz w:val="24"/>
    </w:rPr>
  </w:style>
  <w:style w:type="paragraph" w:styleId="763">
    <w:name w:val="Title"/>
    <w:next w:val="717"/>
    <w:link w:val="764"/>
    <w:uiPriority w:val="10"/>
    <w:qFormat/>
    <w:pPr>
      <w:jc w:val="center"/>
      <w:spacing w:before="567" w:after="567"/>
      <w:widowControl w:val="off"/>
    </w:pPr>
    <w:rPr>
      <w:rFonts w:ascii="XO Thames" w:hAnsi="XO Thames"/>
      <w:b/>
      <w:caps/>
      <w:sz w:val="40"/>
    </w:rPr>
  </w:style>
  <w:style w:type="character" w:styleId="764">
    <w:name w:val="Title"/>
    <w:link w:val="763"/>
    <w:rPr>
      <w:rFonts w:ascii="XO Thames" w:hAnsi="XO Thames"/>
      <w:b/>
      <w:caps/>
      <w:sz w:val="40"/>
    </w:rPr>
  </w:style>
  <w:style w:type="paragraph" w:styleId="765">
    <w:name w:val="Heading 4"/>
    <w:next w:val="717"/>
    <w:link w:val="766"/>
    <w:uiPriority w:val="9"/>
    <w:qFormat/>
    <w:pPr>
      <w:jc w:val="both"/>
      <w:spacing w:before="120" w:after="120"/>
      <w:widowControl w:val="off"/>
      <w:outlineLvl w:val="3"/>
    </w:pPr>
    <w:rPr>
      <w:rFonts w:ascii="XO Thames" w:hAnsi="XO Thames"/>
      <w:b/>
      <w:sz w:val="24"/>
    </w:rPr>
  </w:style>
  <w:style w:type="character" w:styleId="766">
    <w:name w:val="Heading 4"/>
    <w:link w:val="765"/>
    <w:rPr>
      <w:rFonts w:ascii="XO Thames" w:hAnsi="XO Thames"/>
      <w:b/>
      <w:sz w:val="24"/>
    </w:rPr>
  </w:style>
  <w:style w:type="paragraph" w:styleId="767">
    <w:name w:val="Heading 2"/>
    <w:next w:val="717"/>
    <w:link w:val="768"/>
    <w:uiPriority w:val="9"/>
    <w:qFormat/>
    <w:pPr>
      <w:jc w:val="both"/>
      <w:spacing w:before="120" w:after="120"/>
      <w:widowControl w:val="off"/>
      <w:outlineLvl w:val="1"/>
    </w:pPr>
    <w:rPr>
      <w:rFonts w:ascii="XO Thames" w:hAnsi="XO Thames"/>
      <w:b/>
      <w:sz w:val="28"/>
    </w:rPr>
  </w:style>
  <w:style w:type="character" w:styleId="768">
    <w:name w:val="Heading 2"/>
    <w:link w:val="767"/>
    <w:rPr>
      <w:rFonts w:ascii="XO Thames" w:hAnsi="XO Thames"/>
      <w:b/>
      <w:sz w:val="28"/>
    </w:rPr>
  </w:style>
  <w:style w:type="table" w:styleId="769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96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yuliya.pechenkina</cp:lastModifiedBy>
  <cp:revision>1</cp:revision>
  <dcterms:created xsi:type="dcterms:W3CDTF">2024-11-02T11:47:25Z</dcterms:created>
  <dcterms:modified xsi:type="dcterms:W3CDTF">2026-05-25T11:05:44Z</dcterms:modified>
</cp:coreProperties>
</file>