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Договор №_________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 202_г.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пп.</w:t>
      </w:r>
      <w:r>
        <w:rPr>
          <w:rFonts w:eastAsia="Times New Roman" w:cs="Times New Roman"/>
          <w:color w:val="auto"/>
          <w:kern w:val="0"/>
          <w:sz w:val="20"/>
          <w:szCs w:val="20"/>
          <w:lang w:val="ru-RU" w:eastAsia="ru-RU" w:bidi="ar-SA"/>
        </w:rPr>
        <w:t>5</w:t>
      </w:r>
      <w:r>
        <w:rPr/>
        <w:t xml:space="preserve"> п.1, раздела 2, главы IV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Федерального Закона от 18.07.2011 года №223-ФЗ», заключили настоящий Договор о нижеследующем:</w:t>
      </w:r>
    </w:p>
    <w:p>
      <w:pPr>
        <w:pStyle w:val="Normal"/>
        <w:spacing w:before="0" w:after="60"/>
        <w:jc w:val="center"/>
        <w:rPr>
          <w:b/>
          <w:bCs/>
        </w:rPr>
      </w:pPr>
      <w:r>
        <w:rPr>
          <w:b/>
        </w:rPr>
        <w:t xml:space="preserve">1. Предмет </w:t>
      </w:r>
      <w:r>
        <w:rPr>
          <w:b/>
          <w:bCs/>
        </w:rPr>
        <w:t>Договора</w:t>
      </w:r>
    </w:p>
    <w:p>
      <w:pPr>
        <w:pStyle w:val="Normal"/>
        <w:numPr>
          <w:ilvl w:val="0"/>
          <w:numId w:val="0"/>
        </w:numPr>
        <w:ind w:hanging="0" w:start="0"/>
        <w:jc w:val="both"/>
        <w:outlineLvl w:val="0"/>
        <w:rPr>
          <w:b/>
          <w:bCs/>
        </w:rPr>
      </w:pPr>
      <w:r>
        <w:rPr/>
        <w:t xml:space="preserve">1.1. Поставщик по настоящему </w:t>
      </w:r>
      <w:r>
        <w:rPr>
          <w:bCs/>
        </w:rPr>
        <w:t>Договору</w:t>
      </w:r>
      <w:r>
        <w:rPr/>
        <w:t xml:space="preserve"> обязуется поставить товар: </w:t>
      </w:r>
      <w:r>
        <w:rPr>
          <w:b/>
          <w:bCs/>
        </w:rPr>
        <w:t>реактивы</w:t>
      </w:r>
      <w:r>
        <w:rPr/>
        <w:t xml:space="preserve"> и передать его Заказчику, а Заказчик по настоящему </w:t>
      </w:r>
      <w:r>
        <w:rPr>
          <w:bCs/>
        </w:rPr>
        <w:t>Договору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Договором </w:t>
      </w:r>
      <w:r>
        <w:rPr/>
        <w:t xml:space="preserve">и спецификацией (Приложение №1 к настоящему </w:t>
      </w:r>
      <w:r>
        <w:rPr>
          <w:bCs/>
        </w:rPr>
        <w:t>Договору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Normal"/>
        <w:jc w:val="both"/>
        <w:rPr>
          <w:color w:val="000000"/>
        </w:rPr>
      </w:pPr>
      <w:r>
        <w:rPr>
          <w:color w:val="000000"/>
        </w:rPr>
      </w:r>
    </w:p>
    <w:p>
      <w:pPr>
        <w:pStyle w:val="BodyTextIndent"/>
        <w:ind w:hanging="0"/>
        <w:jc w:val="center"/>
        <w:rPr>
          <w:b/>
          <w:lang w:val="ru-RU"/>
        </w:rPr>
      </w:pPr>
      <w:r>
        <w:rPr>
          <w:b/>
          <w:lang w:val="ru-RU"/>
        </w:rPr>
        <w:t>2. Цена Договора и порядок расчетов</w:t>
      </w:r>
    </w:p>
    <w:p>
      <w:pPr>
        <w:pStyle w:val="CommentText"/>
        <w:rPr/>
      </w:pPr>
      <w:r>
        <w:rPr/>
        <w:t xml:space="preserve">2.1. Цена Договора составляет </w:t>
      </w:r>
      <w:r>
        <w:rPr>
          <w:b/>
          <w:bCs/>
        </w:rPr>
        <w:t>________</w:t>
      </w:r>
      <w:r>
        <w:rPr/>
        <w:t xml:space="preserve"> рублей (_____________ рублей___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Договора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Normal"/>
        <w:widowControl w:val="false"/>
        <w:jc w:val="both"/>
        <w:rPr/>
      </w:pPr>
      <w:r>
        <w:rPr/>
        <w:t xml:space="preserve">2.2. Цена Договора является твердой и определяется на весь срок исполнения Договора.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Договору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Договору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jc w:val="both"/>
        <w:rPr>
          <w:rFonts w:eastAsia="Calibri"/>
        </w:rPr>
      </w:pPr>
      <w:r>
        <w:rPr>
          <w:rFonts w:eastAsia="Calibri"/>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Договору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Договора, Спецификации (Приложение № 1 к Договору).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Договора,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Договору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Договора.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Договором.  3.2.4 Требовать уплаты неустойки (штрафа, пени) в соответствии с разделом 8 Договора.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Договору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Договору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Договором срок, надлежаще оформленные документы, предусмотренные Договором.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Договором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Договору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течении </w:t>
      </w:r>
      <w:r>
        <w:rPr/>
        <w:t>60</w:t>
      </w:r>
      <w:r>
        <w:rPr/>
        <w:t xml:space="preserve"> дней с момента заключения договора</w:t>
      </w:r>
      <w:r>
        <w:rPr>
          <w:b/>
          <w:bCs/>
        </w:rPr>
        <w:t>.</w:t>
      </w:r>
      <w:r>
        <w:rPr/>
        <w:t xml:space="preserve">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ind w:hanging="0"/>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Договора.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Договору.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bookmarkEnd w:id="5"/>
      <w:r>
        <w:rPr/>
        <w:t>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w:t>
      </w:r>
    </w:p>
    <w:p>
      <w:pPr>
        <w:pStyle w:val="Normal"/>
        <w:jc w:val="both"/>
        <w:rPr/>
      </w:pPr>
      <w:r>
        <w:rPr/>
        <w:t>6.4. Остаточный срок годности поставляемого товара на дату поставки Заказчику должен составлять не менее 12 месяцев (или не менее 70% от установленного производителем)</w:t>
      </w:r>
    </w:p>
    <w:p>
      <w:pPr>
        <w:pStyle w:val="Normal"/>
        <w:jc w:val="both"/>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Под ненадлежащим исполнение условий настоящего Договора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Договором,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w:t>
      </w:r>
      <w:r>
        <w:rPr>
          <w:b/>
          <w:bCs/>
        </w:rPr>
        <w:t>________</w:t>
      </w:r>
      <w:r>
        <w:rPr/>
        <w:t xml:space="preserve"> руб. и составляет 10% от цены настоящего Договора.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Договору.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Договора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 xml:space="preserve">Настоящий Договор вступает в силу с момента заключения и действует до </w:t>
      </w:r>
      <w:r>
        <w:rPr>
          <w:rFonts w:ascii="Times New Roman" w:hAnsi="Times New Roman"/>
          <w:sz w:val="20"/>
          <w:szCs w:val="20"/>
        </w:rPr>
        <w:t>15</w:t>
      </w:r>
      <w:r>
        <w:rPr>
          <w:rFonts w:ascii="Times New Roman" w:hAnsi="Times New Roman"/>
          <w:sz w:val="20"/>
          <w:szCs w:val="20"/>
        </w:rPr>
        <w:t>.</w:t>
      </w:r>
      <w:r>
        <w:rPr>
          <w:rFonts w:ascii="Times New Roman" w:hAnsi="Times New Roman"/>
          <w:sz w:val="20"/>
          <w:szCs w:val="20"/>
        </w:rPr>
        <w:t>11</w:t>
      </w:r>
      <w:r>
        <w:rPr>
          <w:rFonts w:ascii="Times New Roman" w:hAnsi="Times New Roman"/>
          <w:sz w:val="20"/>
          <w:szCs w:val="20"/>
        </w:rPr>
        <w:t>.2026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Договора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Договора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Договора в соответствии с действующим законодательством. В случае задержки поставки товара на 30 дней и более Заказчик имеет право расторгнуть Договор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Договору, оформленные письменно и подписанные Сторонами, являются его неотъемлемыми частями.</w:t>
      </w:r>
    </w:p>
    <w:p>
      <w:pPr>
        <w:pStyle w:val="Normal"/>
        <w:shd w:val="clear" w:color="auto" w:fill="FFFFFF"/>
        <w:jc w:val="center"/>
        <w:rPr>
          <w:b/>
        </w:rPr>
      </w:pPr>
      <w:r>
        <w:rPr>
          <w:b/>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center"/>
        <w:rPr>
          <w:b/>
        </w:rPr>
      </w:pPr>
      <w:r>
        <w:rPr>
          <w:b/>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Договору,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Normal"/>
        <w:tabs>
          <w:tab w:val="clear" w:pos="708"/>
          <w:tab w:val="left" w:pos="540" w:leader="none"/>
        </w:tabs>
        <w:ind w:end="-142"/>
        <w:rPr/>
      </w:pPr>
      <w:r>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договор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5"/>
        <w:gridCol w:w="4821"/>
      </w:tblGrid>
      <w:tr>
        <w:trPr>
          <w:trHeight w:val="7632" w:hRule="atLeast"/>
        </w:trPr>
        <w:tc>
          <w:tcPr>
            <w:tcW w:w="5635"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1"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first" r:id="rId3"/>
          <w:type w:val="nextPage"/>
          <w:pgSz w:w="11906" w:h="16838"/>
          <w:pgMar w:left="851" w:right="567" w:gutter="0" w:header="0" w:top="709" w:footer="0" w:bottom="0"/>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Договору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rPr>
      </w:pPr>
      <w:r>
        <w:rPr>
          <w:b/>
          <w:bCs/>
        </w:rPr>
        <w:t>Спецификация</w:t>
      </w:r>
    </w:p>
    <w:tbl>
      <w:tblPr>
        <w:tblW w:w="5000" w:type="pct"/>
        <w:jc w:val="start"/>
        <w:tblInd w:w="-5" w:type="dxa"/>
        <w:tblLayout w:type="fixed"/>
        <w:tblCellMar>
          <w:top w:w="55" w:type="dxa"/>
          <w:start w:w="55" w:type="dxa"/>
          <w:bottom w:w="55" w:type="dxa"/>
          <w:end w:w="55" w:type="dxa"/>
        </w:tblCellMar>
      </w:tblPr>
      <w:tblGrid>
        <w:gridCol w:w="621"/>
        <w:gridCol w:w="6354"/>
        <w:gridCol w:w="1307"/>
        <w:gridCol w:w="1243"/>
        <w:gridCol w:w="1414"/>
        <w:gridCol w:w="1650"/>
        <w:gridCol w:w="1190"/>
        <w:gridCol w:w="1619"/>
      </w:tblGrid>
      <w:tr>
        <w:trPr/>
        <w:tc>
          <w:tcPr>
            <w:tcW w:w="621" w:type="dxa"/>
            <w:tcBorders>
              <w:top w:val="single" w:sz="4" w:space="0" w:color="000000"/>
              <w:start w:val="single" w:sz="4" w:space="0" w:color="000000"/>
              <w:bottom w:val="single" w:sz="4" w:space="0" w:color="000000"/>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6354"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30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243" w:type="dxa"/>
            <w:tcBorders>
              <w:top w:val="single" w:sz="4" w:space="0" w:color="000000"/>
              <w:start w:val="single" w:sz="4" w:space="0" w:color="000000"/>
              <w:bottom w:val="single" w:sz="4" w:space="0" w:color="000000"/>
            </w:tcBorders>
          </w:tcPr>
          <w:p>
            <w:pPr>
              <w:pStyle w:val="Normal"/>
              <w:widowControl w:val="false"/>
              <w:bidi w:val="0"/>
              <w:spacing w:before="0" w:after="0"/>
              <w:ind w:hanging="0" w:start="57" w:end="0"/>
              <w:jc w:val="center"/>
              <w:rPr/>
            </w:pPr>
            <w:r>
              <w:rPr/>
              <w:t>Кол-во</w:t>
            </w:r>
          </w:p>
        </w:tc>
        <w:tc>
          <w:tcPr>
            <w:tcW w:w="1414"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Ед. изм.</w:t>
            </w:r>
          </w:p>
        </w:tc>
        <w:tc>
          <w:tcPr>
            <w:tcW w:w="165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9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19"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621" w:type="dxa"/>
            <w:tcBorders>
              <w:start w:val="single" w:sz="4" w:space="0" w:color="000000"/>
              <w:bottom w:val="single" w:sz="4" w:space="0" w:color="000000"/>
            </w:tcBorders>
          </w:tcPr>
          <w:p>
            <w:pPr>
              <w:pStyle w:val="Normal"/>
              <w:bidi w:val="0"/>
              <w:spacing w:before="0" w:after="0"/>
              <w:ind w:hanging="0" w:start="170" w:end="0"/>
              <w:jc w:val="start"/>
              <w:rPr/>
            </w:pPr>
            <w:r>
              <w:rPr/>
              <w:t>1</w:t>
            </w:r>
          </w:p>
        </w:tc>
        <w:tc>
          <w:tcPr>
            <w:tcW w:w="6354"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Среда DMEM (или эквивалент)</w:t>
            </w:r>
          </w:p>
          <w:p>
            <w:pPr>
              <w:pStyle w:val="Normal"/>
              <w:widowControl/>
              <w:bidi w:val="0"/>
              <w:spacing w:before="0" w:after="0"/>
              <w:ind w:hanging="0" w:start="113" w:end="0"/>
              <w:jc w:val="start"/>
              <w:rPr>
                <w:b w:val="false"/>
                <w:bCs w:val="false"/>
              </w:rPr>
            </w:pPr>
            <w:r>
              <w:rPr>
                <w:b w:val="false"/>
                <w:bCs w:val="false"/>
              </w:rPr>
              <w:t xml:space="preserve">Функциональное назначение </w:t>
              <w:tab/>
              <w:t xml:space="preserve">Жидкая питательная среда для культивирования широкого спектра клеток животных и человека </w:t>
            </w:r>
          </w:p>
          <w:p>
            <w:pPr>
              <w:pStyle w:val="Normal"/>
              <w:widowControl/>
              <w:bidi w:val="0"/>
              <w:spacing w:before="0" w:after="0"/>
              <w:ind w:hanging="0" w:start="113" w:end="0"/>
              <w:jc w:val="start"/>
              <w:rPr>
                <w:b w:val="false"/>
                <w:bCs w:val="false"/>
              </w:rPr>
            </w:pPr>
            <w:r>
              <w:rPr>
                <w:b w:val="false"/>
                <w:bCs w:val="false"/>
              </w:rPr>
              <w:t xml:space="preserve">Содержание глюкозы </w:t>
              <w:tab/>
              <w:t xml:space="preserve">4,5 г/л </w:t>
            </w:r>
          </w:p>
          <w:p>
            <w:pPr>
              <w:pStyle w:val="Normal"/>
              <w:widowControl/>
              <w:bidi w:val="0"/>
              <w:spacing w:before="0" w:after="0"/>
              <w:ind w:hanging="0" w:start="113" w:end="0"/>
              <w:jc w:val="start"/>
              <w:rPr>
                <w:b w:val="false"/>
                <w:bCs w:val="false"/>
              </w:rPr>
            </w:pPr>
            <w:r>
              <w:rPr>
                <w:b w:val="false"/>
                <w:bCs w:val="false"/>
              </w:rPr>
              <w:t>Наличие глутамина</w:t>
              <w:tab/>
              <w:t xml:space="preserve">Без глутамина </w:t>
            </w:r>
          </w:p>
          <w:p>
            <w:pPr>
              <w:pStyle w:val="Normal"/>
              <w:widowControl/>
              <w:bidi w:val="0"/>
              <w:spacing w:before="0" w:after="0"/>
              <w:ind w:hanging="0" w:start="113" w:end="0"/>
              <w:jc w:val="start"/>
              <w:rPr>
                <w:b w:val="false"/>
                <w:bCs w:val="false"/>
              </w:rPr>
            </w:pPr>
            <w:r>
              <w:rPr>
                <w:b w:val="false"/>
                <w:bCs w:val="false"/>
              </w:rPr>
              <w:t xml:space="preserve">Дополнительные буферные компоненты </w:t>
              <w:tab/>
              <w:t xml:space="preserve">С добавлением HEPES (для стабилизации pH вне CO2-инкубатора) </w:t>
            </w:r>
          </w:p>
          <w:p>
            <w:pPr>
              <w:pStyle w:val="Normal"/>
              <w:widowControl/>
              <w:bidi w:val="0"/>
              <w:spacing w:before="0" w:after="0"/>
              <w:ind w:hanging="0" w:start="113" w:end="0"/>
              <w:jc w:val="start"/>
              <w:rPr>
                <w:b w:val="false"/>
                <w:bCs w:val="false"/>
              </w:rPr>
            </w:pPr>
            <w:r>
              <w:rPr>
                <w:b w:val="false"/>
                <w:bCs w:val="false"/>
              </w:rPr>
              <w:t xml:space="preserve">Форма выпуска </w:t>
              <w:tab/>
              <w:t xml:space="preserve">Прозрачная стерильная жидкость красновато-оранжевого цвета, без опалесценции и осадка, прошедшая мембранную фильтрацию </w:t>
            </w:r>
          </w:p>
          <w:p>
            <w:pPr>
              <w:pStyle w:val="Normal"/>
              <w:widowControl/>
              <w:bidi w:val="0"/>
              <w:spacing w:before="0" w:after="0"/>
              <w:ind w:hanging="0" w:start="113" w:end="0"/>
              <w:jc w:val="start"/>
              <w:rPr>
                <w:b w:val="false"/>
                <w:bCs w:val="false"/>
              </w:rPr>
            </w:pPr>
            <w:r>
              <w:rPr>
                <w:b w:val="false"/>
                <w:bCs w:val="false"/>
              </w:rPr>
              <w:t xml:space="preserve">Наличие антибиотиков </w:t>
              <w:tab/>
              <w:t xml:space="preserve">Не содержит антибиотиков </w:t>
            </w:r>
          </w:p>
          <w:p>
            <w:pPr>
              <w:pStyle w:val="Normal"/>
              <w:widowControl/>
              <w:bidi w:val="0"/>
              <w:spacing w:before="0" w:after="0"/>
              <w:ind w:hanging="0" w:start="113" w:end="0"/>
              <w:jc w:val="start"/>
              <w:rPr>
                <w:b w:val="false"/>
                <w:bCs w:val="false"/>
              </w:rPr>
            </w:pPr>
            <w:r>
              <w:rPr>
                <w:b w:val="false"/>
                <w:bCs w:val="false"/>
              </w:rPr>
              <w:t xml:space="preserve">Объем упаковки (фасовка) </w:t>
              <w:tab/>
              <w:t xml:space="preserve">Не менее 450 мл </w:t>
            </w:r>
          </w:p>
          <w:p>
            <w:pPr>
              <w:pStyle w:val="Normal"/>
              <w:widowControl/>
              <w:bidi w:val="0"/>
              <w:spacing w:before="0" w:after="0"/>
              <w:ind w:hanging="0" w:start="113" w:end="0"/>
              <w:jc w:val="start"/>
              <w:rPr>
                <w:b w:val="false"/>
                <w:bCs w:val="false"/>
              </w:rPr>
            </w:pPr>
            <w:r>
              <w:rPr>
                <w:b w:val="false"/>
                <w:bCs w:val="false"/>
              </w:rPr>
              <w:t xml:space="preserve">Тип упаковки </w:t>
              <w:tab/>
              <w:t xml:space="preserve">ПЭТ-флакон (ПЭТ-тара), адаптированный для стерильной работы </w:t>
            </w:r>
          </w:p>
          <w:p>
            <w:pPr>
              <w:pStyle w:val="Normal"/>
              <w:widowControl/>
              <w:bidi w:val="0"/>
              <w:spacing w:before="0" w:after="0"/>
              <w:ind w:hanging="0" w:start="113" w:end="0"/>
              <w:jc w:val="start"/>
              <w:rPr>
                <w:b/>
                <w:bCs/>
              </w:rPr>
            </w:pPr>
            <w:r>
              <w:rPr>
                <w:b/>
                <w:bCs/>
              </w:rPr>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3"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5</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флакон</w:t>
            </w:r>
          </w:p>
        </w:tc>
        <w:tc>
          <w:tcPr>
            <w:tcW w:w="1650"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21" w:type="dxa"/>
            <w:tcBorders>
              <w:start w:val="single" w:sz="4" w:space="0" w:color="000000"/>
              <w:bottom w:val="single" w:sz="4" w:space="0" w:color="000000"/>
            </w:tcBorders>
          </w:tcPr>
          <w:p>
            <w:pPr>
              <w:pStyle w:val="Normal"/>
              <w:bidi w:val="0"/>
              <w:spacing w:before="0" w:after="0"/>
              <w:ind w:hanging="0" w:start="170" w:end="0"/>
              <w:jc w:val="start"/>
              <w:rPr/>
            </w:pPr>
            <w:r>
              <w:rPr/>
              <w:t>2</w:t>
            </w:r>
          </w:p>
        </w:tc>
        <w:tc>
          <w:tcPr>
            <w:tcW w:w="6354"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 xml:space="preserve">Среда DMEM/F-12 (или эквивалент) </w:t>
            </w:r>
          </w:p>
          <w:p>
            <w:pPr>
              <w:pStyle w:val="Normal"/>
              <w:widowControl/>
              <w:bidi w:val="0"/>
              <w:spacing w:before="0" w:after="0"/>
              <w:ind w:hanging="0" w:start="113" w:end="0"/>
              <w:jc w:val="start"/>
              <w:rPr>
                <w:b w:val="false"/>
                <w:bCs w:val="false"/>
              </w:rPr>
            </w:pPr>
            <w:r>
              <w:rPr>
                <w:b w:val="false"/>
                <w:bCs w:val="false"/>
              </w:rPr>
              <w:t xml:space="preserve">Функциональное назначение </w:t>
              <w:tab/>
              <w:t xml:space="preserve">Жидкая смесь сред DMEM и Ham's F-12 (в соотношении 1:1) для культивирования широкого спектра культур клеток, включая стволовые клетки и первичные культуры </w:t>
            </w:r>
          </w:p>
          <w:p>
            <w:pPr>
              <w:pStyle w:val="Normal"/>
              <w:widowControl/>
              <w:bidi w:val="0"/>
              <w:spacing w:before="0" w:after="0"/>
              <w:ind w:hanging="0" w:start="113" w:end="0"/>
              <w:jc w:val="start"/>
              <w:rPr>
                <w:b w:val="false"/>
                <w:bCs w:val="false"/>
              </w:rPr>
            </w:pPr>
            <w:r>
              <w:rPr>
                <w:b w:val="false"/>
                <w:bCs w:val="false"/>
              </w:rPr>
              <w:t>Наличие глутамина</w:t>
              <w:tab/>
              <w:t xml:space="preserve">Без глутамина </w:t>
            </w:r>
          </w:p>
          <w:p>
            <w:pPr>
              <w:pStyle w:val="Normal"/>
              <w:widowControl/>
              <w:bidi w:val="0"/>
              <w:spacing w:before="0" w:after="0"/>
              <w:ind w:hanging="0" w:start="113" w:end="0"/>
              <w:jc w:val="start"/>
              <w:rPr>
                <w:b w:val="false"/>
                <w:bCs w:val="false"/>
              </w:rPr>
            </w:pPr>
            <w:r>
              <w:rPr>
                <w:b w:val="false"/>
                <w:bCs w:val="false"/>
              </w:rPr>
              <w:t xml:space="preserve">Форма выпуска </w:t>
              <w:tab/>
              <w:t xml:space="preserve">Прозрачная стерильная жидкость красновато-оранжевого цвета, без опалесценции и осадка, прошедшая мембранную фильтрацию </w:t>
            </w:r>
          </w:p>
          <w:p>
            <w:pPr>
              <w:pStyle w:val="Normal"/>
              <w:widowControl/>
              <w:bidi w:val="0"/>
              <w:spacing w:before="0" w:after="0"/>
              <w:ind w:hanging="0" w:start="113" w:end="0"/>
              <w:jc w:val="start"/>
              <w:rPr>
                <w:b w:val="false"/>
                <w:bCs w:val="false"/>
              </w:rPr>
            </w:pPr>
            <w:r>
              <w:rPr>
                <w:b w:val="false"/>
                <w:bCs w:val="false"/>
              </w:rPr>
              <w:t xml:space="preserve">Наличие антибиотиков </w:t>
              <w:tab/>
              <w:t xml:space="preserve">Не содержит антибиотиков </w:t>
            </w:r>
          </w:p>
          <w:p>
            <w:pPr>
              <w:pStyle w:val="Normal"/>
              <w:widowControl/>
              <w:bidi w:val="0"/>
              <w:spacing w:before="0" w:after="0"/>
              <w:ind w:hanging="0" w:start="113" w:end="0"/>
              <w:jc w:val="start"/>
              <w:rPr>
                <w:b w:val="false"/>
                <w:bCs w:val="false"/>
              </w:rPr>
            </w:pPr>
            <w:r>
              <w:rPr>
                <w:b w:val="false"/>
                <w:bCs w:val="false"/>
              </w:rPr>
              <w:t xml:space="preserve">Объем упаковки (фасовка) </w:t>
              <w:tab/>
              <w:t xml:space="preserve">Не менее 450 мл </w:t>
            </w:r>
          </w:p>
          <w:p>
            <w:pPr>
              <w:pStyle w:val="Normal"/>
              <w:widowControl/>
              <w:bidi w:val="0"/>
              <w:spacing w:before="0" w:after="0"/>
              <w:ind w:hanging="0" w:start="113" w:end="0"/>
              <w:jc w:val="start"/>
              <w:rPr>
                <w:b w:val="false"/>
                <w:bCs w:val="false"/>
              </w:rPr>
            </w:pPr>
            <w:r>
              <w:rPr>
                <w:b w:val="false"/>
                <w:bCs w:val="false"/>
              </w:rPr>
              <w:t xml:space="preserve">Тип упаковки </w:t>
              <w:tab/>
              <w:t xml:space="preserve">ПЭТ-флакон (ПЭТ-тара) </w:t>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3"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10</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флакон</w:t>
            </w:r>
          </w:p>
        </w:tc>
        <w:tc>
          <w:tcPr>
            <w:tcW w:w="1650"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21" w:type="dxa"/>
            <w:tcBorders>
              <w:start w:val="single" w:sz="4" w:space="0" w:color="000000"/>
              <w:bottom w:val="single" w:sz="4" w:space="0" w:color="000000"/>
            </w:tcBorders>
          </w:tcPr>
          <w:p>
            <w:pPr>
              <w:pStyle w:val="Normal"/>
              <w:bidi w:val="0"/>
              <w:spacing w:before="0" w:after="0"/>
              <w:ind w:hanging="0" w:start="170" w:end="0"/>
              <w:jc w:val="start"/>
              <w:rPr/>
            </w:pPr>
            <w:r>
              <w:rPr/>
              <w:t>3</w:t>
            </w:r>
          </w:p>
        </w:tc>
        <w:tc>
          <w:tcPr>
            <w:tcW w:w="6354"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Фосфатно-солевой буферный раствор Дульбекко (или эквивалент)</w:t>
            </w:r>
          </w:p>
          <w:p>
            <w:pPr>
              <w:pStyle w:val="Normal"/>
              <w:widowControl/>
              <w:bidi w:val="0"/>
              <w:spacing w:before="0" w:after="0"/>
              <w:ind w:hanging="0" w:start="113" w:end="0"/>
              <w:jc w:val="start"/>
              <w:rPr>
                <w:b w:val="false"/>
                <w:bCs w:val="false"/>
              </w:rPr>
            </w:pPr>
            <w:r>
              <w:rPr>
                <w:b w:val="false"/>
                <w:bCs w:val="false"/>
              </w:rPr>
              <w:t xml:space="preserve">Функциональное назначение </w:t>
              <w:tab/>
              <w:t xml:space="preserve">Фосфатно-солевой буферный раствор Дульбекко, с Ca и Mg (или эквивалент) </w:t>
            </w:r>
          </w:p>
          <w:p>
            <w:pPr>
              <w:pStyle w:val="Normal"/>
              <w:widowControl/>
              <w:bidi w:val="0"/>
              <w:spacing w:before="0" w:after="0"/>
              <w:ind w:hanging="0" w:start="113" w:end="0"/>
              <w:jc w:val="start"/>
              <w:rPr>
                <w:b w:val="false"/>
                <w:bCs w:val="false"/>
              </w:rPr>
            </w:pPr>
            <w:r>
              <w:rPr>
                <w:b w:val="false"/>
                <w:bCs w:val="false"/>
              </w:rPr>
              <w:t xml:space="preserve">Наличие ионов кальция (Ca2+) </w:t>
              <w:tab/>
              <w:t>Наличие</w:t>
            </w:r>
          </w:p>
          <w:p>
            <w:pPr>
              <w:pStyle w:val="Normal"/>
              <w:widowControl/>
              <w:bidi w:val="0"/>
              <w:spacing w:before="0" w:after="0"/>
              <w:ind w:hanging="0" w:start="113" w:end="0"/>
              <w:jc w:val="start"/>
              <w:rPr>
                <w:b w:val="false"/>
                <w:bCs w:val="false"/>
              </w:rPr>
            </w:pPr>
            <w:r>
              <w:rPr>
                <w:b w:val="false"/>
                <w:bCs w:val="false"/>
              </w:rPr>
              <w:t xml:space="preserve">Наличие ионов магния (Mg2+) </w:t>
              <w:tab/>
              <w:t>Наличие</w:t>
            </w:r>
          </w:p>
          <w:p>
            <w:pPr>
              <w:pStyle w:val="Normal"/>
              <w:widowControl/>
              <w:bidi w:val="0"/>
              <w:spacing w:before="0" w:after="0"/>
              <w:ind w:hanging="0" w:start="113" w:end="0"/>
              <w:jc w:val="start"/>
              <w:rPr>
                <w:b w:val="false"/>
                <w:bCs w:val="false"/>
              </w:rPr>
            </w:pPr>
            <w:r>
              <w:rPr>
                <w:b w:val="false"/>
                <w:bCs w:val="false"/>
              </w:rPr>
              <w:t xml:space="preserve">Форма выпуска </w:t>
              <w:tab/>
              <w:t xml:space="preserve">Прозрачная стерильная бесцветная жидкость, без опалесценции и осадка, прошедшая мембранную фильтрацию </w:t>
            </w:r>
          </w:p>
          <w:p>
            <w:pPr>
              <w:pStyle w:val="Normal"/>
              <w:widowControl/>
              <w:bidi w:val="0"/>
              <w:spacing w:before="0" w:after="0"/>
              <w:ind w:hanging="0" w:start="113" w:end="0"/>
              <w:jc w:val="start"/>
              <w:rPr>
                <w:b w:val="false"/>
                <w:bCs w:val="false"/>
              </w:rPr>
            </w:pPr>
            <w:r>
              <w:rPr>
                <w:b w:val="false"/>
                <w:bCs w:val="false"/>
              </w:rPr>
              <w:t xml:space="preserve">Объем упаковки (фасовка) </w:t>
              <w:tab/>
              <w:t xml:space="preserve">Не менее 450 мл </w:t>
            </w:r>
          </w:p>
          <w:p>
            <w:pPr>
              <w:pStyle w:val="Normal"/>
              <w:widowControl/>
              <w:bidi w:val="0"/>
              <w:spacing w:before="0" w:after="0"/>
              <w:ind w:hanging="0" w:start="113" w:end="0"/>
              <w:jc w:val="start"/>
              <w:rPr>
                <w:b w:val="false"/>
                <w:bCs w:val="false"/>
              </w:rPr>
            </w:pPr>
            <w:r>
              <w:rPr>
                <w:b w:val="false"/>
                <w:bCs w:val="false"/>
              </w:rPr>
              <w:t xml:space="preserve">Тип упаковки </w:t>
              <w:tab/>
              <w:t xml:space="preserve">ПЭТ-флакон (ПЭТ-тара) </w:t>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3"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5</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флакон</w:t>
            </w:r>
          </w:p>
        </w:tc>
        <w:tc>
          <w:tcPr>
            <w:tcW w:w="1650"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21" w:type="dxa"/>
            <w:tcBorders>
              <w:start w:val="single" w:sz="4" w:space="0" w:color="000000"/>
              <w:bottom w:val="single" w:sz="4" w:space="0" w:color="000000"/>
            </w:tcBorders>
          </w:tcPr>
          <w:p>
            <w:pPr>
              <w:pStyle w:val="Normal"/>
              <w:bidi w:val="0"/>
              <w:spacing w:before="0" w:after="0"/>
              <w:ind w:hanging="0" w:start="170" w:end="0"/>
              <w:jc w:val="start"/>
              <w:rPr/>
            </w:pPr>
            <w:r>
              <w:rPr/>
              <w:t>4</w:t>
            </w:r>
          </w:p>
        </w:tc>
        <w:tc>
          <w:tcPr>
            <w:tcW w:w="6354" w:type="dxa"/>
            <w:tcBorders>
              <w:start w:val="single" w:sz="4" w:space="0" w:color="000000"/>
              <w:bottom w:val="single" w:sz="4" w:space="0" w:color="000000"/>
            </w:tcBorders>
          </w:tcPr>
          <w:p>
            <w:pPr>
              <w:pStyle w:val="Normal"/>
              <w:widowControl/>
              <w:bidi w:val="0"/>
              <w:spacing w:before="0" w:after="0"/>
              <w:ind w:hanging="0" w:start="113" w:end="0"/>
              <w:jc w:val="start"/>
              <w:rPr>
                <w:b/>
                <w:bCs/>
              </w:rPr>
            </w:pPr>
            <w:r>
              <w:rPr>
                <w:b/>
                <w:bCs/>
              </w:rPr>
              <w:t>Раствор трипсина-ЭДТА 0,25% с солями Хенкса (или эквивалент)</w:t>
            </w:r>
          </w:p>
          <w:p>
            <w:pPr>
              <w:pStyle w:val="Normal"/>
              <w:widowControl/>
              <w:bidi w:val="0"/>
              <w:spacing w:before="0" w:after="0"/>
              <w:ind w:hanging="0" w:start="113" w:end="0"/>
              <w:jc w:val="start"/>
              <w:rPr>
                <w:b w:val="false"/>
                <w:bCs w:val="false"/>
              </w:rPr>
            </w:pPr>
            <w:r>
              <w:rPr>
                <w:b w:val="false"/>
                <w:bCs w:val="false"/>
              </w:rPr>
              <w:t xml:space="preserve">Функциональное назначение </w:t>
              <w:tab/>
              <w:t xml:space="preserve">Стерильный ферментативный раствор для дезинтеграции тканей и снятия монослойных культур клеток с поверхности пластика </w:t>
            </w:r>
          </w:p>
          <w:p>
            <w:pPr>
              <w:pStyle w:val="Normal"/>
              <w:widowControl/>
              <w:bidi w:val="0"/>
              <w:spacing w:before="0" w:after="0"/>
              <w:ind w:hanging="0" w:start="113" w:end="0"/>
              <w:jc w:val="start"/>
              <w:rPr>
                <w:b w:val="false"/>
                <w:bCs w:val="false"/>
              </w:rPr>
            </w:pPr>
            <w:r>
              <w:rPr>
                <w:b w:val="false"/>
                <w:bCs w:val="false"/>
              </w:rPr>
              <w:t xml:space="preserve">Концентрация трипсина </w:t>
              <w:tab/>
              <w:t xml:space="preserve">0,25% </w:t>
            </w:r>
          </w:p>
          <w:p>
            <w:pPr>
              <w:pStyle w:val="Normal"/>
              <w:widowControl/>
              <w:bidi w:val="0"/>
              <w:spacing w:before="0" w:after="0"/>
              <w:ind w:hanging="0" w:start="113" w:end="0"/>
              <w:jc w:val="start"/>
              <w:rPr>
                <w:b w:val="false"/>
                <w:bCs w:val="false"/>
              </w:rPr>
            </w:pPr>
            <w:r>
              <w:rPr>
                <w:b w:val="false"/>
                <w:bCs w:val="false"/>
              </w:rPr>
              <w:t xml:space="preserve">Наличие хелатирующего агента </w:t>
              <w:tab/>
              <w:t xml:space="preserve">Наличие ЭДТА (этилендиаминтетрауксусная кислота) для связывания ионов кальция и магния </w:t>
            </w:r>
          </w:p>
          <w:p>
            <w:pPr>
              <w:pStyle w:val="Normal"/>
              <w:widowControl/>
              <w:bidi w:val="0"/>
              <w:spacing w:before="0" w:after="0"/>
              <w:ind w:hanging="0" w:start="113" w:end="0"/>
              <w:jc w:val="start"/>
              <w:rPr>
                <w:b w:val="false"/>
                <w:bCs w:val="false"/>
              </w:rPr>
            </w:pPr>
            <w:r>
              <w:rPr>
                <w:b w:val="false"/>
                <w:bCs w:val="false"/>
              </w:rPr>
              <w:t xml:space="preserve">Основа раствора </w:t>
              <w:tab/>
              <w:t xml:space="preserve">Сбалансированный солевой раствор Хенкса (без кальция и магния) </w:t>
            </w:r>
          </w:p>
          <w:p>
            <w:pPr>
              <w:pStyle w:val="Normal"/>
              <w:widowControl/>
              <w:bidi w:val="0"/>
              <w:spacing w:before="0" w:after="0"/>
              <w:ind w:hanging="0" w:start="113" w:end="0"/>
              <w:jc w:val="start"/>
              <w:rPr>
                <w:b w:val="false"/>
                <w:bCs w:val="false"/>
              </w:rPr>
            </w:pPr>
            <w:r>
              <w:rPr>
                <w:b w:val="false"/>
                <w:bCs w:val="false"/>
              </w:rPr>
              <w:t xml:space="preserve">Форма выпуска </w:t>
              <w:tab/>
              <w:t xml:space="preserve">Сбалансированный солевой раствор Хенкса (без кальция и магния) </w:t>
            </w:r>
          </w:p>
          <w:p>
            <w:pPr>
              <w:pStyle w:val="Normal"/>
              <w:widowControl/>
              <w:bidi w:val="0"/>
              <w:spacing w:before="0" w:after="0"/>
              <w:ind w:hanging="0" w:start="113" w:end="0"/>
              <w:jc w:val="start"/>
              <w:rPr>
                <w:b w:val="false"/>
                <w:bCs w:val="false"/>
              </w:rPr>
            </w:pPr>
            <w:r>
              <w:rPr>
                <w:b w:val="false"/>
                <w:bCs w:val="false"/>
              </w:rPr>
              <w:t xml:space="preserve">Объем упаковки (фасовка) </w:t>
              <w:tab/>
              <w:t>Не менее 400 мл</w:t>
            </w:r>
          </w:p>
          <w:p>
            <w:pPr>
              <w:pStyle w:val="Normal"/>
              <w:widowControl/>
              <w:bidi w:val="0"/>
              <w:spacing w:before="0" w:after="0"/>
              <w:ind w:hanging="0" w:start="113" w:end="0"/>
              <w:jc w:val="start"/>
              <w:rPr>
                <w:b w:val="false"/>
                <w:bCs w:val="false"/>
              </w:rPr>
            </w:pPr>
            <w:r>
              <w:rPr>
                <w:b w:val="false"/>
                <w:bCs w:val="false"/>
              </w:rPr>
              <w:t xml:space="preserve">Тип упаковки </w:t>
              <w:tab/>
              <w:t xml:space="preserve">Флакон, адаптированный для стерильной работы в ламинарном шкафу </w:t>
            </w:r>
          </w:p>
          <w:p>
            <w:pPr>
              <w:pStyle w:val="Normal"/>
              <w:widowControl/>
              <w:bidi w:val="0"/>
              <w:spacing w:before="0" w:after="0"/>
              <w:ind w:hanging="0" w:start="113" w:end="0"/>
              <w:jc w:val="start"/>
              <w:rPr>
                <w:b/>
                <w:bCs/>
              </w:rPr>
            </w:pPr>
            <w:r>
              <w:rPr>
                <w:b/>
                <w:bCs/>
              </w:rPr>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3"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2</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флакон</w:t>
            </w:r>
          </w:p>
        </w:tc>
        <w:tc>
          <w:tcPr>
            <w:tcW w:w="1650"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621" w:type="dxa"/>
            <w:tcBorders>
              <w:start w:val="single" w:sz="4" w:space="0" w:color="000000"/>
              <w:bottom w:val="single" w:sz="4" w:space="0" w:color="000000"/>
            </w:tcBorders>
          </w:tcPr>
          <w:p>
            <w:pPr>
              <w:pStyle w:val="Normal"/>
              <w:ind w:hanging="0" w:start="170" w:end="0"/>
              <w:rPr/>
            </w:pPr>
            <w:r>
              <w:rPr/>
              <w:t>5</w:t>
            </w:r>
          </w:p>
        </w:tc>
        <w:tc>
          <w:tcPr>
            <w:tcW w:w="6354" w:type="dxa"/>
            <w:tcBorders>
              <w:start w:val="single" w:sz="4" w:space="0" w:color="000000"/>
              <w:bottom w:val="single" w:sz="4" w:space="0" w:color="000000"/>
            </w:tcBorders>
          </w:tcPr>
          <w:p>
            <w:pPr>
              <w:pStyle w:val="Normal"/>
              <w:rPr>
                <w:b/>
                <w:bCs/>
              </w:rPr>
            </w:pPr>
            <w:r>
              <w:rPr>
                <w:b/>
                <w:bCs/>
              </w:rPr>
              <w:t>Глутамин, стерильный, 200 mM (или эквивалент)</w:t>
            </w:r>
          </w:p>
          <w:p>
            <w:pPr>
              <w:pStyle w:val="Normal"/>
              <w:rPr>
                <w:b w:val="false"/>
                <w:bCs w:val="false"/>
              </w:rPr>
            </w:pPr>
            <w:r>
              <w:rPr>
                <w:b w:val="false"/>
                <w:bCs w:val="false"/>
              </w:rPr>
              <w:t xml:space="preserve">Функциональное назначение </w:t>
              <w:tab/>
              <w:t xml:space="preserve">Стерильная незаменимая аминокислота (L-глутамин), концентрированная добавка к жидким питательным средам для обеспечения роста и пролиферации клеток </w:t>
            </w:r>
          </w:p>
          <w:p>
            <w:pPr>
              <w:pStyle w:val="Normal"/>
              <w:rPr>
                <w:b w:val="false"/>
                <w:bCs w:val="false"/>
              </w:rPr>
            </w:pPr>
            <w:r>
              <w:rPr>
                <w:b w:val="false"/>
                <w:bCs w:val="false"/>
              </w:rPr>
              <w:t xml:space="preserve">Концентрация </w:t>
              <w:tab/>
              <w:t xml:space="preserve">200 mM </w:t>
            </w:r>
          </w:p>
          <w:p>
            <w:pPr>
              <w:pStyle w:val="Normal"/>
              <w:rPr>
                <w:b w:val="false"/>
                <w:bCs w:val="false"/>
              </w:rPr>
            </w:pPr>
            <w:r>
              <w:rPr>
                <w:b w:val="false"/>
                <w:bCs w:val="false"/>
              </w:rPr>
              <w:t xml:space="preserve">Форма выпуска </w:t>
              <w:tab/>
              <w:t xml:space="preserve">Жидкий стерильный раствор, готовый для добавления в среду, прошедший мембранную фильтрацию, замороженный </w:t>
            </w:r>
          </w:p>
          <w:p>
            <w:pPr>
              <w:pStyle w:val="Normal"/>
              <w:rPr>
                <w:b w:val="false"/>
                <w:bCs w:val="false"/>
              </w:rPr>
            </w:pPr>
            <w:r>
              <w:rPr>
                <w:b w:val="false"/>
                <w:bCs w:val="false"/>
              </w:rPr>
              <w:t xml:space="preserve">Чистота и стерильность </w:t>
              <w:tab/>
              <w:t xml:space="preserve">Стерильно, протестировано на отсутствие микоплазм и эндотоксинов, валидировано для клеточных культур </w:t>
            </w:r>
          </w:p>
          <w:p>
            <w:pPr>
              <w:pStyle w:val="Normal"/>
              <w:rPr>
                <w:b w:val="false"/>
                <w:bCs w:val="false"/>
              </w:rPr>
            </w:pPr>
            <w:r>
              <w:rPr>
                <w:b w:val="false"/>
                <w:bCs w:val="false"/>
              </w:rPr>
              <w:t xml:space="preserve">Объем упаковки (фасовка) </w:t>
              <w:tab/>
              <w:t>Не менее 100 мл</w:t>
            </w:r>
          </w:p>
          <w:p>
            <w:pPr>
              <w:pStyle w:val="Normal"/>
              <w:rPr>
                <w:b w:val="false"/>
                <w:bCs w:val="false"/>
              </w:rPr>
            </w:pPr>
            <w:r>
              <w:rPr>
                <w:b w:val="false"/>
                <w:bCs w:val="false"/>
              </w:rPr>
              <w:t xml:space="preserve">Тип упаковки </w:t>
              <w:tab/>
              <w:t xml:space="preserve">Еврофлакон, адаптированный для асептического отбора в условиях ламинарного шкафа </w:t>
            </w:r>
          </w:p>
        </w:tc>
        <w:tc>
          <w:tcPr>
            <w:tcW w:w="1307" w:type="dxa"/>
            <w:tcBorders>
              <w:start w:val="single" w:sz="4" w:space="0" w:color="000000"/>
              <w:bottom w:val="single" w:sz="4" w:space="0" w:color="000000"/>
            </w:tcBorders>
          </w:tcPr>
          <w:p>
            <w:pPr>
              <w:pStyle w:val="Style23"/>
              <w:rPr/>
            </w:pPr>
            <w:r>
              <w:rPr/>
            </w:r>
          </w:p>
        </w:tc>
        <w:tc>
          <w:tcPr>
            <w:tcW w:w="1243"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5</w:t>
            </w:r>
          </w:p>
        </w:tc>
        <w:tc>
          <w:tcPr>
            <w:tcW w:w="1414" w:type="dxa"/>
            <w:tcBorders>
              <w:start w:val="single" w:sz="4" w:space="0" w:color="000000"/>
              <w:bottom w:val="single" w:sz="4" w:space="0" w:color="000000"/>
            </w:tcBorders>
          </w:tcPr>
          <w:p>
            <w:pPr>
              <w:pStyle w:val="Normal"/>
              <w:bidi w:val="0"/>
              <w:spacing w:before="0" w:after="0"/>
              <w:ind w:hanging="0" w:start="0" w:end="0"/>
              <w:jc w:val="center"/>
              <w:rPr/>
            </w:pPr>
            <w:r>
              <w:rPr/>
              <w:t>флакон</w:t>
            </w:r>
          </w:p>
        </w:tc>
        <w:tc>
          <w:tcPr>
            <w:tcW w:w="1650" w:type="dxa"/>
            <w:tcBorders>
              <w:start w:val="single" w:sz="4" w:space="0" w:color="000000"/>
              <w:bottom w:val="single" w:sz="4" w:space="0" w:color="000000"/>
            </w:tcBorders>
          </w:tcPr>
          <w:p>
            <w:pPr>
              <w:pStyle w:val="Style23"/>
              <w:rPr/>
            </w:pPr>
            <w:r>
              <w:rPr/>
            </w:r>
          </w:p>
        </w:tc>
        <w:tc>
          <w:tcPr>
            <w:tcW w:w="1190" w:type="dxa"/>
            <w:tcBorders>
              <w:start w:val="single" w:sz="4" w:space="0" w:color="000000"/>
              <w:bottom w:val="single" w:sz="4" w:space="0" w:color="000000"/>
            </w:tcBorders>
          </w:tcPr>
          <w:p>
            <w:pPr>
              <w:pStyle w:val="Style23"/>
              <w:rPr/>
            </w:pPr>
            <w:r>
              <w:rPr/>
            </w:r>
          </w:p>
        </w:tc>
        <w:tc>
          <w:tcPr>
            <w:tcW w:w="1619" w:type="dxa"/>
            <w:tcBorders>
              <w:start w:val="single" w:sz="4" w:space="0" w:color="000000"/>
              <w:bottom w:val="single" w:sz="4" w:space="0" w:color="000000"/>
              <w:end w:val="single" w:sz="4" w:space="0" w:color="000000"/>
            </w:tcBorders>
          </w:tcPr>
          <w:p>
            <w:pPr>
              <w:pStyle w:val="Style23"/>
              <w:rPr/>
            </w:pPr>
            <w:r>
              <w:rPr/>
            </w:r>
          </w:p>
        </w:tc>
      </w:tr>
      <w:tr>
        <w:trPr/>
        <w:tc>
          <w:tcPr>
            <w:tcW w:w="13779" w:type="dxa"/>
            <w:gridSpan w:val="7"/>
            <w:tcBorders>
              <w:start w:val="single" w:sz="4" w:space="0" w:color="000000"/>
              <w:bottom w:val="single" w:sz="4" w:space="0" w:color="000000"/>
            </w:tcBorders>
          </w:tcPr>
          <w:p>
            <w:pPr>
              <w:pStyle w:val="Style23"/>
              <w:jc w:val="end"/>
              <w:rPr/>
            </w:pPr>
            <w:r>
              <w:rPr/>
            </w:r>
          </w:p>
          <w:p>
            <w:pPr>
              <w:pStyle w:val="Style23"/>
              <w:jc w:val="end"/>
              <w:rPr/>
            </w:pPr>
            <w:r>
              <w:rPr/>
              <w:t>ИТОГО</w:t>
            </w:r>
          </w:p>
        </w:tc>
        <w:tc>
          <w:tcPr>
            <w:tcW w:w="1619" w:type="dxa"/>
            <w:tcBorders>
              <w:start w:val="single" w:sz="4" w:space="0" w:color="000000"/>
              <w:bottom w:val="single" w:sz="4" w:space="0" w:color="000000"/>
              <w:end w:val="single" w:sz="4" w:space="0" w:color="000000"/>
            </w:tcBorders>
          </w:tcPr>
          <w:p>
            <w:pPr>
              <w:pStyle w:val="Style23"/>
              <w:rPr/>
            </w:pPr>
            <w:r>
              <w:rPr/>
            </w:r>
          </w:p>
        </w:tc>
      </w:tr>
    </w:tbl>
    <w:p>
      <w:pPr>
        <w:pStyle w:val="Normal"/>
        <w:spacing w:before="0" w:after="60"/>
        <w:rPr>
          <w:b/>
          <w:bCs/>
          <w:sz w:val="24"/>
          <w:szCs w:val="24"/>
        </w:rPr>
      </w:pPr>
      <w:r>
        <w:rPr>
          <w:b/>
          <w:bCs/>
          <w:sz w:val="24"/>
          <w:szCs w:val="24"/>
        </w:rPr>
      </w:r>
    </w:p>
    <w:tbl>
      <w:tblPr>
        <w:tblW w:w="5000" w:type="pct"/>
        <w:jc w:val="start"/>
        <w:tblInd w:w="0" w:type="dxa"/>
        <w:tblLayout w:type="fixed"/>
        <w:tblCellMar>
          <w:top w:w="0" w:type="dxa"/>
          <w:start w:w="0" w:type="dxa"/>
          <w:bottom w:w="0" w:type="dxa"/>
          <w:end w:w="0" w:type="dxa"/>
        </w:tblCellMar>
      </w:tblPr>
      <w:tblGrid>
        <w:gridCol w:w="7699"/>
        <w:gridCol w:w="7699"/>
      </w:tblGrid>
      <w:tr>
        <w:trPr/>
        <w:tc>
          <w:tcPr>
            <w:tcW w:w="7699" w:type="dxa"/>
            <w:tcBorders/>
          </w:tcPr>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7699" w:type="dxa"/>
            <w:tcBorders/>
          </w:tcPr>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Normal"/>
        <w:spacing w:before="0" w:after="60"/>
        <w:rPr>
          <w:b/>
          <w:bCs/>
          <w:sz w:val="24"/>
          <w:szCs w:val="24"/>
        </w:rPr>
      </w:pPr>
      <w:r>
        <w:rPr>
          <w:b/>
          <w:bCs/>
          <w:sz w:val="24"/>
          <w:szCs w:val="24"/>
        </w:rPr>
      </w:r>
    </w:p>
    <w:p>
      <w:pPr>
        <w:pStyle w:val="Normal"/>
        <w:spacing w:before="0" w:after="60"/>
        <w:rPr>
          <w:b/>
          <w:bCs/>
          <w:sz w:val="24"/>
          <w:szCs w:val="24"/>
        </w:rPr>
      </w:pPr>
      <w:r>
        <w:rPr>
          <w:b/>
          <w:bCs/>
          <w:sz w:val="24"/>
          <w:szCs w:val="24"/>
        </w:rPr>
        <mc:AlternateContent>
          <mc:Choice Requires="wps">
            <w:drawing>
              <wp:anchor behindDoc="0" distT="0" distB="0" distL="114300" distR="114300" simplePos="0" locked="0" layoutInCell="0" allowOverlap="1" relativeHeight="2">
                <wp:simplePos x="0" y="0"/>
                <wp:positionH relativeFrom="page">
                  <wp:posOffset>426085</wp:posOffset>
                </wp:positionH>
                <wp:positionV relativeFrom="paragraph">
                  <wp:posOffset>603250</wp:posOffset>
                </wp:positionV>
                <wp:extent cx="10692130" cy="146685"/>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146520"/>
                        </a:xfrm>
                        <a:prstGeom prst="rect">
                          <a:avLst/>
                        </a:prstGeom>
                        <a:noFill/>
                        <a:ln w="0">
                          <a:noFill/>
                        </a:ln>
                      </wps:spPr>
                      <wps:style>
                        <a:lnRef idx="0"/>
                        <a:fillRef idx="0"/>
                        <a:effectRef idx="0"/>
                        <a:fontRef idx="minor"/>
                      </wps:style>
                      <wps:txbx>
                        <w:txbxContent>
                          <w:p>
                            <w:pPr>
                              <w:pStyle w:val="BodyText"/>
                              <w:spacing w:lineRule="auto" w:line="276" w:before="0" w:after="140"/>
                              <w:rPr/>
                            </w:pPr>
                            <w:r>
                              <w:rPr/>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33.55pt;margin-top:47.5pt;width:841.85pt;height:11.5pt;mso-wrap-style:none;v-text-anchor:middle;mso-position-horizontal-relative:page">
                <v:fill o:detectmouseclick="t" type="solid" color2="black" opacity="0"/>
                <v:stroke color="#3465a4" joinstyle="round" endcap="flat"/>
                <v:textbox>
                  <w:txbxContent>
                    <w:p>
                      <w:pPr>
                        <w:pStyle w:val="BodyText"/>
                        <w:spacing w:lineRule="auto" w:line="276" w:before="0" w:after="140"/>
                        <w:rPr/>
                      </w:pPr>
                      <w:r>
                        <w:rPr/>
                      </w:r>
                    </w:p>
                  </w:txbxContent>
                </v:textbox>
                <w10:wrap type="square"/>
              </v:rect>
            </w:pict>
          </mc:Fallback>
        </mc:AlternateContent>
      </w:r>
    </w:p>
    <w:sectPr>
      <w:footerReference w:type="even" r:id="rId4"/>
      <w:footerReference w:type="default" r:id="rId5"/>
      <w:footerReference w:type="first" r:id="rId6"/>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basedOn w:val="DefaultParagraphFont"/>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basedOn w:val="DefaultParagraphFont"/>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Style22">
    <w:name w:val="Содержимое врезки"/>
    <w:basedOn w:val="Normal"/>
    <w:qFormat/>
    <w:pPr/>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user6"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TotalTime>
  <Application>LibreOffice/25.8.3.2$Linux_X86_64 LibreOffice_project/580$Build-2</Application>
  <AppVersion>15.0000</AppVersion>
  <Pages>8</Pages>
  <Words>3329</Words>
  <Characters>24078</Characters>
  <CharactersWithSpaces>28103</CharactersWithSpaces>
  <Paragraphs>213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2026-08-18T09:19:41Z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