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highlight w:val="none"/>
        </w:rPr>
        <w:t xml:space="preserve">ПРОЕКТ</w:t>
      </w:r>
      <w:r>
        <w:rPr>
          <w:b/>
          <w:highlight w:val="none"/>
        </w:rPr>
      </w:r>
      <w:r>
        <w:rPr>
          <w:b/>
          <w:bCs/>
        </w:rPr>
      </w:r>
    </w:p>
    <w:p>
      <w:pPr>
        <w:jc w:val="center"/>
        <w:rPr>
          <w:b/>
          <w:bCs/>
          <w:highlight w:val="none"/>
        </w:rPr>
      </w:pPr>
      <w:r>
        <w:rPr>
          <w:b/>
        </w:rPr>
        <w:t xml:space="preserve">Государственный контракт №</w:t>
      </w:r>
      <w:r>
        <w:rPr>
          <w:b/>
          <w:bCs/>
          <w:highlight w:val="none"/>
        </w:rPr>
      </w:r>
      <w:r>
        <w:rPr>
          <w:b/>
          <w:bCs/>
          <w:highlight w:val="none"/>
        </w:rPr>
      </w:r>
    </w:p>
    <w:p>
      <w:pPr>
        <w:jc w:val="center"/>
        <w:keepLines/>
        <w:keepNext/>
      </w:pPr>
      <w:r>
        <w:t xml:space="preserve">Оказание услуг по хранению имущества обращенного в собственность государства биологического происхождения (водных биологических ресурсов и продуктов их переработки)</w:t>
      </w:r>
      <w:r/>
    </w:p>
    <w:p>
      <w:pPr>
        <w:jc w:val="center"/>
        <w:rPr>
          <w:rStyle w:val="880"/>
          <w:rFonts w:ascii="Roboto" w:hAnsi="Roboto"/>
          <w:color w:val="ff0000"/>
        </w:rPr>
      </w:pPr>
      <w:r>
        <w:t xml:space="preserve"> ИКЗ:</w:t>
      </w:r>
      <w:r>
        <w:t xml:space="preserve">261410113314941010100100170000000244</w:t>
      </w:r>
      <w:r>
        <w:rPr>
          <w:rStyle w:val="880"/>
          <w:rFonts w:ascii="Roboto" w:hAnsi="Roboto"/>
          <w:color w:val="ff0000"/>
        </w:rPr>
      </w:r>
      <w:r>
        <w:rPr>
          <w:rStyle w:val="880"/>
          <w:rFonts w:ascii="Roboto" w:hAnsi="Roboto"/>
          <w:color w:val="ff0000"/>
        </w:rPr>
      </w:r>
    </w:p>
    <w:p>
      <w:pPr>
        <w:jc w:val="center"/>
        <w:rPr>
          <w:rStyle w:val="880"/>
          <w:rFonts w:ascii="Roboto" w:hAnsi="Roboto"/>
          <w:color w:val="ff0000"/>
        </w:rPr>
      </w:pPr>
      <w:r>
        <w:rPr>
          <w:rFonts w:ascii="Roboto" w:hAnsi="Roboto"/>
          <w:color w:val="ff0000"/>
        </w:rPr>
      </w:r>
      <w:r>
        <w:rPr>
          <w:rStyle w:val="880"/>
          <w:rFonts w:ascii="Roboto" w:hAnsi="Roboto"/>
          <w:color w:val="ff0000"/>
        </w:rPr>
      </w:r>
      <w:r>
        <w:rPr>
          <w:rStyle w:val="880"/>
          <w:rFonts w:ascii="Roboto" w:hAnsi="Roboto"/>
          <w:color w:val="ff0000"/>
        </w:rPr>
      </w:r>
    </w:p>
    <w:p>
      <w:pPr>
        <w:jc w:val="center"/>
        <w:rPr>
          <w:rStyle w:val="880"/>
          <w:rFonts w:ascii="Roboto" w:hAnsi="Roboto"/>
          <w:color w:val="ff0000"/>
        </w:rPr>
      </w:pPr>
      <w:r>
        <w:t xml:space="preserve">г. Петропавловск-Камчатский                                                                    </w:t>
      </w:r>
      <w:r>
        <w:t xml:space="preserve">   «__</w:t>
      </w:r>
      <w:r>
        <w:t xml:space="preserve">» _________ 2026 года</w:t>
      </w:r>
      <w:r>
        <w:rPr>
          <w:rStyle w:val="880"/>
          <w:rFonts w:ascii="Roboto" w:hAnsi="Roboto"/>
          <w:color w:val="ff0000"/>
        </w:rPr>
      </w:r>
      <w:r>
        <w:rPr>
          <w:rStyle w:val="880"/>
          <w:rFonts w:ascii="Roboto" w:hAnsi="Roboto"/>
          <w:color w:val="ff0000"/>
        </w:rPr>
      </w:r>
    </w:p>
    <w:p>
      <w:pPr>
        <w:ind w:right="141"/>
      </w:pPr>
      <w:r/>
      <w:r/>
    </w:p>
    <w:p>
      <w:pPr>
        <w:ind w:firstLine="360"/>
        <w:jc w:val="both"/>
      </w:pPr>
      <w:r>
        <w:rPr>
          <w:b/>
        </w:rPr>
        <w:t xml:space="preserve">Территориальное управление Федерального агентства по управлению государственным имуществом в Камчатском крае (ТУ Росимущества в Камчатском крае)</w:t>
      </w:r>
      <w:r>
        <w:t xml:space="preserve">, именуемое в дальнейшем «Заказчик», в лице Врио Руководителя Управления Миранович Алены Викторовны, действующий на основании Приказа от 21.07.2026 № 494л, с одной стороны, и </w:t>
      </w:r>
      <w:r>
        <w:t xml:space="preserve">____________________________________________________________________________________</w:t>
      </w:r>
      <w:r>
        <w:t xml:space="preserve">, именуемое в дальнейшем «Исполнитель», в лице ____________________________________________________________________________________</w:t>
      </w:r>
      <w:r>
        <w:t xml:space="preserve">, действующего </w:t>
      </w:r>
      <w:r>
        <w:t xml:space="preserve">н</w:t>
      </w:r>
      <w:r>
        <w:t xml:space="preserve">а основании _____________, с другой стороны, в дальнейшем совместно именуемые - Стороны, в соответствии п. 4 ч. 1 ст. 93 Федерального закона от 05.04.2013 № 44-ФЗ "О контрактной системе в сфере закупок товаров, работ, услуг для обеспечения государственных </w:t>
      </w:r>
      <w:r>
        <w:t xml:space="preserve">и муниципальных нужд", а так же проведенной процедуры закупки на ЕАТ «Березка» итоговый протокол закупочной сессии _______________________ от «____» ___________ 202_ года заключили настоящий Государственный контракт (далее - Контракт) о нижеследующем:</w:t>
      </w:r>
      <w:r/>
    </w:p>
    <w:p>
      <w:pPr>
        <w:ind w:firstLine="360"/>
        <w:jc w:val="both"/>
      </w:pPr>
      <w:r/>
      <w:r/>
    </w:p>
    <w:p>
      <w:pPr>
        <w:ind w:firstLine="720"/>
        <w:jc w:val="both"/>
        <w:tabs>
          <w:tab w:val="left" w:pos="570" w:leader="none"/>
        </w:tabs>
      </w:pPr>
      <w:r/>
      <w:r/>
    </w:p>
    <w:p>
      <w:pPr>
        <w:pStyle w:val="881"/>
        <w:ind w:left="0" w:firstLine="360"/>
        <w:jc w:val="both"/>
        <w:spacing w:after="0"/>
        <w:tabs>
          <w:tab w:val="left" w:pos="570" w:leader="none"/>
        </w:tabs>
      </w:pPr>
      <w:r/>
      <w:r/>
    </w:p>
    <w:p>
      <w:pPr>
        <w:pStyle w:val="872"/>
        <w:numPr>
          <w:ilvl w:val="0"/>
          <w:numId w:val="1"/>
        </w:numPr>
        <w:ind w:left="0" w:firstLine="360"/>
        <w:jc w:val="center"/>
        <w:rPr>
          <w:b/>
          <w:smallCaps/>
        </w:rPr>
      </w:pPr>
      <w:r>
        <w:rPr>
          <w:b/>
          <w:smallCaps/>
        </w:rPr>
        <w:t xml:space="preserve">Предмет контракта</w:t>
      </w:r>
      <w:r>
        <w:rPr>
          <w:b/>
          <w:smallCaps/>
        </w:rPr>
      </w:r>
      <w:r>
        <w:rPr>
          <w:b/>
          <w:smallCaps/>
        </w:rPr>
      </w:r>
    </w:p>
    <w:p>
      <w:pPr>
        <w:pStyle w:val="872"/>
        <w:numPr>
          <w:ilvl w:val="1"/>
          <w:numId w:val="1"/>
        </w:numPr>
        <w:contextualSpacing w:val="0"/>
        <w:ind w:left="0" w:firstLine="360"/>
        <w:jc w:val="both"/>
      </w:pPr>
      <w:r>
        <w:t xml:space="preserve">Исполнитель обязуется выполнить услуги по хранению имущества обращенного в со</w:t>
      </w:r>
      <w:r>
        <w:t xml:space="preserve">бственность государства биологического происхождения (водных биологических ресурсов и продуктов их переработки) (далее – «Услуги») в порядке и на условиях настоящего Контракта, а Заказчик обязуется принимать и оплачивать Услуги в соответствии с Контрактом.</w:t>
      </w:r>
      <w:r/>
    </w:p>
    <w:p>
      <w:pPr>
        <w:pStyle w:val="872"/>
        <w:numPr>
          <w:ilvl w:val="1"/>
          <w:numId w:val="1"/>
        </w:numPr>
        <w:contextualSpacing w:val="0"/>
        <w:ind w:left="0" w:firstLine="360"/>
        <w:jc w:val="both"/>
      </w:pPr>
      <w:r>
        <w:t xml:space="preserve">Содержание и объем оказываемых услуг указаны в техническом задании, приложение 1 к настоящему Контракту (далее – Техническое задание). </w:t>
      </w:r>
      <w:r/>
    </w:p>
    <w:p>
      <w:pPr>
        <w:pStyle w:val="872"/>
        <w:numPr>
          <w:ilvl w:val="1"/>
          <w:numId w:val="1"/>
        </w:numPr>
        <w:contextualSpacing w:val="0"/>
        <w:ind w:left="0" w:firstLine="360"/>
        <w:jc w:val="both"/>
      </w:pPr>
      <w:r>
        <w:t xml:space="preserve">Условия оказания услуг, требования к качеству результата услуг, прочие требования, связанные с определением соответствия оказываемых услуг потребностям Заказчика, определены настоящим Контрактом и приложениями к нему.</w:t>
      </w:r>
      <w:r/>
    </w:p>
    <w:p>
      <w:pPr>
        <w:pStyle w:val="872"/>
        <w:numPr>
          <w:ilvl w:val="1"/>
          <w:numId w:val="1"/>
        </w:numPr>
        <w:contextualSpacing w:val="0"/>
        <w:ind w:left="0" w:firstLine="360"/>
        <w:jc w:val="both"/>
      </w:pPr>
      <w:r>
        <w:t xml:space="preserve">Периодичность оказания услуг: по заявкам Заказчика.</w:t>
      </w:r>
      <w:r/>
    </w:p>
    <w:p>
      <w:pPr>
        <w:pStyle w:val="872"/>
        <w:numPr>
          <w:ilvl w:val="1"/>
          <w:numId w:val="1"/>
        </w:numPr>
        <w:contextualSpacing w:val="0"/>
        <w:ind w:left="0" w:firstLine="360"/>
        <w:jc w:val="both"/>
        <w:rPr>
          <w:rFonts w:ascii="Roboto" w:hAnsi="Roboto"/>
          <w:color w:val="ff0000"/>
        </w:rPr>
      </w:pPr>
      <w:r>
        <w:t xml:space="preserve">Идентификационный код закупки: </w:t>
      </w:r>
      <w:r>
        <w:t xml:space="preserve">261410113314941010100100170000000244</w:t>
      </w:r>
      <w:r>
        <w:rPr>
          <w:rFonts w:ascii="Roboto" w:hAnsi="Roboto"/>
          <w:color w:val="ff0000"/>
        </w:rPr>
      </w:r>
      <w:r>
        <w:rPr>
          <w:rFonts w:ascii="Roboto" w:hAnsi="Roboto"/>
          <w:color w:val="ff0000"/>
        </w:rPr>
      </w:r>
    </w:p>
    <w:p>
      <w:pPr>
        <w:pStyle w:val="872"/>
        <w:contextualSpacing w:val="0"/>
        <w:ind w:left="0" w:firstLine="360"/>
        <w:jc w:val="both"/>
      </w:pPr>
      <w:r/>
      <w:r/>
    </w:p>
    <w:p>
      <w:pPr>
        <w:pStyle w:val="872"/>
        <w:numPr>
          <w:ilvl w:val="0"/>
          <w:numId w:val="1"/>
        </w:numPr>
        <w:ind w:left="0" w:firstLine="360"/>
        <w:jc w:val="center"/>
        <w:rPr>
          <w:b/>
          <w:smallCaps/>
        </w:rPr>
      </w:pPr>
      <w:r>
        <w:rPr>
          <w:b/>
          <w:smallCaps/>
        </w:rPr>
        <w:t xml:space="preserve">Цена контракта.</w:t>
      </w:r>
      <w:r>
        <w:rPr>
          <w:b/>
          <w:smallCaps/>
        </w:rPr>
      </w:r>
      <w:r>
        <w:rPr>
          <w:b/>
          <w:smallCaps/>
        </w:rPr>
      </w:r>
    </w:p>
    <w:p>
      <w:pPr>
        <w:pStyle w:val="872"/>
        <w:ind w:left="0" w:firstLine="360"/>
        <w:jc w:val="both"/>
        <w:rPr>
          <w:b/>
        </w:rPr>
      </w:pPr>
      <w:r>
        <w:t xml:space="preserve">2.1. </w:t>
      </w:r>
      <w:bookmarkStart w:id="0" w:name="OLE_LINK4"/>
      <w:r>
        <w:t xml:space="preserve">Цена Контракта является твердой, за исключением случаев, предусмотренных ч.1 ст.95 Федерального закона № 44-ФЗ, определяется на весь срок действия Контракта и составляет </w:t>
      </w:r>
      <w:r>
        <w:t xml:space="preserve">____________________________</w:t>
      </w:r>
      <w:r>
        <w:rPr>
          <w:b/>
        </w:rPr>
        <w:t xml:space="preserve"> </w:t>
      </w:r>
      <w:r>
        <w:t xml:space="preserve">НДС не облагается/с НДС.</w:t>
      </w:r>
      <w:bookmarkEnd w:id="0"/>
      <w:r>
        <w:t xml:space="preserve"> </w:t>
      </w:r>
      <w:r>
        <w:rPr>
          <w:b/>
        </w:rPr>
      </w:r>
      <w:r>
        <w:rPr>
          <w:b/>
        </w:rPr>
      </w:r>
    </w:p>
    <w:p>
      <w:pPr>
        <w:pStyle w:val="872"/>
        <w:ind w:left="0" w:firstLine="360"/>
        <w:jc w:val="both"/>
        <w:rPr>
          <w:b/>
          <w:bCs/>
        </w:rPr>
      </w:pPr>
      <w:r>
        <w:t xml:space="preserve">2.2. Цена Контракта сформирована из расчета стоимости хранения 1 тонны в сутки умноженное на усреднённый объём хранения в сутки (в тоннах) и умноженной на количество суток хранения в текущем году. Порядок расчета: Х * 83,848 * 30, где:</w:t>
      </w:r>
      <w:r>
        <w:rPr>
          <w:b/>
        </w:rPr>
      </w:r>
      <w:r>
        <w:rPr>
          <w:b/>
          <w:bCs/>
        </w:rPr>
      </w:r>
    </w:p>
    <w:p>
      <w:pPr>
        <w:pStyle w:val="872"/>
        <w:numPr>
          <w:ilvl w:val="0"/>
          <w:numId w:val="2"/>
        </w:numPr>
        <w:contextualSpacing w:val="0"/>
        <w:ind w:left="0" w:firstLine="284"/>
        <w:jc w:val="both"/>
      </w:pPr>
      <w:r>
        <w:t xml:space="preserve">Х - стоимости хранения 1 тонны в сутки, определяемая в соответствии с п.2.1 Контракта.</w:t>
      </w:r>
      <w:r/>
    </w:p>
    <w:p>
      <w:pPr>
        <w:pStyle w:val="872"/>
        <w:numPr>
          <w:ilvl w:val="0"/>
          <w:numId w:val="2"/>
        </w:numPr>
        <w:contextualSpacing w:val="0"/>
        <w:ind w:left="0" w:firstLine="284"/>
        <w:jc w:val="both"/>
      </w:pPr>
      <w:r>
        <w:t xml:space="preserve">30  – количество суток за период с 01.09.2026 по 30.09.2026.</w:t>
      </w:r>
      <w:r/>
    </w:p>
    <w:p>
      <w:pPr>
        <w:pStyle w:val="872"/>
        <w:numPr>
          <w:ilvl w:val="0"/>
          <w:numId w:val="2"/>
        </w:numPr>
        <w:contextualSpacing w:val="0"/>
        <w:ind w:left="0" w:firstLine="360"/>
        <w:jc w:val="both"/>
      </w:pPr>
      <w:r>
        <w:t xml:space="preserve">83,848 - усреднённый объём хранения в сутки (в тоннах).</w:t>
      </w:r>
      <w:r/>
    </w:p>
    <w:p>
      <w:pPr>
        <w:pStyle w:val="872"/>
        <w:contextualSpacing w:val="0"/>
        <w:ind w:left="0" w:firstLine="360"/>
        <w:jc w:val="both"/>
      </w:pPr>
      <w:r>
        <w:t xml:space="preserve">2.3. Стоимости хранения 1 тонны в сутки, рассчитывается путем деления цена контракта (п.2.1 Контракта) на 30 дней и на 83,848 тонн, определяется на весь срок действия Контракта и составляет:____ рублей ___ </w:t>
      </w:r>
      <w:r>
        <w:t xml:space="preserve">копеек,  НДС</w:t>
      </w:r>
      <w:r>
        <w:t xml:space="preserve"> не облагается</w:t>
      </w:r>
      <w:r>
        <w:t xml:space="preserve">/с НДС</w:t>
      </w:r>
      <w:r>
        <w:t xml:space="preserve">.</w:t>
      </w:r>
      <w:r/>
    </w:p>
    <w:p>
      <w:pPr>
        <w:pStyle w:val="872"/>
        <w:contextualSpacing w:val="0"/>
        <w:ind w:left="0" w:firstLine="360"/>
        <w:jc w:val="both"/>
      </w:pPr>
      <w:r>
        <w:t xml:space="preserve">2.4. В цену Контракта включены</w:t>
      </w:r>
      <w:r>
        <w:t xml:space="preserve">: вознаграждение Исполнителю; компенсации ему всех затрат, издержек и иных расходов, связанных с исполнением настоящего Контракта; расходы на уплату всех предусмотренных действующим законодательством Российской Федерации налогов и сборов и других платежей.</w:t>
      </w:r>
      <w:r/>
    </w:p>
    <w:p>
      <w:pPr>
        <w:pStyle w:val="872"/>
        <w:contextualSpacing w:val="0"/>
        <w:ind w:left="0" w:firstLine="360"/>
        <w:jc w:val="both"/>
      </w:pPr>
      <w:r>
        <w:t xml:space="preserve">2.5. Заказчик уменьшает</w:t>
      </w:r>
      <w:r>
        <w:t xml:space="preserve"> сумму, подлежащую уплате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w:t>
      </w:r>
      <w:r>
        <w:t xml:space="preserve">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p>
    <w:p>
      <w:pPr>
        <w:pStyle w:val="872"/>
        <w:contextualSpacing w:val="0"/>
        <w:ind w:left="0" w:firstLine="360"/>
        <w:jc w:val="both"/>
        <w:tabs>
          <w:tab w:val="left" w:pos="4536" w:leader="none"/>
        </w:tabs>
      </w:pPr>
      <w:r>
        <w:t xml:space="preserve">2.6. Финансирование осуществляется за счет средств федерального бюджета, Государственная программа Российской Федерации "Управление федеральным имуществом". Основное мероприятие программы: «Обеспечение выполнения государственных функций»</w:t>
      </w:r>
      <w:r/>
    </w:p>
    <w:p>
      <w:pPr>
        <w:pStyle w:val="872"/>
        <w:contextualSpacing w:val="0"/>
        <w:ind w:left="0" w:firstLine="360"/>
        <w:jc w:val="both"/>
        <w:tabs>
          <w:tab w:val="left" w:pos="4536" w:leader="none"/>
        </w:tabs>
      </w:pPr>
      <w:r>
        <w:t xml:space="preserve">2.7. Максимально</w:t>
      </w:r>
      <w:r>
        <w:t xml:space="preserve"> воз</w:t>
      </w:r>
      <w:r>
        <w:t xml:space="preserve">можный объем, занимаемый находящимся в течение срока действия Контракта на хранении имуществом, составляет 83,848 тонн/в сутки (требуется для определения суммы, подлежащей выплате Исполнителю за оказанные услуги в отношении определенного объема имущества).</w:t>
      </w:r>
      <w:r/>
    </w:p>
    <w:p>
      <w:pPr>
        <w:pStyle w:val="872"/>
        <w:contextualSpacing w:val="0"/>
        <w:ind w:left="0" w:firstLine="360"/>
        <w:jc w:val="both"/>
        <w:rPr>
          <w:b/>
          <w:smallCaps/>
        </w:rPr>
      </w:pPr>
      <w:r>
        <w:rPr>
          <w:b/>
          <w:smallCaps/>
        </w:rPr>
      </w:r>
      <w:r>
        <w:rPr>
          <w:b/>
          <w:smallCaps/>
        </w:rPr>
      </w:r>
      <w:r>
        <w:rPr>
          <w:b/>
          <w:smallCaps/>
        </w:rPr>
      </w:r>
    </w:p>
    <w:p>
      <w:pPr>
        <w:pStyle w:val="872"/>
        <w:numPr>
          <w:ilvl w:val="0"/>
          <w:numId w:val="1"/>
        </w:numPr>
        <w:ind w:left="0" w:firstLine="360"/>
        <w:jc w:val="center"/>
        <w:rPr>
          <w:b/>
          <w:smallCaps/>
        </w:rPr>
      </w:pPr>
      <w:r>
        <w:rPr>
          <w:b/>
          <w:smallCaps/>
        </w:rPr>
        <w:t xml:space="preserve">Сроки контракта. </w:t>
      </w:r>
      <w:r>
        <w:rPr>
          <w:b/>
          <w:smallCaps/>
        </w:rPr>
      </w:r>
      <w:r>
        <w:rPr>
          <w:b/>
          <w:smallCaps/>
        </w:rPr>
      </w:r>
    </w:p>
    <w:p>
      <w:pPr>
        <w:pStyle w:val="872"/>
        <w:numPr>
          <w:ilvl w:val="1"/>
          <w:numId w:val="1"/>
        </w:numPr>
        <w:contextualSpacing w:val="0"/>
        <w:ind w:left="0" w:firstLine="360"/>
        <w:jc w:val="both"/>
      </w:pPr>
      <w:r>
        <w:t xml:space="preserve">Сроки действия Контракта: с момента заключения по 10 ноября 2026 года.</w:t>
      </w:r>
      <w:r/>
    </w:p>
    <w:p>
      <w:pPr>
        <w:pStyle w:val="872"/>
        <w:numPr>
          <w:ilvl w:val="1"/>
          <w:numId w:val="1"/>
        </w:numPr>
        <w:contextualSpacing w:val="0"/>
        <w:ind w:left="0" w:firstLine="360"/>
        <w:jc w:val="both"/>
      </w:pPr>
      <w:r>
        <w:t xml:space="preserve">Сроки оказания услуг: </w:t>
      </w:r>
      <w:r/>
    </w:p>
    <w:p>
      <w:pPr>
        <w:contextualSpacing/>
        <w:ind w:firstLine="360"/>
        <w:jc w:val="both"/>
      </w:pPr>
      <w:r>
        <w:rPr>
          <w:b/>
        </w:rPr>
        <w:t xml:space="preserve">Первый этап:</w:t>
      </w:r>
      <w:r>
        <w:t xml:space="preserve"> с 01 сентября 2026 г. по 30 сентября 2026 г. (включительно) </w:t>
      </w:r>
      <w:r/>
    </w:p>
    <w:p>
      <w:pPr>
        <w:pStyle w:val="872"/>
        <w:numPr>
          <w:ilvl w:val="1"/>
          <w:numId w:val="1"/>
        </w:numPr>
        <w:contextualSpacing w:val="0"/>
        <w:ind w:left="0" w:firstLine="360"/>
        <w:jc w:val="both"/>
      </w:pPr>
      <w:r>
        <w:t xml:space="preserve">Периодичность оказания услуг: ежемесячно.</w:t>
      </w:r>
      <w:r/>
    </w:p>
    <w:p>
      <w:pPr>
        <w:pStyle w:val="872"/>
        <w:numPr>
          <w:ilvl w:val="1"/>
          <w:numId w:val="1"/>
        </w:numPr>
        <w:contextualSpacing w:val="0"/>
        <w:ind w:left="0" w:firstLine="360"/>
        <w:jc w:val="both"/>
      </w:pPr>
      <w:r>
        <w:t xml:space="preserve">Истечение срока действия Контракта не влечет прекращение предусмотренных Контрактом взаимных финансовых обязательств Сторон.</w:t>
      </w:r>
      <w:r/>
    </w:p>
    <w:p>
      <w:pPr>
        <w:ind w:right="141" w:firstLine="360"/>
        <w:jc w:val="both"/>
      </w:pPr>
      <w:r/>
      <w:r/>
    </w:p>
    <w:p>
      <w:pPr>
        <w:pStyle w:val="872"/>
        <w:numPr>
          <w:ilvl w:val="0"/>
          <w:numId w:val="1"/>
        </w:numPr>
        <w:ind w:left="0" w:firstLine="360"/>
        <w:jc w:val="center"/>
        <w:rPr>
          <w:b/>
          <w:smallCaps/>
        </w:rPr>
      </w:pPr>
      <w:r>
        <w:rPr>
          <w:b/>
          <w:smallCaps/>
        </w:rPr>
        <w:t xml:space="preserve">Место оказания услуг.</w:t>
      </w:r>
      <w:r>
        <w:rPr>
          <w:b/>
          <w:smallCaps/>
        </w:rPr>
      </w:r>
      <w:r>
        <w:rPr>
          <w:b/>
          <w:smallCaps/>
        </w:rPr>
      </w:r>
    </w:p>
    <w:p>
      <w:pPr>
        <w:pStyle w:val="872"/>
        <w:numPr>
          <w:ilvl w:val="1"/>
          <w:numId w:val="1"/>
        </w:numPr>
        <w:contextualSpacing w:val="0"/>
        <w:ind w:left="0" w:firstLine="360"/>
        <w:jc w:val="both"/>
      </w:pPr>
      <w:r>
        <w:t xml:space="preserve">По месту нахождения производственных мощностей (холодильных камер) Исполнителя, расположенных на территории г. Петропавловска-Камчатского.</w:t>
      </w:r>
      <w:r/>
    </w:p>
    <w:p>
      <w:pPr>
        <w:pStyle w:val="872"/>
        <w:contextualSpacing w:val="0"/>
        <w:ind w:left="0" w:firstLine="360"/>
        <w:jc w:val="both"/>
      </w:pPr>
      <w:r/>
      <w:r/>
    </w:p>
    <w:p>
      <w:pPr>
        <w:pStyle w:val="872"/>
        <w:numPr>
          <w:ilvl w:val="0"/>
          <w:numId w:val="1"/>
        </w:numPr>
        <w:ind w:left="0" w:firstLine="360"/>
        <w:jc w:val="center"/>
        <w:rPr>
          <w:b/>
          <w:smallCaps/>
        </w:rPr>
      </w:pPr>
      <w:r>
        <w:rPr>
          <w:b/>
          <w:smallCaps/>
        </w:rPr>
        <w:t xml:space="preserve">Требования к качеству оказываемой услуги.</w:t>
      </w:r>
      <w:r>
        <w:rPr>
          <w:b/>
          <w:smallCaps/>
        </w:rPr>
      </w:r>
      <w:r>
        <w:rPr>
          <w:b/>
          <w:smallCaps/>
        </w:rPr>
      </w:r>
    </w:p>
    <w:p>
      <w:pPr>
        <w:pStyle w:val="872"/>
        <w:numPr>
          <w:ilvl w:val="1"/>
          <w:numId w:val="1"/>
        </w:numPr>
        <w:contextualSpacing w:val="0"/>
        <w:ind w:left="0" w:firstLine="360"/>
        <w:jc w:val="both"/>
      </w:pPr>
      <w:r>
        <w:t xml:space="preserve">Оказываемая услуга должна соответствовать всем требованиям (нормам и правилам), которые предъявляются к соответствующему виду услуг.</w:t>
      </w:r>
      <w:r/>
    </w:p>
    <w:p>
      <w:pPr>
        <w:pStyle w:val="872"/>
        <w:numPr>
          <w:ilvl w:val="1"/>
          <w:numId w:val="1"/>
        </w:numPr>
        <w:contextualSpacing w:val="0"/>
        <w:ind w:left="0" w:firstLine="360"/>
        <w:jc w:val="both"/>
      </w:pPr>
      <w:r>
        <w:t xml:space="preserve">Оказываемая услуга должна соответствовать всем требованиям настоящего Контракта и приложений к нему.  </w:t>
      </w:r>
      <w:r/>
    </w:p>
    <w:p>
      <w:pPr>
        <w:pStyle w:val="872"/>
        <w:contextualSpacing w:val="0"/>
        <w:ind w:left="0" w:firstLine="360"/>
        <w:jc w:val="both"/>
      </w:pPr>
      <w:r/>
      <w:r/>
    </w:p>
    <w:p>
      <w:pPr>
        <w:pStyle w:val="872"/>
        <w:numPr>
          <w:ilvl w:val="0"/>
          <w:numId w:val="1"/>
        </w:numPr>
        <w:ind w:left="0" w:firstLine="360"/>
        <w:jc w:val="center"/>
        <w:rPr>
          <w:b/>
          <w:smallCaps/>
        </w:rPr>
      </w:pPr>
      <w:r>
        <w:rPr>
          <w:b/>
          <w:smallCaps/>
        </w:rPr>
        <w:t xml:space="preserve">Права и обязанности Сторон.</w:t>
      </w:r>
      <w:r>
        <w:rPr>
          <w:b/>
          <w:smallCaps/>
        </w:rPr>
      </w:r>
      <w:r>
        <w:rPr>
          <w:b/>
          <w:smallCaps/>
        </w:rPr>
      </w:r>
    </w:p>
    <w:p>
      <w:pPr>
        <w:pStyle w:val="872"/>
        <w:numPr>
          <w:ilvl w:val="1"/>
          <w:numId w:val="1"/>
        </w:numPr>
        <w:contextualSpacing w:val="0"/>
        <w:ind w:left="0" w:firstLine="360"/>
        <w:jc w:val="both"/>
        <w:rPr>
          <w:b/>
        </w:rPr>
      </w:pPr>
      <w:r>
        <w:rPr>
          <w:b/>
        </w:rPr>
        <w:t xml:space="preserve">Исполнитель вправе:</w:t>
      </w:r>
      <w:r>
        <w:rPr>
          <w:b/>
        </w:rPr>
      </w:r>
      <w:r>
        <w:rPr>
          <w:b/>
        </w:rPr>
      </w:r>
    </w:p>
    <w:p>
      <w:pPr>
        <w:pStyle w:val="872"/>
        <w:numPr>
          <w:ilvl w:val="2"/>
          <w:numId w:val="1"/>
        </w:numPr>
        <w:contextualSpacing w:val="0"/>
        <w:ind w:left="0" w:firstLine="360"/>
        <w:jc w:val="both"/>
        <w:tabs>
          <w:tab w:val="left" w:pos="851" w:leader="none"/>
        </w:tabs>
      </w:pPr>
      <w:r>
        <w:t xml:space="preserve">Требовать своевременной оплаты оказанных услуг в соответствии с условиями Контракта.</w:t>
      </w:r>
      <w:r/>
    </w:p>
    <w:p>
      <w:pPr>
        <w:pStyle w:val="872"/>
        <w:numPr>
          <w:ilvl w:val="2"/>
          <w:numId w:val="1"/>
        </w:numPr>
        <w:contextualSpacing w:val="0"/>
        <w:ind w:left="0" w:firstLine="360"/>
        <w:jc w:val="both"/>
        <w:tabs>
          <w:tab w:val="left" w:pos="851" w:leader="none"/>
        </w:tabs>
      </w:pPr>
      <w:r>
        <w:t xml:space="preserve">Получать от Заказчика содействие при оказании услуг в соответствии с условиями Контракта, в том числе запрашивать и получать от Заказчика необходимую для оказания услуг по настоящему Контракту информацию.</w:t>
      </w:r>
      <w:r/>
    </w:p>
    <w:p>
      <w:pPr>
        <w:pStyle w:val="872"/>
        <w:numPr>
          <w:ilvl w:val="2"/>
          <w:numId w:val="1"/>
        </w:numPr>
        <w:contextualSpacing w:val="0"/>
        <w:ind w:left="0" w:firstLine="360"/>
        <w:jc w:val="both"/>
        <w:tabs>
          <w:tab w:val="left" w:pos="851" w:leader="none"/>
        </w:tabs>
      </w:pPr>
      <w:r>
        <w:t xml:space="preserve">Пользоваться иными правами, установленными Контрактом и законодательством Российской Федерации.</w:t>
      </w:r>
      <w:r/>
    </w:p>
    <w:p>
      <w:pPr>
        <w:pStyle w:val="872"/>
        <w:numPr>
          <w:ilvl w:val="1"/>
          <w:numId w:val="1"/>
        </w:numPr>
        <w:contextualSpacing w:val="0"/>
        <w:ind w:left="0" w:firstLine="360"/>
        <w:jc w:val="both"/>
        <w:rPr>
          <w:b/>
        </w:rPr>
      </w:pPr>
      <w:r/>
      <w:bookmarkStart w:id="1" w:name="_Ref535904909"/>
      <w:r>
        <w:rPr>
          <w:b/>
        </w:rPr>
        <w:t xml:space="preserve">Исполнитель обязуется:</w:t>
      </w:r>
      <w:bookmarkEnd w:id="1"/>
      <w:r>
        <w:rPr>
          <w:b/>
        </w:rPr>
      </w:r>
      <w:r>
        <w:rPr>
          <w:b/>
        </w:rPr>
      </w:r>
    </w:p>
    <w:p>
      <w:pPr>
        <w:pStyle w:val="872"/>
        <w:numPr>
          <w:ilvl w:val="2"/>
          <w:numId w:val="1"/>
        </w:numPr>
        <w:contextualSpacing w:val="0"/>
        <w:ind w:left="0" w:firstLine="360"/>
        <w:jc w:val="both"/>
        <w:tabs>
          <w:tab w:val="left" w:pos="851" w:leader="none"/>
        </w:tabs>
      </w:pPr>
      <w:r>
        <w:t xml:space="preserve">Обеспечить оказание услуг на условиях настоящего Контракта.</w:t>
      </w:r>
      <w:r/>
    </w:p>
    <w:p>
      <w:pPr>
        <w:pStyle w:val="872"/>
        <w:numPr>
          <w:ilvl w:val="2"/>
          <w:numId w:val="1"/>
        </w:numPr>
        <w:contextualSpacing w:val="0"/>
        <w:ind w:left="0" w:firstLine="360"/>
        <w:jc w:val="both"/>
        <w:tabs>
          <w:tab w:val="left" w:pos="851" w:leader="none"/>
        </w:tabs>
      </w:pPr>
      <w:r>
        <w:t xml:space="preserve">Обеспечить соответствие результата услуг требованиям настоящего Контракта;</w:t>
      </w:r>
      <w:r/>
    </w:p>
    <w:p>
      <w:pPr>
        <w:pStyle w:val="872"/>
        <w:numPr>
          <w:ilvl w:val="2"/>
          <w:numId w:val="1"/>
        </w:numPr>
        <w:contextualSpacing w:val="0"/>
        <w:ind w:left="0" w:firstLine="360"/>
        <w:jc w:val="both"/>
        <w:tabs>
          <w:tab w:val="left" w:pos="851" w:leader="none"/>
        </w:tabs>
      </w:pPr>
      <w:r>
        <w:t xml:space="preserve">Предоставлять всю необходимую документацию для оплаты результата услуг.</w:t>
      </w:r>
      <w:r/>
    </w:p>
    <w:p>
      <w:pPr>
        <w:pStyle w:val="872"/>
        <w:numPr>
          <w:ilvl w:val="2"/>
          <w:numId w:val="1"/>
        </w:numPr>
        <w:contextualSpacing w:val="0"/>
        <w:ind w:left="0" w:firstLine="360"/>
        <w:jc w:val="both"/>
        <w:tabs>
          <w:tab w:val="left" w:pos="851" w:leader="none"/>
        </w:tabs>
      </w:pPr>
      <w:r>
        <w:t xml:space="preserve">Приостан</w:t>
      </w:r>
      <w:r>
        <w:t xml:space="preserve">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услуг или создать невозможность их завершения в установленный Контрактом срок, и сообщить об </w:t>
      </w:r>
      <w:r>
        <w:t xml:space="preserve">этом Заказчику в день приостановления оказания услуг. Исполнитель, не предупредивший Заказчика об у</w:t>
      </w:r>
      <w:r>
        <w:t xml:space="preserve">казанных в настоящем пункте обстоятельствах, либо продолживший оказание услуг несмотря на своевременное указание Заказчика о прекращении оказания услуг не вправе при предъявлении к Заказчику соответствующих требований ссылаться на указанные обстоятельства.</w:t>
      </w:r>
      <w:r/>
    </w:p>
    <w:p>
      <w:pPr>
        <w:pStyle w:val="872"/>
        <w:numPr>
          <w:ilvl w:val="2"/>
          <w:numId w:val="1"/>
        </w:numPr>
        <w:contextualSpacing w:val="0"/>
        <w:ind w:left="0" w:firstLine="360"/>
        <w:jc w:val="both"/>
        <w:tabs>
          <w:tab w:val="left" w:pos="851" w:leader="none"/>
        </w:tabs>
      </w:pPr>
      <w:r>
        <w:t xml:space="preserve">Обеспечить соблюдение тре</w:t>
      </w:r>
      <w:r>
        <w:t xml:space="preserve">бований действующего законодательства Российской Федерации, установленного к оказанию услуг, являющихся предметом контракта, в том числе о санитарно-эпидемиологическом благополучии населения, об охране окружающей природной среды, а также условий контракта.</w:t>
      </w:r>
      <w:r/>
    </w:p>
    <w:p>
      <w:pPr>
        <w:pStyle w:val="872"/>
        <w:numPr>
          <w:ilvl w:val="2"/>
          <w:numId w:val="1"/>
        </w:numPr>
        <w:contextualSpacing w:val="0"/>
        <w:ind w:left="0" w:firstLine="360"/>
        <w:jc w:val="both"/>
        <w:tabs>
          <w:tab w:val="left" w:pos="851" w:leader="none"/>
        </w:tabs>
      </w:pPr>
      <w:r>
        <w:t xml:space="preserve">Представить письменно в течение 3 рабочих дней со дня заключения государственного контракта заказчику информацию:</w:t>
      </w:r>
      <w:r/>
    </w:p>
    <w:p>
      <w:pPr>
        <w:pStyle w:val="872"/>
        <w:numPr>
          <w:ilvl w:val="0"/>
          <w:numId w:val="3"/>
        </w:numPr>
        <w:contextualSpacing w:val="0"/>
        <w:ind w:left="0" w:firstLine="567"/>
        <w:jc w:val="both"/>
        <w:tabs>
          <w:tab w:val="left" w:pos="851" w:leader="none"/>
        </w:tabs>
      </w:pPr>
      <w:r>
        <w:t xml:space="preserve">о складских помещениях, об открытых стоянках, о площадях и об иных местах хранения, в которых исполнитель планир</w:t>
      </w:r>
      <w:r>
        <w:t xml:space="preserve">ует размещать имущество на хранение, с приложением заверенных копий правоустанавливающих документов на них. В случае планируемой смены мест хранения имущества письменно информировать об этом заказчика не менее чем за 3 рабочих дня до перемещения имущества;</w:t>
      </w:r>
      <w:r/>
    </w:p>
    <w:p>
      <w:pPr>
        <w:pStyle w:val="872"/>
        <w:numPr>
          <w:ilvl w:val="0"/>
          <w:numId w:val="3"/>
        </w:numPr>
        <w:contextualSpacing w:val="0"/>
        <w:ind w:left="0" w:firstLine="567"/>
        <w:jc w:val="both"/>
        <w:tabs>
          <w:tab w:val="left" w:pos="851" w:leader="none"/>
        </w:tabs>
      </w:pPr>
      <w:r>
        <w:t xml:space="preserve">о лицах, уполномоченных на прием имущества на хранение с приложением заверенных копий документов, подтверждающих их полномочия;</w:t>
      </w:r>
      <w:r/>
    </w:p>
    <w:p>
      <w:pPr>
        <w:pStyle w:val="872"/>
        <w:contextualSpacing w:val="0"/>
        <w:ind w:left="0" w:firstLine="425"/>
        <w:jc w:val="both"/>
        <w:tabs>
          <w:tab w:val="left" w:pos="851" w:leader="none"/>
        </w:tabs>
      </w:pPr>
      <w:r>
        <w:t xml:space="preserve">6.2.8. Осуществлять прием и пер</w:t>
      </w:r>
      <w:r>
        <w:t xml:space="preserve">едача (выдача) имущества на основании письменного поручения Заказчика по акту приема-передачи в течение 5 (пяти) календарных дней с момента получения Исполнителем письменного поручения. Информировать заказчика о планируемой или согласованной с уполномоченн</w:t>
      </w:r>
      <w:r>
        <w:t xml:space="preserve">ым органом и (или) судебным приставом-исполнителем дате принятия имущества на хранение в случае приема имущества от уполномоченных органов и (или) судебных приставов-исполнителей в течение 5 рабочих дней после дня получения поручения на принятие имущества.</w:t>
      </w:r>
      <w:r/>
    </w:p>
    <w:p>
      <w:pPr>
        <w:ind w:firstLine="425"/>
        <w:jc w:val="both"/>
      </w:pPr>
      <w:r>
        <w:t xml:space="preserve">6.2.9. Принять имущество на хранение по акту п</w:t>
      </w:r>
      <w:r>
        <w:t xml:space="preserve">риема-передачи от уполномоченных органов и (или) судебных приставов-исполнителей в течение не более 20 рабочих дней со дня получения от Заказчика поручения на принятие имущества, если иной более короткий срок не установлен поручением на принятие имущества.</w:t>
      </w:r>
      <w:r/>
    </w:p>
    <w:p>
      <w:pPr>
        <w:ind w:firstLine="425"/>
        <w:jc w:val="both"/>
      </w:pPr>
      <w:r>
        <w:t xml:space="preserve">6.2.10.  Не принимать имущество на хранение от уполномоченных органов и (или) судебных приставов-исполнителей в случае его несоответствия наименованию, указанному в поручении на принятие имущества.</w:t>
      </w:r>
      <w:r/>
    </w:p>
    <w:p>
      <w:pPr>
        <w:ind w:firstLine="425"/>
        <w:jc w:val="both"/>
      </w:pPr>
      <w:r>
        <w:t xml:space="preserve">6.2.11 Руководствоваться при приеме имущества от уполномоченных органов и (или) судебных приставов-исполнителей порядком и условиями взаимодействия при передаче имущества, которые предусмотрены </w:t>
      </w:r>
      <w:hyperlink r:id="rId9" w:tooltip="https://login.consultant.ru/link/?req=doc&amp;base=LAW&amp;n=456737&amp;dst=100007&amp;field=134&amp;date=15.10.2024" w:history="1">
        <w:r>
          <w:t xml:space="preserve">абзацем вторым пункта 2</w:t>
        </w:r>
      </w:hyperlink>
      <w:r>
        <w:t xml:space="preserve"> постановления Правительства Российской Федерации от 23 сентября 2019 г. N 1238 "О распоряжении имуществом, обращенным в собственность государства".</w:t>
      </w:r>
      <w:r/>
    </w:p>
    <w:p>
      <w:pPr>
        <w:ind w:firstLine="425"/>
        <w:jc w:val="both"/>
      </w:pPr>
      <w:r>
        <w:t xml:space="preserve">6.2.12. Информировать письменно заказчика об обстоятельствах, пр</w:t>
      </w:r>
      <w:r>
        <w:t xml:space="preserve">епятствующих приему имущества на хранение в установленные сроки, не позднее одного рабочего дня со дня выявления таких обстоятельств с приложением документа (акт, протокол или иной документ), фиксирующего причины непринятия имущества в установленные сроки.</w:t>
      </w:r>
      <w:bookmarkStart w:id="2" w:name="_GoBack"/>
      <w:r/>
      <w:bookmarkEnd w:id="2"/>
      <w:r/>
      <w:r/>
    </w:p>
    <w:p>
      <w:pPr>
        <w:ind w:firstLine="425"/>
        <w:jc w:val="both"/>
      </w:pPr>
      <w:r>
        <w:t xml:space="preserve">6.2.13. Обеспечить указание в акте приема-передачи имущества наименование, количество и описание имущества, включающего его индивидуальные признаки и параметры, а также видимые дефекты (недостатки качества) имущества (при наличии)</w:t>
      </w:r>
      <w:r/>
    </w:p>
    <w:p>
      <w:pPr>
        <w:ind w:firstLine="425"/>
        <w:jc w:val="both"/>
        <w:rPr>
          <w:color w:val="ff0000"/>
        </w:rPr>
      </w:pPr>
      <w:r>
        <w:rPr>
          <w:color w:val="ff0000"/>
        </w:rPr>
        <w:t xml:space="preserve">6.2.14. Произвести при получении имущества его пересчет (перевес) в соответствии с указанными в акте приема - передачи единицами измерения, а также определить его объем (в </w:t>
      </w:r>
      <w:r>
        <w:rPr>
          <w:color w:val="ff0000"/>
        </w:rPr>
        <w:t xml:space="preserve">ТОННАХ </w:t>
      </w:r>
      <w:r>
        <w:rPr>
          <w:color w:val="ff0000"/>
        </w:rPr>
        <w:t xml:space="preserve">кубических метрах с точностью не менее одной десятой) с уче</w:t>
      </w:r>
      <w:r>
        <w:rPr>
          <w:color w:val="ff0000"/>
        </w:rPr>
        <w:t xml:space="preserve">том упаковки. В случаях если имущество поступает в закрытой таре и (или) упаковке, осуществлять их вскрытие при приеме имущества на хранение. В акте приема-передачи помимо указанных единиц измерения отражать объем принятого имущества (в кубических метрах);</w:t>
      </w:r>
      <w:r>
        <w:rPr>
          <w:color w:val="ff0000"/>
        </w:rPr>
      </w:r>
      <w:r>
        <w:rPr>
          <w:color w:val="ff0000"/>
        </w:rPr>
      </w:r>
    </w:p>
    <w:p>
      <w:pPr>
        <w:pStyle w:val="872"/>
        <w:contextualSpacing w:val="0"/>
        <w:ind w:left="0" w:firstLine="360"/>
        <w:jc w:val="both"/>
        <w:tabs>
          <w:tab w:val="left" w:pos="851" w:leader="none"/>
        </w:tabs>
      </w:pPr>
      <w:r>
        <w:t xml:space="preserve">6.2.15 Осуществлять фотосъемку поступающего на хране</w:t>
      </w:r>
      <w:r>
        <w:t xml:space="preserve">ние имущества в момент его приема, в том числе его упаковку, индивидуальные признаки и параметры, а также видимые дефекты (недостатки качества) (при наличии). Фотоматериалы должны позволить отличить такое имущество от иных, в том числе подобных, предметов;</w:t>
      </w:r>
      <w:r/>
    </w:p>
    <w:p>
      <w:pPr>
        <w:pStyle w:val="872"/>
        <w:contextualSpacing w:val="0"/>
        <w:ind w:left="0" w:firstLine="360"/>
        <w:jc w:val="both"/>
        <w:tabs>
          <w:tab w:val="left" w:pos="851" w:leader="none"/>
        </w:tabs>
      </w:pPr>
      <w:r>
        <w:t xml:space="preserve">6.2.16. Размещать имущество на хранение, исходя из его потребительских сво</w:t>
      </w:r>
      <w:r>
        <w:t xml:space="preserve">йств и признаков в соответствии с требованиями, установленными техническими регламентами и (или) государственными стандартами. Исключать хранение имущества в условиях, способных привести к его утрате, ухудшению потребительских свойств и иных характеристик;</w:t>
      </w:r>
      <w:r/>
    </w:p>
    <w:p>
      <w:pPr>
        <w:pStyle w:val="872"/>
        <w:contextualSpacing w:val="0"/>
        <w:ind w:left="0" w:firstLine="360"/>
        <w:jc w:val="both"/>
        <w:tabs>
          <w:tab w:val="left" w:pos="851" w:leader="none"/>
        </w:tabs>
      </w:pPr>
      <w:r>
        <w:t xml:space="preserve">6.2.17. Обеспечить транспортировку имущества, в том числе, к месту его уничтожения (утилизации, переработки). </w:t>
      </w:r>
      <w:r/>
    </w:p>
    <w:p>
      <w:pPr>
        <w:pStyle w:val="872"/>
        <w:contextualSpacing w:val="0"/>
        <w:ind w:left="0" w:firstLine="360"/>
        <w:jc w:val="both"/>
        <w:tabs>
          <w:tab w:val="left" w:pos="851" w:leader="none"/>
        </w:tabs>
      </w:pPr>
      <w:r>
        <w:t xml:space="preserve">6.2.18. Организовать возможность круглосуточного приема имущества.</w:t>
      </w:r>
      <w:r/>
    </w:p>
    <w:p>
      <w:pPr>
        <w:pStyle w:val="872"/>
        <w:contextualSpacing w:val="0"/>
        <w:ind w:left="0" w:firstLine="360"/>
        <w:jc w:val="both"/>
        <w:tabs>
          <w:tab w:val="left" w:pos="851" w:leader="none"/>
        </w:tabs>
      </w:pPr>
      <w:r>
        <w:t xml:space="preserve">6.2.19  Выполнять</w:t>
      </w:r>
      <w:r>
        <w:t xml:space="preserve"> погрузо-разгрузочные работы при приеме имущества, а также его размещении на хранение и выдаче. </w:t>
      </w:r>
      <w:r/>
    </w:p>
    <w:p>
      <w:pPr>
        <w:pStyle w:val="872"/>
        <w:contextualSpacing w:val="0"/>
        <w:ind w:left="0" w:firstLine="360"/>
        <w:jc w:val="both"/>
        <w:tabs>
          <w:tab w:val="left" w:pos="851" w:leader="none"/>
        </w:tabs>
        <w:rPr>
          <w:color w:val="ff0000"/>
        </w:rPr>
      </w:pPr>
      <w:r>
        <w:rPr>
          <w:color w:val="ff0000"/>
        </w:rPr>
        <w:t xml:space="preserve">6.2.20. Обеспечить круглосуточную охрану складских помещений (холодильных камер).</w:t>
      </w:r>
      <w:r>
        <w:rPr>
          <w:color w:val="ff0000"/>
        </w:rPr>
      </w:r>
      <w:r>
        <w:rPr>
          <w:color w:val="ff0000"/>
        </w:rPr>
      </w:r>
    </w:p>
    <w:p>
      <w:pPr>
        <w:pStyle w:val="872"/>
        <w:contextualSpacing w:val="0"/>
        <w:ind w:left="0" w:firstLine="360"/>
        <w:jc w:val="both"/>
        <w:tabs>
          <w:tab w:val="left" w:pos="851" w:leader="none"/>
        </w:tabs>
      </w:pPr>
      <w:r>
        <w:t xml:space="preserve">6.2.21. Обеспечение сохранности принятого имущества (с момента приема до момента передачи уполномоченному лицу Заказчика).</w:t>
      </w:r>
      <w:r/>
    </w:p>
    <w:p>
      <w:pPr>
        <w:pStyle w:val="872"/>
        <w:contextualSpacing w:val="0"/>
        <w:ind w:left="0" w:firstLine="360"/>
        <w:jc w:val="both"/>
        <w:tabs>
          <w:tab w:val="left" w:pos="851" w:leader="none"/>
        </w:tabs>
      </w:pPr>
      <w:r>
        <w:t xml:space="preserve">6.2.22. Обеспечить возможность подъезда для грузового транспорта и погрузочных механизмов.</w:t>
      </w:r>
      <w:r/>
    </w:p>
    <w:p>
      <w:pPr>
        <w:pStyle w:val="872"/>
        <w:contextualSpacing w:val="0"/>
        <w:ind w:left="0" w:firstLine="360"/>
        <w:jc w:val="both"/>
        <w:tabs>
          <w:tab w:val="left" w:pos="851" w:leader="none"/>
        </w:tabs>
      </w:pPr>
      <w:r>
        <w:t xml:space="preserve">6.2.23. Обеспечи</w:t>
      </w:r>
      <w:r>
        <w:t xml:space="preserve">ть доступ представителей Заказчика, а также по его письменному указанию иным лицам, имеющим законные основания для проведения осмотра имущества, взятию проб и образцов, в соответствии с утвержденными методиками для проведения экспертизы и оценки имущества.</w:t>
      </w:r>
      <w:r/>
    </w:p>
    <w:p>
      <w:pPr>
        <w:pStyle w:val="872"/>
        <w:contextualSpacing w:val="0"/>
        <w:ind w:left="0" w:firstLine="360"/>
        <w:jc w:val="both"/>
        <w:tabs>
          <w:tab w:val="left" w:pos="851" w:leader="none"/>
        </w:tabs>
      </w:pPr>
      <w:r>
        <w:t xml:space="preserve">6.2.24. Осуществлять передачу (выдачу) переданного на хранение имущества представителям Заказчика только по его письменному указанию в тече</w:t>
      </w:r>
      <w:r>
        <w:t xml:space="preserve">ние 5 рабочих дней после дня получения письменного поручения заказчика о передаче имущества лицу, указанному в таком поручении, либо его представителю, в том числе по истечении срока действия государственного контракта, передачу имущества указанным лицам; </w:t>
      </w:r>
      <w:r/>
    </w:p>
    <w:p>
      <w:pPr>
        <w:pStyle w:val="872"/>
        <w:contextualSpacing w:val="0"/>
        <w:ind w:left="0" w:firstLine="360"/>
        <w:jc w:val="both"/>
        <w:tabs>
          <w:tab w:val="left" w:pos="851" w:leader="none"/>
        </w:tabs>
      </w:pPr>
      <w:r>
        <w:t xml:space="preserve">6.2.25. Предоставлять всю необходимую документацию по требованию Заказчика.</w:t>
      </w:r>
      <w:r/>
    </w:p>
    <w:p>
      <w:pPr>
        <w:pStyle w:val="872"/>
        <w:contextualSpacing w:val="0"/>
        <w:ind w:left="0" w:firstLine="360"/>
        <w:jc w:val="both"/>
        <w:tabs>
          <w:tab w:val="left" w:pos="851" w:leader="none"/>
        </w:tabs>
        <w:rPr>
          <w:color w:val="ff0000"/>
        </w:rPr>
      </w:pPr>
      <w:r>
        <w:rPr>
          <w:color w:val="ff0000"/>
        </w:rPr>
        <w:t xml:space="preserve">6.2.26. Представлять информацию об имуществе в течение 3 рабочих дней по запросу заказчика.</w:t>
      </w:r>
      <w:r>
        <w:rPr>
          <w:color w:val="ff0000"/>
        </w:rPr>
      </w:r>
      <w:r>
        <w:rPr>
          <w:color w:val="ff0000"/>
        </w:rPr>
      </w:r>
    </w:p>
    <w:p>
      <w:pPr>
        <w:pStyle w:val="872"/>
        <w:contextualSpacing w:val="0"/>
        <w:ind w:left="0" w:firstLine="360"/>
        <w:jc w:val="both"/>
        <w:tabs>
          <w:tab w:val="left" w:pos="851" w:leader="none"/>
        </w:tabs>
      </w:pPr>
      <w:r>
        <w:t xml:space="preserve">6.2.27. Оформлять и предоставлять Заказчику документы о приеме - передаче имущества (акты приема - передачи и т.п.), и иные необходимые документы в сроки, установленные контрактом.</w:t>
      </w:r>
      <w:r/>
    </w:p>
    <w:p>
      <w:pPr>
        <w:pStyle w:val="872"/>
        <w:contextualSpacing w:val="0"/>
        <w:ind w:left="0" w:firstLine="360"/>
        <w:jc w:val="both"/>
        <w:tabs>
          <w:tab w:val="left" w:pos="851" w:leader="none"/>
        </w:tabs>
      </w:pPr>
      <w:r>
        <w:t xml:space="preserve">6.2.28. Передача имущества от имени и по письменному поручению Заказчика осуществляется в сроки, указанные в поручении Заказчика.</w:t>
      </w:r>
      <w:r/>
    </w:p>
    <w:p>
      <w:pPr>
        <w:pStyle w:val="872"/>
        <w:contextualSpacing w:val="0"/>
        <w:ind w:left="0" w:firstLine="360"/>
        <w:jc w:val="both"/>
        <w:tabs>
          <w:tab w:val="left" w:pos="851" w:leader="none"/>
        </w:tabs>
        <w:rPr>
          <w:color w:val="c00000"/>
        </w:rPr>
      </w:pPr>
      <w:r>
        <w:rPr>
          <w:color w:val="c00000"/>
        </w:rPr>
        <w:t xml:space="preserve">6.2.26. Обеспечить ведение складского и бухгалтерского учета в порядке, установленном законодательством Российской Федерации.</w:t>
      </w:r>
      <w:r>
        <w:rPr>
          <w:color w:val="c00000"/>
        </w:rPr>
      </w:r>
      <w:r>
        <w:rPr>
          <w:color w:val="c00000"/>
        </w:rPr>
      </w:r>
    </w:p>
    <w:p>
      <w:pPr>
        <w:pStyle w:val="872"/>
        <w:contextualSpacing w:val="0"/>
        <w:ind w:left="0" w:firstLine="425"/>
        <w:jc w:val="both"/>
        <w:tabs>
          <w:tab w:val="left" w:pos="851" w:leader="none"/>
        </w:tabs>
      </w:pPr>
      <w:r>
        <w:t xml:space="preserve">6.2.30. Не удерживать имущество в счет причитающихся за хранение денежных средств, а также каким-либо иным способом не противодействовать получению заказчиком имущества.</w:t>
      </w:r>
      <w:r/>
    </w:p>
    <w:p>
      <w:pPr>
        <w:pStyle w:val="872"/>
        <w:contextualSpacing w:val="0"/>
        <w:ind w:left="0" w:firstLine="360"/>
        <w:jc w:val="both"/>
        <w:tabs>
          <w:tab w:val="left" w:pos="851" w:leader="none"/>
        </w:tabs>
      </w:pPr>
      <w:r>
        <w:t xml:space="preserve">6.2.31. Соблюдать конфиденциальность, т.</w:t>
      </w:r>
      <w:r>
        <w:t xml:space="preserve">е. не разглашать сведения, ставшие известными в Прием имущества биологического происхождения, водных биологических ресурсов и продуктов их переработки (далее – имущество) по месту нахождения имущества, вида и количества, определенных в поручении Заказчика.</w:t>
      </w:r>
      <w:r/>
    </w:p>
    <w:p>
      <w:pPr>
        <w:pStyle w:val="872"/>
        <w:contextualSpacing w:val="0"/>
        <w:ind w:left="0" w:firstLine="360"/>
        <w:jc w:val="both"/>
        <w:tabs>
          <w:tab w:val="left" w:pos="851" w:leader="none"/>
        </w:tabs>
      </w:pPr>
      <w:r>
        <w:t xml:space="preserve">6.2.32. Обеспечить раздельное хранение имущества в соответствии с нормами, ус</w:t>
      </w:r>
      <w:r>
        <w:t xml:space="preserve">тановленными для хранения подобного рода имущества, а также в соответствии с техническим заданием (Приложение № 1 к настоящему контракту), учитывая его потребительские свойства, а также исключая возможность ухудшения свойств и иных характеристик имущества.</w:t>
      </w:r>
      <w:r/>
    </w:p>
    <w:p>
      <w:pPr>
        <w:pStyle w:val="872"/>
        <w:contextualSpacing w:val="0"/>
        <w:ind w:left="0" w:firstLine="360"/>
        <w:jc w:val="both"/>
        <w:tabs>
          <w:tab w:val="left" w:pos="851" w:leader="none"/>
        </w:tabs>
      </w:pPr>
      <w:r>
        <w:t xml:space="preserve">6.2.33. Не пользоваться переданным на хранение имуществом, а равно предоставлять возможность пользования таким имуществом третьим лицам. </w:t>
      </w:r>
      <w:r/>
    </w:p>
    <w:p>
      <w:pPr>
        <w:pStyle w:val="872"/>
        <w:contextualSpacing w:val="0"/>
        <w:ind w:left="0" w:firstLine="360"/>
        <w:jc w:val="both"/>
        <w:tabs>
          <w:tab w:val="left" w:pos="851" w:leader="none"/>
        </w:tabs>
      </w:pPr>
      <w:r>
        <w:t xml:space="preserve">6.2.34. Не удерживать имущество в счет причитающихся за хранение денежных средств, а также каким-либо иным способом противодействовать действиям и требованиям Заказчика по получению имущества.</w:t>
      </w:r>
      <w:r/>
    </w:p>
    <w:p>
      <w:pPr>
        <w:pStyle w:val="872"/>
        <w:contextualSpacing w:val="0"/>
        <w:ind w:left="0" w:firstLine="360"/>
        <w:jc w:val="both"/>
        <w:tabs>
          <w:tab w:val="left" w:pos="851" w:leader="none"/>
        </w:tabs>
      </w:pPr>
      <w:r>
        <w:t xml:space="preserve">6.2.35. Устранить выявленные в ходе исполнения настоящего контракта недостатки своими силами и за счет собственных средств в возможно кратчайшие сроки.</w:t>
      </w:r>
      <w:r/>
    </w:p>
    <w:p>
      <w:pPr>
        <w:pStyle w:val="872"/>
        <w:contextualSpacing w:val="0"/>
        <w:ind w:left="0" w:firstLine="360"/>
        <w:jc w:val="both"/>
        <w:tabs>
          <w:tab w:val="left" w:pos="851" w:leader="none"/>
        </w:tabs>
      </w:pPr>
      <w:r>
        <w:t xml:space="preserve">6.2.36. Соблюдать прочие условия, предусмотренные Контрактом. </w:t>
      </w:r>
      <w:r/>
    </w:p>
    <w:p>
      <w:pPr>
        <w:pStyle w:val="872"/>
        <w:numPr>
          <w:ilvl w:val="1"/>
          <w:numId w:val="1"/>
        </w:numPr>
        <w:contextualSpacing w:val="0"/>
        <w:ind w:left="0" w:firstLine="360"/>
        <w:jc w:val="both"/>
        <w:rPr>
          <w:b/>
        </w:rPr>
      </w:pPr>
      <w:r>
        <w:rPr>
          <w:b/>
        </w:rPr>
        <w:t xml:space="preserve">Заказчик вправе:</w:t>
      </w:r>
      <w:r>
        <w:rPr>
          <w:b/>
        </w:rPr>
      </w:r>
      <w:r>
        <w:rPr>
          <w:b/>
        </w:rPr>
      </w:r>
    </w:p>
    <w:p>
      <w:pPr>
        <w:pStyle w:val="872"/>
        <w:numPr>
          <w:ilvl w:val="2"/>
          <w:numId w:val="1"/>
        </w:numPr>
        <w:contextualSpacing w:val="0"/>
        <w:ind w:left="0" w:firstLine="360"/>
        <w:jc w:val="both"/>
        <w:tabs>
          <w:tab w:val="left" w:pos="851" w:leader="none"/>
        </w:tabs>
      </w:pPr>
      <w:r>
        <w:t xml:space="preserve">Требовать </w:t>
      </w:r>
      <w:r>
        <w:t xml:space="preserve">от Исполнителя</w:t>
      </w:r>
      <w:r>
        <w:t xml:space="preserve"> надлежащего исполнения обязательств в соответствии с Контрактом, а также требовать своевременного устранения выявленных недостатков.</w:t>
      </w:r>
      <w:r/>
    </w:p>
    <w:p>
      <w:pPr>
        <w:pStyle w:val="872"/>
        <w:numPr>
          <w:ilvl w:val="2"/>
          <w:numId w:val="1"/>
        </w:numPr>
        <w:contextualSpacing w:val="0"/>
        <w:ind w:left="0" w:firstLine="360"/>
        <w:jc w:val="both"/>
        <w:tabs>
          <w:tab w:val="left" w:pos="851" w:leader="none"/>
        </w:tabs>
      </w:pPr>
      <w:r>
        <w:t xml:space="preserve">Требовать от Исполнителя представления надлежащим образом оформленных документов, подтверждающих исполнение обязательств в соответствии с Контрактом.</w:t>
      </w:r>
      <w:r/>
    </w:p>
    <w:p>
      <w:pPr>
        <w:pStyle w:val="872"/>
        <w:numPr>
          <w:ilvl w:val="2"/>
          <w:numId w:val="1"/>
        </w:numPr>
        <w:contextualSpacing w:val="0"/>
        <w:ind w:left="0" w:firstLine="360"/>
        <w:jc w:val="both"/>
        <w:tabs>
          <w:tab w:val="left" w:pos="851" w:leader="none"/>
        </w:tabs>
      </w:pPr>
      <w:r>
        <w:t xml:space="preserve">Запрашивать у Исполнителя информацию о ходе оказания услуг.</w:t>
      </w:r>
      <w:r/>
    </w:p>
    <w:p>
      <w:pPr>
        <w:pStyle w:val="872"/>
        <w:numPr>
          <w:ilvl w:val="2"/>
          <w:numId w:val="1"/>
        </w:numPr>
        <w:contextualSpacing w:val="0"/>
        <w:ind w:left="0" w:firstLine="360"/>
        <w:jc w:val="both"/>
        <w:tabs>
          <w:tab w:val="left" w:pos="851" w:leader="none"/>
        </w:tabs>
      </w:pPr>
      <w:r>
        <w:t xml:space="preserve">Осуществлять проверки хода и качества оказания услуг по хранению имущества, обращенного в собственность государства, распоряжение которым осуществляется в соответствии с </w:t>
      </w:r>
      <w:hyperlink r:id="rId10" w:tooltip="https://login.consultant.ru/link/?req=doc&amp;base=LAW&amp;n=456737&amp;dst=100014&amp;field=134&amp;date=16.10.2024" w:history="1">
        <w:r>
          <w:rPr>
            <w:color w:val="0000ff"/>
            <w:u w:val="single"/>
          </w:rPr>
          <w:t xml:space="preserve">Положением</w:t>
        </w:r>
      </w:hyperlink>
      <w:r>
        <w:t xml:space="preserve"> о распоряжении имуществом, обращенным в собственность государства, утвержденным </w:t>
      </w:r>
      <w:r>
        <w:t xml:space="preserve">постановлением Правительства Российской Федерации от 23 сентября 2019 г. N 1238 "О распоряжении имуществом, обращенным в собственность государства" (далее - имущество), по месту хранения имущества без вмешательства в хозяйственную деятельность исполнителя;</w:t>
      </w:r>
      <w:r/>
    </w:p>
    <w:p>
      <w:pPr>
        <w:pStyle w:val="872"/>
        <w:numPr>
          <w:ilvl w:val="2"/>
          <w:numId w:val="1"/>
        </w:numPr>
        <w:contextualSpacing w:val="0"/>
        <w:ind w:left="0" w:firstLine="360"/>
        <w:jc w:val="both"/>
        <w:tabs>
          <w:tab w:val="left" w:pos="851" w:leader="none"/>
        </w:tabs>
        <w:rPr>
          <w:shd w:val="clear" w:color="auto" w:fill="ffd821"/>
        </w:rPr>
      </w:pPr>
      <w:r>
        <w:t xml:space="preserve">Отказаться от приемки и оплаты услуг в случаях, предусмотренных Контрактом и законодательством Российской Федерации, в том числе в случае обнаружения неустранимых недостатков.</w:t>
      </w:r>
      <w:r>
        <w:rPr>
          <w:shd w:val="clear" w:color="auto" w:fill="ffd821"/>
        </w:rPr>
      </w:r>
      <w:r>
        <w:rPr>
          <w:shd w:val="clear" w:color="auto" w:fill="ffd821"/>
        </w:rPr>
      </w:r>
    </w:p>
    <w:p>
      <w:pPr>
        <w:pStyle w:val="872"/>
        <w:numPr>
          <w:ilvl w:val="2"/>
          <w:numId w:val="1"/>
        </w:numPr>
        <w:contextualSpacing w:val="0"/>
        <w:ind w:left="0" w:firstLine="360"/>
        <w:jc w:val="both"/>
        <w:tabs>
          <w:tab w:val="left" w:pos="851" w:leader="none"/>
        </w:tabs>
      </w:pPr>
      <w:r>
        <w:t xml:space="preserve">Получать от Исполнителя консультации по вопросам пользования результатами услуг.</w:t>
      </w:r>
      <w:r/>
    </w:p>
    <w:p>
      <w:pPr>
        <w:pStyle w:val="872"/>
        <w:numPr>
          <w:ilvl w:val="2"/>
          <w:numId w:val="1"/>
        </w:numPr>
        <w:contextualSpacing w:val="0"/>
        <w:ind w:left="0" w:firstLine="360"/>
        <w:jc w:val="both"/>
        <w:tabs>
          <w:tab w:val="left" w:pos="851" w:leader="none"/>
        </w:tabs>
      </w:pPr>
      <w:r>
        <w:t xml:space="preserve">Пользоваться иными правами, установленными Контрактом и законодательством Российской Федерации.</w:t>
      </w:r>
      <w:r/>
    </w:p>
    <w:p>
      <w:pPr>
        <w:pStyle w:val="872"/>
        <w:numPr>
          <w:ilvl w:val="1"/>
          <w:numId w:val="1"/>
        </w:numPr>
        <w:contextualSpacing w:val="0"/>
        <w:ind w:left="0" w:firstLine="360"/>
        <w:jc w:val="both"/>
        <w:rPr>
          <w:b/>
        </w:rPr>
      </w:pPr>
      <w:r>
        <w:rPr>
          <w:b/>
        </w:rPr>
        <w:t xml:space="preserve">Заказчик обязуется:</w:t>
      </w:r>
      <w:r>
        <w:rPr>
          <w:b/>
        </w:rPr>
      </w:r>
      <w:r>
        <w:rPr>
          <w:b/>
        </w:rPr>
      </w:r>
    </w:p>
    <w:p>
      <w:pPr>
        <w:pStyle w:val="872"/>
        <w:contextualSpacing w:val="0"/>
        <w:ind w:left="0" w:firstLine="360"/>
        <w:jc w:val="both"/>
        <w:rPr>
          <w:b/>
        </w:rPr>
      </w:pPr>
      <w:r>
        <w:t xml:space="preserve">6.4.1. Направлять исполнителю письменные поручения об оказании услуг по хранению имущества (далее - поручение на принятие имущества) в срок не более 10 рабочих </w:t>
      </w:r>
      <w:r>
        <w:t xml:space="preserve">дней со дня получения уведомлений о готовности к передаче имущества, направленных государственными органами (их территориальными органами), владеющими имуществом (далее - уполномоченный орган), а также судебными приставами - исполнителями в соответствии с </w:t>
      </w:r>
      <w:hyperlink r:id="rId11" w:tooltip="https://login.consultant.ru/link/?req=doc&amp;base=LAW&amp;n=456737&amp;dst=100025&amp;field=134&amp;date=16.10.2024" w:history="1">
        <w:r>
          <w:rPr>
            <w:color w:val="0000ff"/>
            <w:u w:val="single"/>
          </w:rPr>
          <w:t xml:space="preserve">пунктом 5</w:t>
        </w:r>
      </w:hyperlink>
      <w:r>
        <w:t xml:space="preserve"> Положения о распоряжении имуществом, обращенным в собственность государства, утвержденного постановлением Правительства Российской Федерации от 23 сентября 2019 г. N 1238 "О распоряжении имуществом, обращенным в собственность государства"</w:t>
      </w:r>
      <w:r>
        <w:rPr>
          <w:b/>
        </w:rPr>
      </w:r>
      <w:r>
        <w:rPr>
          <w:b/>
        </w:rPr>
      </w:r>
    </w:p>
    <w:p>
      <w:pPr>
        <w:pStyle w:val="872"/>
        <w:contextualSpacing w:val="0"/>
        <w:ind w:left="0" w:firstLine="425"/>
        <w:jc w:val="both"/>
      </w:pPr>
      <w:r>
        <w:t xml:space="preserve">6.4.2. Выдать в целях приема имущества от </w:t>
      </w:r>
      <w:r>
        <w:t xml:space="preserve">уполномоченных органов и (или) судебных приставов - исполнителей, а также от иных лиц исполнителю доверенность, предусматривающую совершение от имени заказчика действий по приему имущества, а также иных действий, предусмотренных государственным контрактом.</w:t>
      </w:r>
      <w:r/>
    </w:p>
    <w:p>
      <w:pPr>
        <w:pStyle w:val="872"/>
        <w:contextualSpacing w:val="0"/>
        <w:ind w:left="0" w:firstLine="360"/>
        <w:jc w:val="both"/>
        <w:rPr>
          <w:b/>
        </w:rPr>
      </w:pPr>
      <w:r>
        <w:t xml:space="preserve">6.4.3. Обеспечить исполнение своих обязательств на условиях настоящего Контракта.</w:t>
      </w:r>
      <w:r>
        <w:rPr>
          <w:b/>
        </w:rPr>
      </w:r>
      <w:r>
        <w:rPr>
          <w:b/>
        </w:rPr>
      </w:r>
    </w:p>
    <w:p>
      <w:pPr>
        <w:pStyle w:val="872"/>
        <w:contextualSpacing w:val="0"/>
        <w:ind w:left="0" w:firstLine="360"/>
        <w:jc w:val="both"/>
        <w:tabs>
          <w:tab w:val="left" w:pos="851" w:leader="none"/>
        </w:tabs>
      </w:pPr>
      <w:r>
        <w:t xml:space="preserve">6.4.4. Обеспечить своевременную приемку и оплату надлежащим образом оказанных услуг в соответствии с Контрактом.</w:t>
      </w:r>
      <w:r/>
    </w:p>
    <w:p>
      <w:pPr>
        <w:pStyle w:val="872"/>
        <w:contextualSpacing w:val="0"/>
        <w:ind w:left="0" w:firstLine="360"/>
        <w:jc w:val="both"/>
        <w:tabs>
          <w:tab w:val="left" w:pos="851" w:leader="none"/>
        </w:tabs>
      </w:pPr>
      <w:r>
        <w:t xml:space="preserve">6.4.5. Предоставлять Исполнителю необходимую информацию и документацию, необходимые для надлежащего оказания услуг.</w:t>
      </w:r>
      <w:r/>
    </w:p>
    <w:p>
      <w:pPr>
        <w:pStyle w:val="872"/>
        <w:contextualSpacing w:val="0"/>
        <w:ind w:left="0" w:firstLine="360"/>
        <w:jc w:val="both"/>
        <w:tabs>
          <w:tab w:val="left" w:pos="851" w:leader="none"/>
        </w:tabs>
      </w:pPr>
      <w:r>
        <w:t xml:space="preserve">6.4.6. Соблюдать прочие условия, предусмотренные Контрактом.</w:t>
      </w:r>
      <w:r/>
    </w:p>
    <w:p>
      <w:pPr>
        <w:pStyle w:val="872"/>
        <w:ind w:left="0" w:firstLine="360"/>
        <w:spacing w:before="120"/>
        <w:rPr>
          <w:b/>
          <w:smallCaps/>
        </w:rPr>
      </w:pPr>
      <w:r>
        <w:rPr>
          <w:b/>
          <w:smallCaps/>
        </w:rPr>
      </w:r>
      <w:r>
        <w:rPr>
          <w:b/>
          <w:smallCaps/>
        </w:rPr>
      </w:r>
      <w:r>
        <w:rPr>
          <w:b/>
          <w:smallCaps/>
        </w:rPr>
      </w:r>
    </w:p>
    <w:p>
      <w:pPr>
        <w:pStyle w:val="872"/>
        <w:numPr>
          <w:ilvl w:val="0"/>
          <w:numId w:val="1"/>
        </w:numPr>
        <w:ind w:left="0" w:firstLine="360"/>
        <w:jc w:val="center"/>
        <w:rPr>
          <w:b/>
          <w:smallCaps/>
        </w:rPr>
      </w:pPr>
      <w:r>
        <w:rPr>
          <w:b/>
          <w:smallCaps/>
        </w:rPr>
        <w:t xml:space="preserve">Порядок осуществления сдачи результата оказанных услуг</w:t>
      </w:r>
      <w:r>
        <w:rPr>
          <w:b/>
          <w:smallCaps/>
        </w:rPr>
      </w:r>
      <w:r>
        <w:rPr>
          <w:b/>
          <w:smallCaps/>
        </w:rPr>
      </w:r>
    </w:p>
    <w:p>
      <w:pPr>
        <w:pStyle w:val="872"/>
        <w:numPr>
          <w:ilvl w:val="1"/>
          <w:numId w:val="1"/>
        </w:numPr>
        <w:contextualSpacing w:val="0"/>
        <w:ind w:left="0" w:firstLine="360"/>
        <w:jc w:val="both"/>
      </w:pPr>
      <w:r>
        <w:t xml:space="preserve">Исполнитель обязан сдать результат оказанных услуг в объёме, фактически оказанном, исходя из стоимости единицы услуги, определенной в техническом задании (приложение 1 к Контракту).</w:t>
      </w:r>
      <w:r/>
    </w:p>
    <w:p>
      <w:pPr>
        <w:pStyle w:val="872"/>
        <w:numPr>
          <w:ilvl w:val="1"/>
          <w:numId w:val="1"/>
        </w:numPr>
        <w:contextualSpacing w:val="0"/>
        <w:ind w:left="0" w:firstLine="360"/>
        <w:jc w:val="both"/>
      </w:pPr>
      <w:r>
        <w:t xml:space="preserve">Исполнитель заранее обозначает Заказчику о готовности</w:t>
      </w:r>
      <w:r>
        <w:t xml:space="preserve"> сдать результаты оказанных услуг в указанные дату и время.  Исполнитель вправе обозначить готовность сдать результаты оказанных услуг следующими возможными способами: путём телефонной связи, по средствам факсимильной связи, по средствам электронной почты.</w:t>
      </w:r>
      <w:r/>
    </w:p>
    <w:p>
      <w:pPr>
        <w:pStyle w:val="872"/>
        <w:numPr>
          <w:ilvl w:val="1"/>
          <w:numId w:val="1"/>
        </w:numPr>
        <w:contextualSpacing w:val="0"/>
        <w:ind w:left="0" w:firstLine="360"/>
        <w:jc w:val="both"/>
      </w:pPr>
      <w:r>
        <w:t xml:space="preserve">Исполнитель не позднее 10 числа месяца, следующего за отчетным</w:t>
      </w:r>
      <w:r>
        <w:t xml:space="preserve">, формирует и направляет Заказчику </w:t>
      </w:r>
      <w:r>
        <w:t xml:space="preserve">результаты услуг </w:t>
      </w:r>
      <w:r>
        <w:t xml:space="preserve">нарочно/Почтой России/скан-образы посредством электронной почты.</w:t>
      </w:r>
      <w:r/>
    </w:p>
    <w:p>
      <w:pPr>
        <w:pStyle w:val="872"/>
        <w:numPr>
          <w:ilvl w:val="1"/>
          <w:numId w:val="1"/>
        </w:numPr>
        <w:contextualSpacing w:val="0"/>
        <w:ind w:left="0" w:firstLine="360"/>
        <w:jc w:val="both"/>
      </w:pPr>
      <w:r>
        <w:t xml:space="preserve">После получения согласия Заказчика о готовности принять результаты услуг, Исполнитель приступает к передаче оказанных услуг.</w:t>
      </w:r>
      <w:r/>
    </w:p>
    <w:p>
      <w:pPr>
        <w:pStyle w:val="872"/>
        <w:numPr>
          <w:ilvl w:val="1"/>
          <w:numId w:val="1"/>
        </w:numPr>
        <w:contextualSpacing w:val="0"/>
        <w:ind w:left="0" w:firstLine="360"/>
        <w:jc w:val="both"/>
      </w:pPr>
      <w:r>
        <w:t xml:space="preserve">Вместе с результатами услуг Исполнитель обязан не позднее 10 числа месяца, следующего за отчетным, предоставить документы, подтверждающие факт передачи результата оказанных услуг - акт приемки-с</w:t>
      </w:r>
      <w:r>
        <w:t xml:space="preserve">дачи оказанных услуг (2-а экземпляра), и документы для оплаты услуг - счет; счёт –фактуру (при наличии).</w:t>
      </w:r>
      <w:r/>
    </w:p>
    <w:p>
      <w:pPr>
        <w:pStyle w:val="872"/>
        <w:ind w:left="0" w:firstLine="360"/>
        <w:spacing w:before="120"/>
        <w:rPr>
          <w:b/>
          <w:smallCaps/>
        </w:rPr>
      </w:pPr>
      <w:r>
        <w:rPr>
          <w:b/>
          <w:smallCaps/>
        </w:rPr>
      </w:r>
      <w:r>
        <w:rPr>
          <w:b/>
          <w:smallCaps/>
        </w:rPr>
      </w:r>
      <w:r>
        <w:rPr>
          <w:b/>
          <w:smallCaps/>
        </w:rPr>
      </w:r>
    </w:p>
    <w:p>
      <w:pPr>
        <w:pStyle w:val="872"/>
        <w:numPr>
          <w:ilvl w:val="0"/>
          <w:numId w:val="1"/>
        </w:numPr>
        <w:ind w:left="0" w:firstLine="360"/>
        <w:jc w:val="center"/>
        <w:rPr>
          <w:b/>
          <w:smallCaps/>
        </w:rPr>
      </w:pPr>
      <w:r>
        <w:rPr>
          <w:b/>
          <w:smallCaps/>
        </w:rPr>
        <w:t xml:space="preserve">Порядок осуществления приемки оказанных услуг</w:t>
      </w:r>
      <w:r>
        <w:rPr>
          <w:b/>
          <w:smallCaps/>
        </w:rPr>
      </w:r>
      <w:r>
        <w:rPr>
          <w:b/>
          <w:smallCaps/>
        </w:rPr>
      </w:r>
    </w:p>
    <w:p>
      <w:pPr>
        <w:pStyle w:val="872"/>
        <w:numPr>
          <w:ilvl w:val="1"/>
          <w:numId w:val="1"/>
        </w:numPr>
        <w:contextualSpacing w:val="0"/>
        <w:ind w:left="0" w:firstLine="360"/>
        <w:jc w:val="both"/>
      </w:pPr>
      <w:r>
        <w:t xml:space="preserve">По факту передачи Исполнителем результата оказанных услуг Заказчик обязан приступить к их приемке. </w:t>
      </w:r>
      <w:r/>
    </w:p>
    <w:p>
      <w:pPr>
        <w:pStyle w:val="872"/>
        <w:numPr>
          <w:ilvl w:val="1"/>
          <w:numId w:val="1"/>
        </w:numPr>
        <w:contextualSpacing w:val="0"/>
        <w:ind w:left="0" w:firstLine="360"/>
        <w:jc w:val="both"/>
      </w:pPr>
      <w:r>
        <w:t xml:space="preserve">Заказчик назначает ответственное лицо за приёмку оказанных услуг. </w:t>
      </w:r>
      <w:r/>
    </w:p>
    <w:p>
      <w:pPr>
        <w:pStyle w:val="872"/>
        <w:numPr>
          <w:ilvl w:val="1"/>
          <w:numId w:val="1"/>
        </w:numPr>
        <w:contextualSpacing w:val="0"/>
        <w:ind w:left="0" w:firstLine="360"/>
        <w:jc w:val="both"/>
      </w:pPr>
      <w:r>
        <w:t xml:space="preserve">По решению Заказчика для приемки оказанных услуг, результатов исполнения Контракта может создаваться приемочная комиссия, которая состоит не менее чем из пяти человек.</w:t>
      </w:r>
      <w:r/>
    </w:p>
    <w:p>
      <w:pPr>
        <w:pStyle w:val="872"/>
        <w:numPr>
          <w:ilvl w:val="1"/>
          <w:numId w:val="1"/>
        </w:numPr>
        <w:contextualSpacing w:val="0"/>
        <w:ind w:left="0" w:firstLine="360"/>
        <w:jc w:val="both"/>
      </w:pPr>
      <w:r>
        <w:t xml:space="preserve">На этапе приемки результата оказанных услуг Заказчик проводит проверку по установлению соответствия результата оказанных услуг условиям настоящего Контракта.</w:t>
      </w:r>
      <w:r/>
    </w:p>
    <w:p>
      <w:pPr>
        <w:pStyle w:val="872"/>
        <w:numPr>
          <w:ilvl w:val="1"/>
          <w:numId w:val="1"/>
        </w:numPr>
        <w:contextualSpacing w:val="0"/>
        <w:ind w:left="0" w:firstLine="360"/>
        <w:jc w:val="both"/>
      </w:pPr>
      <w:r>
        <w:t xml:space="preserve">Заказчик вправе проводить приемку результата услуг в течение в течение 5 (пяти) рабочих дней.</w:t>
      </w:r>
      <w:r/>
    </w:p>
    <w:p>
      <w:pPr>
        <w:pStyle w:val="872"/>
        <w:numPr>
          <w:ilvl w:val="1"/>
          <w:numId w:val="1"/>
        </w:numPr>
        <w:contextualSpacing w:val="0"/>
        <w:ind w:left="0" w:firstLine="360"/>
        <w:jc w:val="both"/>
      </w:pPr>
      <w:r>
        <w:t xml:space="preserve">В случае отсутствия замечаний по итогам проверки результата оказанных услуг Заказчик направляет Исполнителю 1 (один) экземпляр акта приемки оказанных услуг, подписанный Заказчиком. </w:t>
      </w:r>
      <w:r/>
    </w:p>
    <w:p>
      <w:pPr>
        <w:pStyle w:val="872"/>
        <w:numPr>
          <w:ilvl w:val="1"/>
          <w:numId w:val="1"/>
        </w:numPr>
        <w:contextualSpacing w:val="0"/>
        <w:ind w:left="0" w:firstLine="360"/>
        <w:jc w:val="both"/>
      </w:pPr>
      <w:r>
        <w:t xml:space="preserve">В</w:t>
      </w:r>
      <w:r>
        <w:t xml:space="preserve"> случае установления Заказчиком недостатков результата оказанных услуг Заказчик направляет Исполнителю мотивированный отказ от приемки услуг.  Мотивированный отказ должен содержать замечания и описание выявленных недостатков, разъясняющие причину отказа от</w:t>
      </w:r>
      <w:r>
        <w:t xml:space="preserve"> приемки результатов услуг. При условии, если выявленные недостатки не являются существенными и неустранимыми Заказчик должен установить в мотивированном отказе разумный срок Исполнителю для их устранения.   </w:t>
      </w:r>
      <w:r/>
    </w:p>
    <w:p>
      <w:pPr>
        <w:pStyle w:val="872"/>
        <w:numPr>
          <w:ilvl w:val="1"/>
          <w:numId w:val="1"/>
        </w:numPr>
        <w:contextualSpacing w:val="0"/>
        <w:ind w:left="0" w:firstLine="360"/>
        <w:jc w:val="both"/>
      </w:pPr>
      <w:r>
        <w:t xml:space="preserve">Исполнитель обязан устранить недостатки результата услуг, указанные Заказчиком в мотивированном отказе, в установленные Заказчиком сроки.   </w:t>
      </w:r>
      <w:r/>
    </w:p>
    <w:p>
      <w:pPr>
        <w:pStyle w:val="872"/>
        <w:numPr>
          <w:ilvl w:val="1"/>
          <w:numId w:val="1"/>
        </w:numPr>
        <w:contextualSpacing w:val="0"/>
        <w:ind w:left="0" w:firstLine="360"/>
        <w:jc w:val="both"/>
      </w:pPr>
      <w:r>
        <w:t xml:space="preserve">Заказчик обязан провести экспертизу, устанавливающую соответствие результатов оказанных услуг условиям Контракта, в случае, если требованиями закона, регламентирующего закупочную деятельность, установлена такая обязанность.</w:t>
      </w:r>
      <w:r/>
    </w:p>
    <w:p>
      <w:pPr>
        <w:pStyle w:val="872"/>
        <w:numPr>
          <w:ilvl w:val="1"/>
          <w:numId w:val="1"/>
        </w:numPr>
        <w:contextualSpacing w:val="0"/>
        <w:ind w:left="0" w:firstLine="360"/>
        <w:jc w:val="both"/>
      </w:pPr>
      <w:r>
        <w:t xml:space="preserve">Экспертиза проводится Заказчиком своими силами.</w:t>
      </w:r>
      <w:r/>
    </w:p>
    <w:p>
      <w:pPr>
        <w:pStyle w:val="872"/>
        <w:numPr>
          <w:ilvl w:val="1"/>
          <w:numId w:val="1"/>
        </w:numPr>
        <w:contextualSpacing w:val="0"/>
        <w:ind w:left="0" w:firstLine="360"/>
        <w:jc w:val="both"/>
      </w:pPr>
      <w:r>
        <w:t xml:space="preserve">П</w:t>
      </w:r>
      <w:r>
        <w:t xml:space="preserve">ри возникновении между Сторонами спора по качеству оказанных услуг Заказчик вправе привлечь экспертов, экспертную организацию в соответствии со ст. 41 Федерального закона № 44-ФЗ. Срок проведения экспертизы и оформления экспертного заключения составляет не</w:t>
      </w:r>
      <w:r>
        <w:t xml:space="preserve"> </w:t>
      </w:r>
      <w:r>
        <w:t xml:space="preserve">более 15 (пятнадцати) дней. В случае, если по результатам такой экспертизы установлены нарушения требований Контракта, не препятствующие приёмке услуг, в заключении могут содержаться предложения об устранении данных нарушений, в том числе с указанием срока</w:t>
      </w:r>
      <w:r>
        <w:t xml:space="preserve"> их устранения.</w:t>
      </w:r>
      <w:r/>
    </w:p>
    <w:p>
      <w:pPr>
        <w:pStyle w:val="872"/>
        <w:numPr>
          <w:ilvl w:val="1"/>
          <w:numId w:val="1"/>
        </w:numPr>
        <w:contextualSpacing w:val="0"/>
        <w:ind w:left="0" w:firstLine="360"/>
        <w:jc w:val="both"/>
      </w:pPr>
      <w:r>
        <w:t xml:space="preserve">В</w:t>
      </w:r>
      <w:r>
        <w:t xml:space="preserve"> случае получения от Заказчика, эксперта, экспертной организации запроса о предоставлении дополнительных материалов, предоставлении разъяснений касательно результатов оказанных услуг, относящиеся к условиям исполнения Контракта и отдельным этапам исполнени</w:t>
      </w:r>
      <w:r>
        <w:t xml:space="preserve">я Контракта Исполнитель в течение 2 (двух) рабочих дней обязан предоставить Заказчику, эксперту, экспертной организации запрашиваемые дополнительные материалы, разъяснения в отношении оказанных услуг.</w:t>
      </w:r>
      <w:r/>
    </w:p>
    <w:p>
      <w:pPr>
        <w:pStyle w:val="872"/>
        <w:numPr>
          <w:ilvl w:val="1"/>
          <w:numId w:val="1"/>
        </w:numPr>
        <w:contextualSpacing w:val="0"/>
        <w:ind w:left="0" w:firstLine="360"/>
        <w:jc w:val="both"/>
      </w:pPr>
      <w:r>
        <w:t xml:space="preserve">Е</w:t>
      </w:r>
      <w:r>
        <w:t xml:space="preserve">сли в процессе оказания услуг выявляется неизбежность получения отрицательных результатов или нецелесообразность дальнейшего осуществления услуг, каждая из Сторон вправе внести предложение о приостановке исполнения обязательств по Контракту. После уведомле</w:t>
      </w:r>
      <w:r>
        <w:t xml:space="preserve">ния о приостановке услуг Стороны обязаны в трехдневный срок принять совместное решение о дальнейшем осуществлении оказания услуг, изменении условий или расторжении настоящего Контракта.</w:t>
      </w:r>
      <w:r/>
    </w:p>
    <w:p>
      <w:pPr>
        <w:contextualSpacing w:val="0"/>
        <w:ind w:left="360" w:firstLine="0"/>
        <w:jc w:val="both"/>
      </w:pPr>
      <w:r/>
      <w:r/>
    </w:p>
    <w:p>
      <w:pPr>
        <w:pStyle w:val="872"/>
        <w:numPr>
          <w:ilvl w:val="0"/>
          <w:numId w:val="1"/>
        </w:numPr>
        <w:ind w:left="0" w:firstLine="360"/>
        <w:jc w:val="center"/>
        <w:rPr>
          <w:b/>
          <w:smallCaps/>
        </w:rPr>
      </w:pPr>
      <w:r>
        <w:rPr>
          <w:b/>
          <w:smallCaps/>
        </w:rPr>
        <w:t xml:space="preserve">Порядок оплаты результата услуг.</w:t>
      </w:r>
      <w:r>
        <w:rPr>
          <w:b/>
          <w:smallCaps/>
        </w:rPr>
      </w:r>
      <w:r>
        <w:rPr>
          <w:b/>
          <w:smallCaps/>
        </w:rPr>
      </w:r>
    </w:p>
    <w:p>
      <w:pPr>
        <w:pStyle w:val="872"/>
        <w:numPr>
          <w:ilvl w:val="1"/>
          <w:numId w:val="1"/>
        </w:numPr>
        <w:contextualSpacing w:val="0"/>
        <w:ind w:left="0" w:firstLine="360"/>
        <w:jc w:val="both"/>
      </w:pPr>
      <w:r>
        <w:t xml:space="preserve">Оплата производится за фактически оказанный объём услуг.</w:t>
      </w:r>
      <w:r/>
    </w:p>
    <w:p>
      <w:pPr>
        <w:pStyle w:val="872"/>
        <w:numPr>
          <w:ilvl w:val="1"/>
          <w:numId w:val="1"/>
        </w:numPr>
        <w:contextualSpacing w:val="0"/>
        <w:ind w:left="0" w:firstLine="360"/>
        <w:jc w:val="both"/>
      </w:pPr>
      <w:r>
        <w:t xml:space="preserve">Факт оказания услуг подтверждается документально, путём подписания акта приемки оказанных услуг.</w:t>
      </w:r>
      <w:r/>
    </w:p>
    <w:p>
      <w:pPr>
        <w:pStyle w:val="872"/>
        <w:numPr>
          <w:ilvl w:val="1"/>
          <w:numId w:val="1"/>
        </w:numPr>
        <w:contextualSpacing w:val="0"/>
        <w:ind w:left="0" w:firstLine="360"/>
        <w:jc w:val="both"/>
      </w:pPr>
      <w:r>
        <w:t xml:space="preserve">Оплата за оказанные услуги производится в течение 7 (семи) рабочих дней с даты получения счёта, счёта - фактуры (при наличии) и подписанного акта приемки оказанных услуг.</w:t>
      </w:r>
      <w:r/>
    </w:p>
    <w:p>
      <w:pPr>
        <w:pStyle w:val="872"/>
        <w:numPr>
          <w:ilvl w:val="1"/>
          <w:numId w:val="1"/>
        </w:numPr>
        <w:contextualSpacing w:val="0"/>
        <w:ind w:left="0" w:firstLine="360"/>
        <w:jc w:val="both"/>
      </w:pPr>
      <w:r>
        <w:t xml:space="preserve">Основание для оплаты: пописанный сторонами акт приемки оказанных услуг, счет, счет-фактура (при наличии).</w:t>
      </w:r>
      <w:r/>
    </w:p>
    <w:p>
      <w:pPr>
        <w:pStyle w:val="872"/>
        <w:numPr>
          <w:ilvl w:val="1"/>
          <w:numId w:val="1"/>
        </w:numPr>
        <w:contextualSpacing w:val="0"/>
        <w:ind w:left="0" w:firstLine="360"/>
        <w:jc w:val="both"/>
      </w:pPr>
      <w:r>
        <w:t xml:space="preserve">Форма расчетов: оплата осуществляется в форме безналичного расчёта – расчёт платёжными поручениями.</w:t>
      </w:r>
      <w:r/>
    </w:p>
    <w:p>
      <w:pPr>
        <w:ind w:firstLine="360"/>
        <w:jc w:val="both"/>
      </w:pPr>
      <w:r/>
      <w:r/>
    </w:p>
    <w:p>
      <w:pPr>
        <w:pStyle w:val="872"/>
        <w:numPr>
          <w:ilvl w:val="0"/>
          <w:numId w:val="1"/>
        </w:numPr>
        <w:ind w:left="0" w:firstLine="360"/>
        <w:jc w:val="center"/>
        <w:rPr>
          <w:b/>
          <w:smallCaps/>
        </w:rPr>
      </w:pPr>
      <w:r>
        <w:rPr>
          <w:b/>
          <w:smallCaps/>
        </w:rPr>
        <w:t xml:space="preserve">Ответственность.</w:t>
      </w:r>
      <w:r>
        <w:rPr>
          <w:b/>
          <w:smallCaps/>
        </w:rPr>
      </w:r>
      <w:r>
        <w:rPr>
          <w:b/>
          <w:smallCaps/>
        </w:rPr>
      </w:r>
    </w:p>
    <w:p>
      <w:pPr>
        <w:pStyle w:val="872"/>
        <w:numPr>
          <w:ilvl w:val="1"/>
          <w:numId w:val="1"/>
        </w:numPr>
        <w:contextualSpacing w:val="0"/>
        <w:ind w:left="0" w:firstLine="360"/>
        <w:jc w:val="both"/>
      </w:pPr>
      <w:r>
        <w:t xml:space="preserve">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r/>
    </w:p>
    <w:p>
      <w:pPr>
        <w:pStyle w:val="872"/>
        <w:contextualSpacing w:val="0"/>
        <w:ind w:left="0" w:firstLine="360"/>
        <w:jc w:val="both"/>
      </w:pPr>
      <w:r>
        <w:t xml:space="preserve">Размер неустойки (штрафа, пени) определяется в соответствии с требованиями Федерального закона № 44-ФЗ, а также в соответствии с порядком, установленным Постановлением Правительства РФ от 30.08.2017 № 1042 «Об утверждении Правил опр</w:t>
      </w:r>
      <w: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r>
        <w:t xml:space="preserve">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p>
    <w:p>
      <w:pPr>
        <w:pStyle w:val="872"/>
        <w:numPr>
          <w:ilvl w:val="2"/>
          <w:numId w:val="1"/>
        </w:numPr>
        <w:contextualSpacing w:val="0"/>
        <w:ind w:left="0" w:firstLine="360"/>
        <w:jc w:val="both"/>
        <w:rPr>
          <w:b/>
        </w:rPr>
      </w:pPr>
      <w:r>
        <w:rPr>
          <w:b/>
        </w:rPr>
        <w:t xml:space="preserve">Ответственность Исполнителя:</w:t>
      </w:r>
      <w:r>
        <w:rPr>
          <w:b/>
        </w:rPr>
      </w:r>
      <w:r>
        <w:rPr>
          <w:b/>
        </w:rPr>
      </w:r>
    </w:p>
    <w:p>
      <w:pPr>
        <w:pStyle w:val="872"/>
        <w:numPr>
          <w:ilvl w:val="2"/>
          <w:numId w:val="1"/>
        </w:numPr>
        <w:contextualSpacing w:val="0"/>
        <w:ind w:left="0" w:firstLine="360"/>
        <w:jc w:val="both"/>
        <w:rPr>
          <w:b/>
        </w:rPr>
      </w:pPr>
      <w:r>
        <w:t xml:space="preserve">Исполнитель обязан в порядке, установленном гражданским законодательством Российской Федерации, возместить заказчику убытки, причиненные утратой, недостачей и </w:t>
      </w:r>
      <w:r>
        <w:t xml:space="preserve">повреждением имущества, вне зависимости от определенных заказчиком способов распоряжения имуществом</w:t>
      </w:r>
      <w:r>
        <w:rPr>
          <w:b/>
        </w:rPr>
      </w:r>
      <w:r>
        <w:rPr>
          <w:b/>
        </w:rPr>
      </w:r>
    </w:p>
    <w:p>
      <w:pPr>
        <w:pStyle w:val="872"/>
        <w:numPr>
          <w:ilvl w:val="2"/>
          <w:numId w:val="1"/>
        </w:numPr>
        <w:contextualSpacing w:val="0"/>
        <w:ind w:left="0" w:firstLine="360"/>
        <w:jc w:val="both"/>
        <w:rPr>
          <w:b/>
        </w:rPr>
      </w:pPr>
      <w:r>
        <w:t xml:space="preserve">В случае утраты, недостачи или повреждения имущества в качестве суммы, подлежащей возмещению исп</w:t>
      </w:r>
      <w:r>
        <w:t xml:space="preserve">олнителем, принимается стоимость имущества, определенная на основании акта приема - передачи имущества, отчета об оценке рыночной стоимости имущества, уведомления или документов, подтверждающих факт обращения имущества в собственность Российской Федерации.</w:t>
      </w:r>
      <w:r>
        <w:rPr>
          <w:b/>
        </w:rPr>
      </w:r>
      <w:r>
        <w:rPr>
          <w:b/>
        </w:rPr>
      </w:r>
    </w:p>
    <w:p>
      <w:pPr>
        <w:pStyle w:val="872"/>
        <w:numPr>
          <w:ilvl w:val="3"/>
          <w:numId w:val="1"/>
        </w:numPr>
        <w:contextualSpacing w:val="0"/>
        <w:ind w:left="0" w:firstLine="360"/>
        <w:jc w:val="both"/>
      </w:pPr>
      <w:r>
        <w:t xml:space="preserve">В случае просрочки исполнения</w:t>
      </w:r>
      <w:r>
        <w:t xml:space="preserve">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p>
    <w:p>
      <w:pPr>
        <w:pStyle w:val="872"/>
        <w:numPr>
          <w:ilvl w:val="3"/>
          <w:numId w:val="1"/>
        </w:numPr>
        <w:contextualSpacing w:val="0"/>
        <w:ind w:left="0" w:firstLine="360"/>
        <w:jc w:val="both"/>
      </w:pPr>
      <w: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w:t>
      </w:r>
      <w:r>
        <w:t xml:space="preserve">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w:t>
      </w:r>
      <w:r>
        <w:t xml:space="preserve">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p>
    <w:p>
      <w:pPr>
        <w:pStyle w:val="872"/>
        <w:numPr>
          <w:ilvl w:val="3"/>
          <w:numId w:val="1"/>
        </w:numPr>
        <w:contextualSpacing w:val="0"/>
        <w:ind w:left="0" w:firstLine="360"/>
        <w:jc w:val="both"/>
      </w:pPr>
      <w:r>
        <w:t xml:space="preserve">За каждый факт неисполнения или ненадлежащего исполнения Исполнителем обязательств, предусмотренных Контрактом, заключенным по рез</w:t>
      </w:r>
      <w:r>
        <w:t xml:space="preserve">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w:t>
      </w:r>
      <w:r>
        <w:t xml:space="preserve">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p>
    <w:p>
      <w:pPr>
        <w:pStyle w:val="872"/>
        <w:numPr>
          <w:ilvl w:val="0"/>
          <w:numId w:val="6"/>
        </w:numPr>
        <w:contextualSpacing w:val="0"/>
        <w:ind w:left="0" w:firstLine="360"/>
        <w:jc w:val="both"/>
        <w:rPr>
          <w:i/>
        </w:rPr>
      </w:pPr>
      <w: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w:t>
      </w:r>
      <w:r>
        <w:t xml:space="preserve">акупки в случаях, установленных Законом о контрактной системе), предложившим наиболее высокую цену за право заключения Контракта, Исполнитель обязан в течение 5 (пяти) рабочих дней с даты получения от Заказчика соответствующего требования уплатить штраф в </w:t>
      </w:r>
      <w:r>
        <w:t xml:space="preserve">размере________рублей</w:t>
      </w:r>
      <w:r>
        <w:t xml:space="preserve"> (10 </w:t>
      </w:r>
      <w:r>
        <w:rPr>
          <w:i/>
        </w:rPr>
        <w:t xml:space="preserve">процентов начальной (максимальной) цены Контракта).</w:t>
      </w:r>
      <w:r>
        <w:rPr>
          <w:i/>
        </w:rPr>
      </w:r>
      <w:r>
        <w:rPr>
          <w:i/>
        </w:rPr>
      </w:r>
    </w:p>
    <w:p>
      <w:pPr>
        <w:pStyle w:val="872"/>
        <w:numPr>
          <w:ilvl w:val="3"/>
          <w:numId w:val="1"/>
        </w:numPr>
        <w:contextualSpacing w:val="0"/>
        <w:ind w:left="0" w:firstLine="360"/>
        <w:jc w:val="both"/>
        <w:rPr>
          <w:i/>
        </w:rPr>
      </w:pPr>
      <w: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w:t>
      </w:r>
      <w:r>
        <w:rPr>
          <w:i/>
        </w:rPr>
        <w:t xml:space="preserve">000 рублей.</w:t>
      </w:r>
      <w:r>
        <w:rPr>
          <w:i/>
        </w:rPr>
      </w:r>
      <w:r>
        <w:rPr>
          <w:i/>
        </w:rPr>
      </w:r>
    </w:p>
    <w:p>
      <w:pPr>
        <w:pStyle w:val="872"/>
        <w:numPr>
          <w:ilvl w:val="3"/>
          <w:numId w:val="1"/>
        </w:numPr>
        <w:contextualSpacing w:val="0"/>
        <w:ind w:left="0" w:firstLine="360"/>
        <w:jc w:val="both"/>
      </w:pPr>
      <w:r/>
      <w:bookmarkStart w:id="4" w:name="Par25"/>
      <w:r/>
      <w:bookmarkStart w:id="5" w:name="Par26"/>
      <w:r/>
      <w:bookmarkEnd w:id="4"/>
      <w:r/>
      <w:bookmarkEnd w:id="5"/>
      <w: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r/>
    </w:p>
    <w:p>
      <w:pPr>
        <w:pStyle w:val="872"/>
        <w:numPr>
          <w:ilvl w:val="3"/>
          <w:numId w:val="1"/>
        </w:numPr>
        <w:contextualSpacing w:val="0"/>
        <w:ind w:left="0" w:firstLine="360"/>
        <w:jc w:val="both"/>
      </w:pPr>
      <w: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r/>
    </w:p>
    <w:p>
      <w:pPr>
        <w:pStyle w:val="872"/>
        <w:numPr>
          <w:ilvl w:val="3"/>
          <w:numId w:val="1"/>
        </w:numPr>
        <w:contextualSpacing w:val="0"/>
        <w:ind w:left="0" w:firstLine="360"/>
        <w:jc w:val="both"/>
      </w:pPr>
      <w:r>
        <w:t xml:space="preserve">Уплата неустойки не освобождает Сторону от исполнения принятых обязательств по Контракту или устранения нарушений.</w:t>
      </w:r>
      <w:r/>
    </w:p>
    <w:p>
      <w:pPr>
        <w:pStyle w:val="872"/>
        <w:numPr>
          <w:ilvl w:val="3"/>
          <w:numId w:val="1"/>
        </w:numPr>
        <w:contextualSpacing w:val="0"/>
        <w:ind w:left="0" w:firstLine="360"/>
        <w:jc w:val="both"/>
      </w:pPr>
      <w:r>
        <w:t xml:space="preserve">Заказчик имеет право удержать сумму неустойки (штрафа, пени) при расчетах по Контракту, в случае ненадлежащего исполнения и (или) просрочки исполнения Исполнителем обязательств, предусмотренных Контрактом.</w:t>
      </w:r>
      <w:r/>
    </w:p>
    <w:p>
      <w:pPr>
        <w:pStyle w:val="872"/>
        <w:numPr>
          <w:ilvl w:val="3"/>
          <w:numId w:val="1"/>
        </w:numPr>
        <w:contextualSpacing w:val="0"/>
        <w:ind w:left="0" w:firstLine="360"/>
        <w:jc w:val="both"/>
      </w:pPr>
      <w:r>
        <w:t xml:space="preserve">Исполнитель несет ответственность за ущерб, нанесенный «Заказчику» в результате невыполнения или ненадлежащего выполнения Исполнителем своих обязательств по настоящему Контракту, в размере реального ущерба.</w:t>
      </w:r>
      <w:r/>
    </w:p>
    <w:p>
      <w:pPr>
        <w:pStyle w:val="872"/>
        <w:numPr>
          <w:ilvl w:val="2"/>
          <w:numId w:val="1"/>
        </w:numPr>
        <w:contextualSpacing w:val="0"/>
        <w:ind w:left="0" w:firstLine="360"/>
        <w:jc w:val="both"/>
        <w:rPr>
          <w:b/>
        </w:rPr>
      </w:pPr>
      <w:r>
        <w:rPr>
          <w:b/>
        </w:rPr>
        <w:t xml:space="preserve">Ответственность Заказчика:</w:t>
      </w:r>
      <w:r>
        <w:rPr>
          <w:b/>
        </w:rPr>
      </w:r>
      <w:r>
        <w:rPr>
          <w:b/>
        </w:rPr>
      </w:r>
    </w:p>
    <w:p>
      <w:pPr>
        <w:pStyle w:val="872"/>
        <w:numPr>
          <w:ilvl w:val="3"/>
          <w:numId w:val="1"/>
        </w:numPr>
        <w:contextualSpacing w:val="0"/>
        <w:ind w:left="0" w:firstLine="360"/>
        <w:jc w:val="both"/>
      </w:pPr>
      <w: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t xml:space="preserve">обязательств, предусмотренных Контрактом, поставщик (подрядчик, исполнитель) вправе потребовать уплаты неустоек (штрафов, пеней).</w:t>
      </w:r>
      <w:r/>
    </w:p>
    <w:p>
      <w:pPr>
        <w:pStyle w:val="872"/>
        <w:numPr>
          <w:ilvl w:val="3"/>
          <w:numId w:val="1"/>
        </w:numPr>
        <w:contextualSpacing w:val="0"/>
        <w:ind w:left="0" w:firstLine="360"/>
        <w:jc w:val="both"/>
      </w:pPr>
      <w:r>
        <w:t xml:space="preserve">Пеня начисляется за каждый день просрочки исполнения обязательства, предусмотренного Контрактом, начиная со дня, следующего после</w:t>
      </w:r>
      <w: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p>
    <w:p>
      <w:pPr>
        <w:pStyle w:val="872"/>
        <w:numPr>
          <w:ilvl w:val="3"/>
          <w:numId w:val="1"/>
        </w:numPr>
        <w:contextualSpacing w:val="0"/>
        <w:ind w:left="0" w:firstLine="360"/>
        <w:jc w:val="both"/>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p>
    <w:p>
      <w:pPr>
        <w:pStyle w:val="872"/>
        <w:numPr>
          <w:ilvl w:val="3"/>
          <w:numId w:val="1"/>
        </w:numPr>
        <w:contextualSpacing w:val="0"/>
        <w:ind w:left="0" w:firstLine="360"/>
        <w:jc w:val="both"/>
        <w:rPr>
          <w:i/>
        </w:rPr>
      </w:pPr>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w:t>
      </w:r>
      <w:r>
        <w:rPr>
          <w:i/>
        </w:rPr>
        <w:t xml:space="preserve">000 рублей.</w:t>
      </w:r>
      <w:r>
        <w:rPr>
          <w:i/>
        </w:rPr>
      </w:r>
      <w:r>
        <w:rPr>
          <w:i/>
        </w:rPr>
      </w:r>
    </w:p>
    <w:p>
      <w:pPr>
        <w:pStyle w:val="872"/>
        <w:numPr>
          <w:ilvl w:val="3"/>
          <w:numId w:val="1"/>
        </w:numPr>
        <w:contextualSpacing w:val="0"/>
        <w:ind w:left="0" w:firstLine="360"/>
        <w:jc w:val="both"/>
      </w:pPr>
      <w: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pStyle w:val="872"/>
        <w:numPr>
          <w:ilvl w:val="3"/>
          <w:numId w:val="1"/>
        </w:numPr>
        <w:contextualSpacing w:val="0"/>
        <w:ind w:left="0" w:firstLine="360"/>
        <w:jc w:val="both"/>
      </w:pPr>
      <w: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r/>
    </w:p>
    <w:p>
      <w:pPr>
        <w:pStyle w:val="872"/>
        <w:numPr>
          <w:ilvl w:val="3"/>
          <w:numId w:val="1"/>
        </w:numPr>
        <w:contextualSpacing w:val="0"/>
        <w:ind w:left="0" w:firstLine="360"/>
        <w:jc w:val="both"/>
      </w:pPr>
      <w:r>
        <w:t xml:space="preserve">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r/>
    </w:p>
    <w:p>
      <w:pPr>
        <w:pStyle w:val="872"/>
        <w:numPr>
          <w:ilvl w:val="3"/>
          <w:numId w:val="1"/>
        </w:numPr>
        <w:contextualSpacing w:val="0"/>
        <w:ind w:left="0" w:firstLine="360"/>
        <w:jc w:val="both"/>
      </w:pPr>
      <w:r>
        <w:t xml:space="preserve">Уплата неустойки не освобождает Сторону от исполнения принятых обязательств по Контракту или устранения нарушений.</w:t>
      </w:r>
      <w:r/>
    </w:p>
    <w:p>
      <w:pPr>
        <w:ind w:firstLine="360"/>
        <w:jc w:val="both"/>
      </w:pPr>
      <w:r/>
      <w:r/>
    </w:p>
    <w:p>
      <w:pPr>
        <w:pStyle w:val="872"/>
        <w:numPr>
          <w:ilvl w:val="0"/>
          <w:numId w:val="1"/>
        </w:numPr>
        <w:ind w:left="0" w:firstLine="360"/>
        <w:jc w:val="center"/>
        <w:rPr>
          <w:b/>
          <w:smallCaps/>
        </w:rPr>
      </w:pPr>
      <w:r>
        <w:rPr>
          <w:b/>
          <w:smallCaps/>
        </w:rPr>
        <w:t xml:space="preserve">Обеспечение исполнения Контракта</w:t>
      </w:r>
      <w:r>
        <w:rPr>
          <w:b/>
          <w:smallCaps/>
        </w:rPr>
      </w:r>
      <w:r>
        <w:rPr>
          <w:b/>
          <w:smallCaps/>
        </w:rPr>
      </w:r>
    </w:p>
    <w:p>
      <w:pPr>
        <w:ind w:firstLine="360"/>
        <w:jc w:val="both"/>
      </w:pPr>
      <w:r>
        <w:t xml:space="preserve">11.1 В соответствии с ч.2 ст.95 Федерального закона от 05.04.2013 № 44-ФЗ обеспечение исполнения контракта не требуется.</w:t>
      </w:r>
      <w:r/>
    </w:p>
    <w:p>
      <w:pPr>
        <w:pStyle w:val="872"/>
        <w:numPr>
          <w:ilvl w:val="0"/>
          <w:numId w:val="1"/>
        </w:numPr>
        <w:ind w:left="0" w:firstLine="360"/>
        <w:jc w:val="center"/>
        <w:rPr>
          <w:b/>
          <w:smallCaps/>
        </w:rPr>
      </w:pPr>
      <w:r>
        <w:rPr>
          <w:b/>
          <w:smallCaps/>
        </w:rPr>
        <w:t xml:space="preserve">Изменение условий Контракта</w:t>
      </w:r>
      <w:r>
        <w:rPr>
          <w:b/>
          <w:smallCaps/>
        </w:rPr>
      </w:r>
      <w:r>
        <w:rPr>
          <w:b/>
          <w:smallCaps/>
        </w:rPr>
      </w:r>
    </w:p>
    <w:p>
      <w:pPr>
        <w:pStyle w:val="872"/>
        <w:numPr>
          <w:ilvl w:val="1"/>
          <w:numId w:val="1"/>
        </w:numPr>
        <w:contextualSpacing w:val="0"/>
        <w:ind w:left="0" w:firstLine="360"/>
        <w:jc w:val="both"/>
      </w:pPr>
      <w:r>
        <w:t xml:space="preserve">При исполнении Контракта изменение его условий не допускается, за исключением их изменения по соглашению сторон в следующих случаях:</w:t>
      </w:r>
      <w:r/>
    </w:p>
    <w:p>
      <w:pPr>
        <w:pStyle w:val="872"/>
        <w:numPr>
          <w:ilvl w:val="0"/>
          <w:numId w:val="8"/>
        </w:numPr>
        <w:ind w:left="0" w:firstLine="360"/>
        <w:jc w:val="both"/>
      </w:pPr>
      <w:r>
        <w:t xml:space="preserve">При снижении цены Контракта без изменения, предусмотренного Контрактом объёма услуг, качества услуг и иных условий Контракта;</w:t>
      </w:r>
      <w:r/>
    </w:p>
    <w:p>
      <w:pPr>
        <w:pStyle w:val="872"/>
        <w:numPr>
          <w:ilvl w:val="0"/>
          <w:numId w:val="8"/>
        </w:numPr>
        <w:ind w:left="0" w:firstLine="360"/>
        <w:jc w:val="both"/>
      </w:pPr>
      <w:r>
        <w:t xml:space="preserve">Если по предложению Заказчика увеличивается предусмотренное Контрактом объём услуг не более чем на десять процентов или уменьшается предусмотренное Контрактом объём услуг не более чем на десять процентов. При этом по соглашению сторон допускается</w:t>
      </w:r>
      <w:r>
        <w:t xml:space="preserve"> изменение с учетом положений бюджетного законодательства Российской Федерации цены Контракта пропорционально дополнительному объёму услуг исходя из установленной в Контракте цены единицы услуги, но не более чем на десять процентов цены Контракта. При умен</w:t>
      </w:r>
      <w:r>
        <w:t xml:space="preserve">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объема услуг или цена единицы услуги при уменьшении предусмотренного Контрактом объёма оказанных ус</w:t>
      </w:r>
      <w:r>
        <w:t xml:space="preserve">луг должна определяться как частное от деления первоначальной цены Контракта на предусмотренное в Контракте объём таких услуг.  Сокращение объёма услуг при уменьшении цены Контракта осуществляется в соответствии с методикой, утверждённой Правительством РФ.</w:t>
      </w:r>
      <w:r/>
    </w:p>
    <w:p>
      <w:pPr>
        <w:pStyle w:val="872"/>
        <w:numPr>
          <w:ilvl w:val="0"/>
          <w:numId w:val="8"/>
        </w:numPr>
        <w:ind w:left="0" w:firstLine="360"/>
        <w:jc w:val="both"/>
      </w:pPr>
      <w:r>
        <w:t xml:space="preserve">В случаях, предусмотренных </w:t>
      </w:r>
      <w:hyperlink r:id="rId12" w:tooltip="http://www.consultant.ru/document/cons_doc_LAW_314830/58dfb94af2d30178f6bfdd70fad25ec5a89377cd/#dst3179" w:anchor="dst3179" w:history="1">
        <w:r>
          <w:t xml:space="preserve">пунктом 6 статьи 161</w:t>
        </w:r>
      </w:hyperlink>
      <w: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tooltip="http://www.consultant.ru/document/cons_doc_LAW_155057/09b041d2923927222ec9562644f4a984305b70d7/#dst100010" w:anchor="dst100010" w:history="1">
        <w:r>
          <w:t xml:space="preserve">обеспечивает согласование</w:t>
        </w:r>
      </w:hyperlink>
      <w:r>
        <w:t xml:space="preserve"> новых условий Контракта, в том числе цены и (или) сроков исполнения Контракта и (или) </w:t>
      </w:r>
      <w:r>
        <w:t xml:space="preserve">количества товара, объема работы или услуги, предусмотренных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объёма услуг.</w:t>
      </w:r>
      <w:r/>
    </w:p>
    <w:p>
      <w:pPr>
        <w:pStyle w:val="872"/>
        <w:numPr>
          <w:ilvl w:val="0"/>
          <w:numId w:val="8"/>
        </w:numPr>
        <w:ind w:left="0" w:firstLine="360"/>
        <w:jc w:val="both"/>
      </w:pPr>
      <w:r>
        <w:t xml:space="preserve">также в иных случаях, предусмотренных ст. 34, 95 Федерального закона № 44-ФЗ.</w:t>
      </w:r>
      <w:r/>
    </w:p>
    <w:p>
      <w:pPr>
        <w:pStyle w:val="872"/>
        <w:ind w:left="0" w:firstLine="360"/>
        <w:jc w:val="both"/>
      </w:pPr>
      <w:r/>
      <w:r/>
    </w:p>
    <w:p>
      <w:pPr>
        <w:pStyle w:val="872"/>
        <w:numPr>
          <w:ilvl w:val="0"/>
          <w:numId w:val="1"/>
        </w:numPr>
        <w:ind w:left="0" w:firstLine="360"/>
        <w:jc w:val="center"/>
        <w:rPr>
          <w:b/>
          <w:smallCaps/>
        </w:rPr>
      </w:pPr>
      <w:r>
        <w:rPr>
          <w:b/>
          <w:smallCaps/>
        </w:rPr>
        <w:t xml:space="preserve">Расторжение Контракта</w:t>
      </w:r>
      <w:r>
        <w:rPr>
          <w:b/>
          <w:smallCaps/>
        </w:rPr>
      </w:r>
      <w:r>
        <w:rPr>
          <w:b/>
          <w:smallCaps/>
        </w:rPr>
      </w:r>
    </w:p>
    <w:p>
      <w:pPr>
        <w:pStyle w:val="872"/>
        <w:numPr>
          <w:ilvl w:val="1"/>
          <w:numId w:val="1"/>
        </w:numPr>
        <w:contextualSpacing w:val="0"/>
        <w:ind w:left="0" w:firstLine="360"/>
        <w:jc w:val="both"/>
      </w:pPr>
      <w: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p>
    <w:p>
      <w:pPr>
        <w:pStyle w:val="872"/>
        <w:numPr>
          <w:ilvl w:val="1"/>
          <w:numId w:val="1"/>
        </w:numPr>
        <w:contextualSpacing w:val="0"/>
        <w:ind w:left="0" w:firstLine="360"/>
        <w:jc w:val="both"/>
      </w:pPr>
      <w:r>
        <w:t xml:space="preserve">Заказчик вправе принять решение об одностороннем отказе от исполнения </w:t>
      </w:r>
      <w:r>
        <w:t xml:space="preserve">Контракта по основаниям, порядку, предусмотренным Гражданским кодексом Российской Федерации для одностороннего отказа от исполнения отдельных видов обязательств. Кроме того, основаниями для расторжения настоящего Контракта в одностороннем порядке являются:</w:t>
      </w:r>
      <w:r/>
    </w:p>
    <w:p>
      <w:pPr>
        <w:pStyle w:val="872"/>
        <w:numPr>
          <w:ilvl w:val="0"/>
          <w:numId w:val="9"/>
        </w:numPr>
        <w:ind w:left="0" w:firstLine="360"/>
        <w:jc w:val="both"/>
      </w:pPr>
      <w:r>
        <w:t xml:space="preserve">если отступления результата услуг от условий настоящего Контракта или иные недостатки результата услуг в установленный срок не были устранены Исполнителем либо являются существенными и неустранимыми;</w:t>
      </w:r>
      <w:r/>
    </w:p>
    <w:p>
      <w:pPr>
        <w:pStyle w:val="872"/>
        <w:numPr>
          <w:ilvl w:val="0"/>
          <w:numId w:val="9"/>
        </w:numPr>
        <w:ind w:left="0" w:firstLine="360"/>
        <w:jc w:val="both"/>
      </w:pPr>
      <w:r>
        <w:t xml:space="preserve">если Исполнитель нарушил сроки оказания услуг (сроки начала и (или) окончания услуг и (или) промежуточные сроки оказания услуг) либо если во время оказания услуг стало очевидным, что они не будут осуществлены в срок.</w:t>
      </w:r>
      <w:r/>
    </w:p>
    <w:p>
      <w:pPr>
        <w:pStyle w:val="872"/>
        <w:numPr>
          <w:ilvl w:val="1"/>
          <w:numId w:val="1"/>
        </w:numPr>
        <w:contextualSpacing w:val="0"/>
        <w:ind w:left="0" w:firstLine="360"/>
        <w:jc w:val="both"/>
      </w:pPr>
      <w:r>
        <w:t xml:space="preserve">При расторжении контракта в связи с односторонним отказом стороны контракта от</w:t>
      </w:r>
      <w: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p>
    <w:p>
      <w:pPr>
        <w:pStyle w:val="872"/>
        <w:contextualSpacing w:val="0"/>
        <w:ind w:left="0" w:firstLine="360"/>
        <w:jc w:val="both"/>
      </w:pPr>
      <w:r/>
      <w:r/>
    </w:p>
    <w:p>
      <w:pPr>
        <w:pStyle w:val="872"/>
        <w:numPr>
          <w:ilvl w:val="0"/>
          <w:numId w:val="1"/>
        </w:numPr>
        <w:ind w:left="0" w:firstLine="360"/>
        <w:jc w:val="center"/>
        <w:rPr>
          <w:b/>
          <w:smallCaps/>
        </w:rPr>
      </w:pPr>
      <w:r>
        <w:rPr>
          <w:b/>
          <w:smallCaps/>
        </w:rPr>
        <w:t xml:space="preserve">Порядок разрешения споров</w:t>
      </w:r>
      <w:r>
        <w:rPr>
          <w:b/>
          <w:smallCaps/>
        </w:rPr>
      </w:r>
      <w:r>
        <w:rPr>
          <w:b/>
          <w:smallCaps/>
        </w:rPr>
      </w:r>
    </w:p>
    <w:p>
      <w:pPr>
        <w:pStyle w:val="872"/>
        <w:numPr>
          <w:ilvl w:val="1"/>
          <w:numId w:val="1"/>
        </w:numPr>
        <w:contextualSpacing w:val="0"/>
        <w:ind w:left="0" w:firstLine="360"/>
        <w:jc w:val="both"/>
      </w:pPr>
      <w:r>
        <w:t xml:space="preserve">Все споры и разногласия, которые могут возникнуть в связи с исполнением Контракта, разрешаются путём переговоров между сторонами.</w:t>
      </w:r>
      <w:r/>
    </w:p>
    <w:p>
      <w:pPr>
        <w:pStyle w:val="872"/>
        <w:numPr>
          <w:ilvl w:val="1"/>
          <w:numId w:val="1"/>
        </w:numPr>
        <w:contextualSpacing w:val="0"/>
        <w:ind w:left="0" w:firstLine="360"/>
        <w:jc w:val="both"/>
      </w:pPr>
      <w:r>
        <w:t xml:space="preserve">В случае, если споры и разногласия не будут урегулированы путем переговоров между сторонами, они подлежат разрешению в Арбитражном суде Камчатского края. </w:t>
      </w:r>
      <w:r/>
    </w:p>
    <w:p>
      <w:pPr>
        <w:pStyle w:val="872"/>
        <w:numPr>
          <w:ilvl w:val="1"/>
          <w:numId w:val="1"/>
        </w:numPr>
        <w:contextualSpacing w:val="0"/>
        <w:ind w:left="0" w:firstLine="360"/>
        <w:jc w:val="both"/>
      </w:pPr>
      <w:r>
        <w:t xml:space="preserve">До передачи спора на разрешение в судебном порядке, стороны</w:t>
      </w:r>
      <w:r>
        <w:t xml:space="preserve"> принимают меры к урегулированию его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5 (пяти) дней от даты ее надлежащего получения. </w:t>
      </w:r>
      <w:r/>
    </w:p>
    <w:p>
      <w:pPr>
        <w:pStyle w:val="872"/>
        <w:numPr>
          <w:ilvl w:val="1"/>
          <w:numId w:val="1"/>
        </w:numPr>
        <w:contextualSpacing w:val="0"/>
        <w:ind w:left="0" w:firstLine="360"/>
        <w:jc w:val="both"/>
      </w:pPr>
      <w:r>
        <w:t xml:space="preserve">В случае, если ответ по существу претензии не будет получен Стороной, направившей претензию, в течение 20 (двадцати) календарных дней со дня получения претензии другой Стороной, претензионный порядок урегулирования спора считается соблюденным.</w:t>
      </w:r>
      <w:r/>
    </w:p>
    <w:p>
      <w:pPr>
        <w:ind w:firstLine="360"/>
        <w:jc w:val="both"/>
      </w:pPr>
      <w:r/>
      <w:r/>
    </w:p>
    <w:p>
      <w:pPr>
        <w:pStyle w:val="872"/>
        <w:numPr>
          <w:ilvl w:val="0"/>
          <w:numId w:val="1"/>
        </w:numPr>
        <w:ind w:left="0" w:firstLine="360"/>
        <w:jc w:val="center"/>
        <w:rPr>
          <w:b/>
          <w:smallCaps/>
        </w:rPr>
      </w:pPr>
      <w:r>
        <w:rPr>
          <w:b/>
          <w:smallCaps/>
        </w:rPr>
        <w:t xml:space="preserve">Действие обстоятельств непреодолимой силы</w:t>
      </w:r>
      <w:r>
        <w:rPr>
          <w:b/>
          <w:smallCaps/>
        </w:rPr>
      </w:r>
      <w:r>
        <w:rPr>
          <w:b/>
          <w:smallCaps/>
        </w:rPr>
      </w:r>
    </w:p>
    <w:p>
      <w:pPr>
        <w:pStyle w:val="872"/>
        <w:numPr>
          <w:ilvl w:val="1"/>
          <w:numId w:val="1"/>
        </w:numPr>
        <w:contextualSpacing w:val="0"/>
        <w:ind w:left="0" w:firstLine="360"/>
        <w:jc w:val="both"/>
      </w:pPr>
      <w:r>
        <w:t xml:space="preserve">Стороны не несут ответственности за полное или частичное неисполнение своих обязательств по Контракту, если такое неисполнение является следствием обстоятельств непреодолимой силы, таких, как наводнение, пожар, землетрясение и другие ст</w:t>
      </w:r>
      <w:r>
        <w:t xml:space="preserve">ихийные бедствия, а также война и военные действия, введение чрезвычайного положения, или изменения законодательства, которые Стороны не могли ни предвидеть, ни предотвратить. Данный выше перечень обстоятельств непреодолимой силы не является исчерпывающим.</w:t>
      </w:r>
      <w:r/>
    </w:p>
    <w:p>
      <w:pPr>
        <w:pStyle w:val="872"/>
        <w:numPr>
          <w:ilvl w:val="1"/>
          <w:numId w:val="1"/>
        </w:numPr>
        <w:contextualSpacing w:val="0"/>
        <w:ind w:left="0" w:firstLine="360"/>
        <w:jc w:val="both"/>
      </w:pPr>
      <w:r>
        <w:t xml:space="preserve">При наступлении указанных в пункте 15.1 Контракта обстоятельств, Сторона должн</w:t>
      </w:r>
      <w:r>
        <w:t xml:space="preserve">а без промедления, но не позднее 10 календарных дней с момента их наступления, известить о них в письменной форме другую Сторону. Извещение должно содержать данные о характере обстоятельств, а также о возможности исполнения своих обязательств по Контракту.</w:t>
      </w:r>
      <w:r/>
    </w:p>
    <w:p>
      <w:pPr>
        <w:pStyle w:val="872"/>
        <w:numPr>
          <w:ilvl w:val="1"/>
          <w:numId w:val="1"/>
        </w:numPr>
        <w:contextualSpacing w:val="0"/>
        <w:ind w:left="0" w:firstLine="360"/>
        <w:jc w:val="both"/>
      </w:pPr>
      <w:r>
        <w:t xml:space="preserve">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обязательств.</w:t>
      </w:r>
      <w:r/>
    </w:p>
    <w:p>
      <w:pPr>
        <w:pStyle w:val="872"/>
        <w:numPr>
          <w:ilvl w:val="1"/>
          <w:numId w:val="1"/>
        </w:numPr>
        <w:contextualSpacing w:val="0"/>
        <w:ind w:left="0" w:firstLine="360"/>
        <w:jc w:val="both"/>
      </w:pPr>
      <w:r>
        <w:t xml:space="preserve">В случае, если обстоятельс</w:t>
      </w:r>
      <w:r>
        <w:t xml:space="preserve">тва непреодолимой силы будут длиться более двух месяцев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r/>
    </w:p>
    <w:p>
      <w:pPr>
        <w:pStyle w:val="872"/>
        <w:contextualSpacing w:val="0"/>
        <w:ind w:left="0" w:firstLine="360"/>
        <w:jc w:val="both"/>
      </w:pPr>
      <w:r/>
      <w:r/>
    </w:p>
    <w:p>
      <w:pPr>
        <w:pStyle w:val="872"/>
        <w:numPr>
          <w:ilvl w:val="0"/>
          <w:numId w:val="1"/>
        </w:numPr>
        <w:ind w:left="0" w:firstLine="360"/>
        <w:jc w:val="center"/>
        <w:rPr>
          <w:b/>
          <w:smallCaps/>
        </w:rPr>
      </w:pPr>
      <w:r>
        <w:rPr>
          <w:b/>
          <w:smallCaps/>
        </w:rPr>
        <w:t xml:space="preserve">Заключительные положения</w:t>
      </w:r>
      <w:r>
        <w:rPr>
          <w:b/>
          <w:smallCaps/>
        </w:rPr>
      </w:r>
      <w:r>
        <w:rPr>
          <w:b/>
          <w:smallCaps/>
        </w:rPr>
      </w:r>
    </w:p>
    <w:p>
      <w:pPr>
        <w:pStyle w:val="872"/>
        <w:numPr>
          <w:ilvl w:val="1"/>
          <w:numId w:val="1"/>
        </w:numPr>
        <w:contextualSpacing w:val="0"/>
        <w:ind w:left="0" w:firstLine="360"/>
        <w:jc w:val="both"/>
      </w:pPr>
      <w:r>
        <w:t xml:space="preserve">Все извещения, уведомления, требования и (или) иные соглашен</w:t>
      </w:r>
      <w:r>
        <w:t xml:space="preserve">ия между сторонами должны быть совершены в письменной форме и надлежащим образом переданы по последнему известному адресу стороны (юридическому адресу или адресу местонахождения), которой адресуется данное извещение, уведомление, требование или соглашение.</w:t>
      </w:r>
      <w:r/>
    </w:p>
    <w:p>
      <w:pPr>
        <w:pStyle w:val="872"/>
        <w:numPr>
          <w:ilvl w:val="1"/>
          <w:numId w:val="1"/>
        </w:numPr>
        <w:contextualSpacing w:val="0"/>
        <w:ind w:left="0" w:firstLine="360"/>
        <w:jc w:val="both"/>
      </w:pPr>
      <w:r>
        <w:t xml:space="preserve">При из</w:t>
      </w:r>
      <w:r>
        <w:t xml:space="preserve">менении адреса стороны обязуются извещать друг друга о таких изменениях в трёхдневный срок. В противном случае сообщения, переданные по последнему известному адресу (юридическому адресу или адресу местонахождения), считаются переданными надлежащим образом.</w:t>
      </w:r>
      <w:r/>
    </w:p>
    <w:p>
      <w:pPr>
        <w:pStyle w:val="872"/>
        <w:numPr>
          <w:ilvl w:val="1"/>
          <w:numId w:val="1"/>
        </w:numPr>
        <w:contextualSpacing w:val="0"/>
        <w:ind w:left="0" w:firstLine="360"/>
        <w:jc w:val="both"/>
      </w:pPr>
      <w:r>
        <w:t xml:space="preserve">Любое извещение, уведомление, запрос или согласие, выдача которых необходима или разрешена в связи с исполнением Контракта, оформляется в письменном виде и направляется одной стороной другой стороне заказной почтой с уведомлением, по факсу.</w:t>
      </w:r>
      <w:r/>
    </w:p>
    <w:p>
      <w:pPr>
        <w:pStyle w:val="872"/>
        <w:numPr>
          <w:ilvl w:val="1"/>
          <w:numId w:val="1"/>
        </w:numPr>
        <w:contextualSpacing w:val="0"/>
        <w:ind w:left="0" w:firstLine="360"/>
        <w:jc w:val="both"/>
      </w:pPr>
      <w:r>
        <w:t xml:space="preserve">Стороны считаются надлежаще уведомленными в следующие сроки:</w:t>
      </w:r>
      <w:r/>
    </w:p>
    <w:p>
      <w:pPr>
        <w:pStyle w:val="872"/>
        <w:numPr>
          <w:ilvl w:val="0"/>
          <w:numId w:val="10"/>
        </w:numPr>
        <w:contextualSpacing w:val="0"/>
        <w:ind w:left="0" w:firstLine="360"/>
        <w:jc w:val="both"/>
      </w:pPr>
      <w:r>
        <w:t xml:space="preserve">в случае вручения адресату лично или доставкой заказной почтой – в момент вручения (получения уведомления);</w:t>
      </w:r>
      <w:r/>
    </w:p>
    <w:p>
      <w:pPr>
        <w:pStyle w:val="872"/>
        <w:numPr>
          <w:ilvl w:val="0"/>
          <w:numId w:val="10"/>
        </w:numPr>
        <w:contextualSpacing w:val="0"/>
        <w:ind w:left="0" w:firstLine="360"/>
        <w:jc w:val="both"/>
      </w:pPr>
      <w:r>
        <w:t xml:space="preserve">в случае направления факса – спустя два часа после отправления факса с подтверждением получения.</w:t>
      </w:r>
      <w:r/>
    </w:p>
    <w:p>
      <w:pPr>
        <w:pStyle w:val="872"/>
        <w:numPr>
          <w:ilvl w:val="1"/>
          <w:numId w:val="1"/>
        </w:numPr>
        <w:contextualSpacing w:val="0"/>
        <w:ind w:left="0" w:firstLine="360"/>
        <w:jc w:val="both"/>
      </w:pPr>
      <w:r>
        <w:t xml:space="preserve">По вопросам, не урегулированным настоящим Контрактом, стороны руководствуются действующим законодательством.</w:t>
      </w:r>
      <w:r/>
    </w:p>
    <w:p>
      <w:pPr>
        <w:pStyle w:val="872"/>
        <w:numPr>
          <w:ilvl w:val="1"/>
          <w:numId w:val="1"/>
        </w:numPr>
        <w:contextualSpacing w:val="0"/>
        <w:ind w:left="0" w:firstLine="360"/>
        <w:jc w:val="both"/>
      </w:pPr>
      <w:r>
        <w:t xml:space="preserve">Приложения к Контракту составляют его неотъемлемую часть. </w:t>
      </w:r>
      <w:r/>
    </w:p>
    <w:p>
      <w:pPr>
        <w:pStyle w:val="872"/>
        <w:numPr>
          <w:ilvl w:val="1"/>
          <w:numId w:val="1"/>
        </w:numPr>
        <w:contextualSpacing w:val="0"/>
        <w:ind w:left="0" w:firstLine="360"/>
        <w:jc w:val="both"/>
      </w:pPr>
      <w:r>
        <w:t xml:space="preserve">К настоящему Контракту прилагается: </w:t>
      </w:r>
      <w:r/>
    </w:p>
    <w:p>
      <w:pPr>
        <w:pStyle w:val="872"/>
        <w:numPr>
          <w:ilvl w:val="0"/>
          <w:numId w:val="11"/>
        </w:numPr>
        <w:contextualSpacing w:val="0"/>
        <w:ind w:left="0" w:firstLine="360"/>
        <w:jc w:val="both"/>
        <w:rPr>
          <w:i/>
        </w:rPr>
      </w:pPr>
      <w:r>
        <w:rPr>
          <w:i/>
        </w:rPr>
        <w:t xml:space="preserve">Приложение № 1. Техническое задание</w:t>
      </w:r>
      <w:r>
        <w:rPr>
          <w:i/>
        </w:rPr>
      </w:r>
      <w:r>
        <w:rPr>
          <w:i/>
        </w:rPr>
      </w:r>
    </w:p>
    <w:p>
      <w:pPr>
        <w:pStyle w:val="872"/>
        <w:numPr>
          <w:ilvl w:val="0"/>
          <w:numId w:val="11"/>
        </w:numPr>
        <w:contextualSpacing w:val="0"/>
        <w:ind w:left="0" w:firstLine="360"/>
        <w:jc w:val="both"/>
        <w:rPr>
          <w:i/>
        </w:rPr>
      </w:pPr>
      <w:r>
        <w:rPr>
          <w:i/>
        </w:rPr>
        <w:t xml:space="preserve">Приложение № 2 - Примерный образец Поручения.</w:t>
      </w:r>
      <w:r>
        <w:rPr>
          <w:i/>
        </w:rPr>
      </w:r>
      <w:r>
        <w:rPr>
          <w:i/>
        </w:rPr>
      </w:r>
    </w:p>
    <w:p>
      <w:pPr>
        <w:ind w:firstLine="709"/>
      </w:pPr>
      <w:r/>
      <w:r/>
    </w:p>
    <w:p>
      <w:pPr>
        <w:pStyle w:val="872"/>
        <w:numPr>
          <w:ilvl w:val="0"/>
          <w:numId w:val="1"/>
        </w:numPr>
        <w:jc w:val="center"/>
        <w:rPr>
          <w:b/>
          <w:smallCaps/>
        </w:rPr>
      </w:pPr>
      <w:r>
        <w:rPr>
          <w:b/>
          <w:smallCaps/>
        </w:rPr>
        <w:t xml:space="preserve">Адреса и банковские реквизиты сторон</w:t>
      </w:r>
      <w:r>
        <w:rPr>
          <w:b/>
          <w:smallCaps/>
        </w:rPr>
      </w:r>
      <w:r>
        <w:rPr>
          <w:b/>
          <w:smallCaps/>
        </w:rPr>
      </w:r>
    </w:p>
    <w:tbl>
      <w:tblPr>
        <w:tblW w:w="0" w:type="auto"/>
        <w:tblInd w:w="2" w:type="dxa"/>
        <w:tblLayout w:type="fixed"/>
        <w:tblLook w:val="04A0" w:firstRow="1" w:lastRow="0" w:firstColumn="1" w:lastColumn="0" w:noHBand="0" w:noVBand="1"/>
      </w:tblPr>
      <w:tblGrid>
        <w:gridCol w:w="5242"/>
        <w:gridCol w:w="4962"/>
      </w:tblGrid>
      <w:tr>
        <w:tblPrEx/>
        <w:trPr>
          <w:trHeight w:val="353"/>
        </w:trPr>
        <w:tc>
          <w:tcPr>
            <w:tcMar>
              <w:left w:w="108" w:type="dxa"/>
              <w:top w:w="0" w:type="dxa"/>
              <w:right w:w="108" w:type="dxa"/>
              <w:bottom w:w="0" w:type="dxa"/>
            </w:tcMar>
            <w:tcW w:w="5242" w:type="dxa"/>
            <w:textDirection w:val="lrTb"/>
            <w:noWrap w:val="false"/>
          </w:tcPr>
          <w:p>
            <w:pPr>
              <w:ind w:firstLine="720"/>
              <w:jc w:val="center"/>
              <w:widowControl w:val="off"/>
              <w:rPr>
                <w:b/>
              </w:rPr>
              <w:outlineLvl w:val="1"/>
            </w:pPr>
            <w:r>
              <w:rPr>
                <w:b/>
              </w:rPr>
              <w:t xml:space="preserve">«Заказчик»</w:t>
            </w:r>
            <w:r>
              <w:rPr>
                <w:b/>
              </w:rPr>
            </w:r>
            <w:r>
              <w:rPr>
                <w:b/>
              </w:rPr>
            </w:r>
          </w:p>
        </w:tc>
        <w:tc>
          <w:tcPr>
            <w:tcMar>
              <w:left w:w="108" w:type="dxa"/>
              <w:top w:w="0" w:type="dxa"/>
              <w:right w:w="108" w:type="dxa"/>
              <w:bottom w:w="0" w:type="dxa"/>
            </w:tcMar>
            <w:tcW w:w="4962" w:type="dxa"/>
            <w:textDirection w:val="lrTb"/>
            <w:noWrap w:val="false"/>
          </w:tcPr>
          <w:p>
            <w:pPr>
              <w:ind w:firstLine="720"/>
              <w:jc w:val="center"/>
              <w:widowControl w:val="off"/>
              <w:rPr>
                <w:b/>
              </w:rPr>
              <w:outlineLvl w:val="1"/>
            </w:pPr>
            <w:r>
              <w:rPr>
                <w:b/>
              </w:rPr>
              <w:t xml:space="preserve">«Исполнитель»</w:t>
            </w:r>
            <w:r>
              <w:rPr>
                <w:b/>
              </w:rPr>
            </w:r>
            <w:r>
              <w:rPr>
                <w:b/>
              </w:rPr>
            </w:r>
          </w:p>
        </w:tc>
      </w:tr>
      <w:tr>
        <w:tblPrEx/>
        <w:trPr/>
        <w:tc>
          <w:tcPr>
            <w:tcMar>
              <w:left w:w="108" w:type="dxa"/>
              <w:top w:w="0" w:type="dxa"/>
              <w:right w:w="108" w:type="dxa"/>
              <w:bottom w:w="0" w:type="dxa"/>
            </w:tcMar>
            <w:tcW w:w="5242" w:type="dxa"/>
            <w:textDirection w:val="lrTb"/>
            <w:noWrap w:val="false"/>
          </w:tcPr>
          <w:p>
            <w:pPr>
              <w:jc w:val="both"/>
              <w:rPr>
                <w:rFonts w:ascii="Times New Roman" w:hAnsi="Times New Roman"/>
                <w:sz w:val="26"/>
              </w:rPr>
            </w:pPr>
            <w:r>
              <w:rPr>
                <w:rFonts w:ascii="Times New Roman" w:hAnsi="Times New Roman"/>
                <w:sz w:val="26"/>
              </w:rPr>
              <w:t xml:space="preserve">Территориальное управление Федерального агентства по управлению государственным имуществом в Камчатском крае</w:t>
            </w:r>
            <w:r>
              <w:rPr>
                <w:rFonts w:ascii="Times New Roman" w:hAnsi="Times New Roman"/>
                <w:sz w:val="26"/>
              </w:rPr>
            </w:r>
            <w:r>
              <w:rPr>
                <w:rFonts w:ascii="Times New Roman" w:hAnsi="Times New Roman"/>
                <w:sz w:val="26"/>
              </w:rPr>
            </w:r>
          </w:p>
          <w:p>
            <w:pPr>
              <w:jc w:val="both"/>
              <w:rPr>
                <w:rFonts w:ascii="Times New Roman" w:hAnsi="Times New Roman"/>
                <w:sz w:val="26"/>
              </w:rPr>
            </w:pPr>
            <w:r>
              <w:rPr>
                <w:rFonts w:ascii="Times New Roman" w:hAnsi="Times New Roman"/>
                <w:b/>
                <w:sz w:val="26"/>
              </w:rPr>
              <w:t xml:space="preserve">ТУ Росимущества в Камчатском крае</w:t>
            </w:r>
            <w:r>
              <w:rPr>
                <w:rFonts w:ascii="Times New Roman" w:hAnsi="Times New Roman"/>
                <w:sz w:val="26"/>
              </w:rPr>
            </w:r>
            <w:r>
              <w:rPr>
                <w:rFonts w:ascii="Times New Roman" w:hAnsi="Times New Roman"/>
                <w:sz w:val="26"/>
              </w:rPr>
            </w:r>
          </w:p>
          <w:p>
            <w:pPr>
              <w:jc w:val="both"/>
              <w:tabs>
                <w:tab w:val="left" w:pos="571" w:leader="none"/>
              </w:tabs>
              <w:rPr>
                <w:rFonts w:ascii="Times New Roman" w:hAnsi="Times New Roman"/>
                <w:sz w:val="26"/>
              </w:rPr>
            </w:pPr>
            <w:r>
              <w:rPr>
                <w:rFonts w:ascii="Times New Roman" w:hAnsi="Times New Roman"/>
                <w:spacing w:val="-3"/>
                <w:sz w:val="26"/>
              </w:rPr>
              <w:t xml:space="preserve">683000, г.</w:t>
            </w:r>
            <w:r>
              <w:rPr>
                <w:rFonts w:ascii="Times New Roman" w:hAnsi="Times New Roman"/>
                <w:color w:val="000000"/>
                <w:spacing w:val="-3"/>
                <w:sz w:val="26"/>
              </w:rPr>
              <w:t xml:space="preserve"> Петропавловск-Камчатский</w:t>
            </w:r>
            <w:r>
              <w:rPr>
                <w:rFonts w:ascii="Times New Roman" w:hAnsi="Times New Roman"/>
                <w:spacing w:val="-3"/>
                <w:sz w:val="26"/>
              </w:rPr>
              <w:t xml:space="preserve"> ул. Красинцев, д.19</w:t>
            </w:r>
            <w:r>
              <w:rPr>
                <w:rFonts w:ascii="Times New Roman" w:hAnsi="Times New Roman"/>
                <w:sz w:val="26"/>
              </w:rPr>
            </w:r>
            <w:r>
              <w:rPr>
                <w:rFonts w:ascii="Times New Roman" w:hAnsi="Times New Roman"/>
                <w:sz w:val="26"/>
              </w:rPr>
            </w:r>
          </w:p>
          <w:p>
            <w:pPr>
              <w:jc w:val="both"/>
              <w:tabs>
                <w:tab w:val="left" w:pos="571" w:leader="none"/>
              </w:tabs>
              <w:rPr>
                <w:rFonts w:ascii="Times New Roman" w:hAnsi="Times New Roman"/>
                <w:spacing w:val="-3"/>
                <w:sz w:val="26"/>
                <w:szCs w:val="26"/>
              </w:rPr>
            </w:pPr>
            <w:r>
              <w:rPr>
                <w:rFonts w:ascii="Times New Roman" w:hAnsi="Times New Roman"/>
                <w:spacing w:val="-3"/>
                <w:sz w:val="26"/>
              </w:rPr>
              <w:t xml:space="preserve">ИНН 4101133149 </w:t>
            </w:r>
            <w:r>
              <w:rPr>
                <w:rFonts w:ascii="Times New Roman" w:hAnsi="Times New Roman"/>
                <w:spacing w:val="-3"/>
                <w:sz w:val="26"/>
                <w:szCs w:val="26"/>
              </w:rPr>
            </w:r>
            <w:r>
              <w:rPr>
                <w:rFonts w:ascii="Times New Roman" w:hAnsi="Times New Roman"/>
                <w:spacing w:val="-3"/>
                <w:sz w:val="26"/>
                <w:szCs w:val="26"/>
              </w:rPr>
            </w:r>
          </w:p>
          <w:p>
            <w:pPr>
              <w:jc w:val="both"/>
              <w:tabs>
                <w:tab w:val="left" w:pos="571" w:leader="none"/>
              </w:tabs>
              <w:rPr>
                <w:rFonts w:ascii="Times New Roman" w:hAnsi="Times New Roman"/>
                <w:sz w:val="26"/>
                <w:szCs w:val="26"/>
              </w:rPr>
            </w:pPr>
            <w:r>
              <w:rPr>
                <w:rFonts w:ascii="Times New Roman" w:hAnsi="Times New Roman"/>
                <w:spacing w:val="-3"/>
                <w:sz w:val="26"/>
              </w:rPr>
              <w:t xml:space="preserve">КПП 410101001</w:t>
            </w:r>
            <w:r>
              <w:rPr>
                <w:rFonts w:ascii="Times New Roman" w:hAnsi="Times New Roman"/>
                <w:sz w:val="26"/>
                <w:szCs w:val="26"/>
              </w:rPr>
            </w:r>
            <w:r>
              <w:rPr>
                <w:rFonts w:ascii="Times New Roman" w:hAnsi="Times New Roman"/>
                <w:sz w:val="26"/>
                <w:szCs w:val="26"/>
              </w:rPr>
            </w:r>
          </w:p>
          <w:p>
            <w:pPr>
              <w:jc w:val="both"/>
              <w:tabs>
                <w:tab w:val="left" w:pos="571" w:leader="none"/>
              </w:tabs>
              <w:rPr>
                <w:rFonts w:ascii="Times New Roman" w:hAnsi="Times New Roman"/>
                <w:sz w:val="26"/>
              </w:rPr>
            </w:pPr>
            <w:r>
              <w:rPr>
                <w:rFonts w:ascii="Times New Roman" w:hAnsi="Times New Roman"/>
                <w:spacing w:val="-3"/>
                <w:sz w:val="26"/>
              </w:rPr>
              <w:t xml:space="preserve">ОГРН 1094101004865  </w:t>
            </w:r>
            <w:r>
              <w:rPr>
                <w:rFonts w:ascii="Times New Roman" w:hAnsi="Times New Roman"/>
                <w:sz w:val="26"/>
              </w:rPr>
            </w:r>
            <w:r>
              <w:rPr>
                <w:rFonts w:ascii="Times New Roman" w:hAnsi="Times New Roman"/>
                <w:sz w:val="26"/>
              </w:rPr>
            </w:r>
          </w:p>
          <w:p>
            <w:pPr>
              <w:jc w:val="both"/>
              <w:tabs>
                <w:tab w:val="left" w:pos="571" w:leader="none"/>
              </w:tabs>
              <w:rPr>
                <w:rFonts w:ascii="Times New Roman" w:hAnsi="Times New Roman"/>
                <w:sz w:val="26"/>
              </w:rPr>
            </w:pPr>
            <w:r>
              <w:rPr>
                <w:rFonts w:ascii="Times New Roman" w:hAnsi="Times New Roman"/>
                <w:sz w:val="26"/>
              </w:rPr>
              <w:t xml:space="preserve">Единый казначе</w:t>
            </w:r>
            <w:r>
              <w:rPr>
                <w:rFonts w:ascii="Times New Roman" w:hAnsi="Times New Roman"/>
                <w:sz w:val="26"/>
              </w:rPr>
              <w:t xml:space="preserve">йский счет (</w:t>
            </w:r>
            <w:r>
              <w:rPr>
                <w:rFonts w:ascii="Times New Roman" w:hAnsi="Times New Roman"/>
                <w:color w:val="000000"/>
                <w:spacing w:val="-3"/>
                <w:sz w:val="26"/>
              </w:rPr>
              <w:t xml:space="preserve">ЕКС)</w:t>
            </w:r>
            <w:r>
              <w:rPr>
                <w:rFonts w:ascii="Times New Roman" w:hAnsi="Times New Roman"/>
                <w:sz w:val="26"/>
              </w:rPr>
            </w:r>
            <w:r>
              <w:rPr>
                <w:rFonts w:ascii="Times New Roman" w:hAnsi="Times New Roman"/>
                <w:sz w:val="26"/>
              </w:rPr>
            </w:r>
          </w:p>
          <w:p>
            <w:pPr>
              <w:jc w:val="both"/>
              <w:tabs>
                <w:tab w:val="left" w:pos="571" w:leader="none"/>
              </w:tabs>
              <w:rPr>
                <w:rFonts w:ascii="Times New Roman" w:hAnsi="Times New Roman"/>
                <w:color w:val="000000"/>
                <w:spacing w:val="-3"/>
                <w:sz w:val="26"/>
                <w:szCs w:val="26"/>
              </w:rPr>
            </w:pPr>
            <w:r>
              <w:rPr>
                <w:rFonts w:ascii="Times New Roman" w:hAnsi="Times New Roman"/>
                <w:color w:val="000000"/>
                <w:spacing w:val="-3"/>
                <w:sz w:val="26"/>
              </w:rPr>
              <w:t xml:space="preserve">401 028 105 453 700 000 12  </w:t>
            </w:r>
            <w:r>
              <w:rPr>
                <w:rFonts w:ascii="Times New Roman" w:hAnsi="Times New Roman"/>
                <w:color w:val="000000"/>
                <w:spacing w:val="-3"/>
                <w:sz w:val="26"/>
                <w:szCs w:val="26"/>
              </w:rPr>
            </w:r>
            <w:r>
              <w:rPr>
                <w:rFonts w:ascii="Times New Roman" w:hAnsi="Times New Roman"/>
                <w:color w:val="000000"/>
                <w:spacing w:val="-3"/>
                <w:sz w:val="26"/>
                <w:szCs w:val="26"/>
              </w:rPr>
            </w:r>
          </w:p>
          <w:p>
            <w:pPr>
              <w:jc w:val="both"/>
              <w:tabs>
                <w:tab w:val="left" w:pos="571" w:leader="none"/>
              </w:tabs>
              <w:rPr>
                <w:rFonts w:ascii="Times New Roman" w:hAnsi="Times New Roman"/>
                <w:sz w:val="26"/>
                <w:szCs w:val="26"/>
              </w:rPr>
            </w:pPr>
            <w:r>
              <w:rPr>
                <w:rFonts w:ascii="Times New Roman" w:hAnsi="Times New Roman"/>
                <w:color w:val="000000"/>
                <w:spacing w:val="-3"/>
                <w:sz w:val="26"/>
              </w:rPr>
              <w:t xml:space="preserve">ОКЦ № 1 ДГУ БАНКА РОССИИ // УФК по Приморскому краю г. Владивосток </w:t>
            </w:r>
            <w:r>
              <w:rPr>
                <w:rFonts w:ascii="Times New Roman" w:hAnsi="Times New Roman"/>
                <w:sz w:val="26"/>
                <w:szCs w:val="26"/>
              </w:rPr>
            </w:r>
            <w:r>
              <w:rPr>
                <w:rFonts w:ascii="Times New Roman" w:hAnsi="Times New Roman"/>
                <w:sz w:val="26"/>
                <w:szCs w:val="26"/>
              </w:rPr>
            </w:r>
          </w:p>
          <w:p>
            <w:pPr>
              <w:jc w:val="both"/>
              <w:tabs>
                <w:tab w:val="left" w:pos="571" w:leader="none"/>
              </w:tabs>
              <w:rPr>
                <w:rFonts w:ascii="Times New Roman" w:hAnsi="Times New Roman"/>
                <w:sz w:val="26"/>
              </w:rPr>
            </w:pPr>
            <w:r>
              <w:rPr>
                <w:rFonts w:ascii="Times New Roman" w:hAnsi="Times New Roman"/>
                <w:color w:val="000000"/>
                <w:spacing w:val="-3"/>
                <w:sz w:val="26"/>
              </w:rPr>
              <w:t xml:space="preserve">БИК ТОФК 010507002 </w:t>
            </w:r>
            <w:r>
              <w:rPr>
                <w:rFonts w:ascii="Times New Roman" w:hAnsi="Times New Roman"/>
                <w:sz w:val="26"/>
              </w:rPr>
            </w:r>
            <w:r>
              <w:rPr>
                <w:rFonts w:ascii="Times New Roman" w:hAnsi="Times New Roman"/>
                <w:sz w:val="26"/>
              </w:rPr>
            </w:r>
          </w:p>
          <w:p>
            <w:pPr>
              <w:jc w:val="both"/>
              <w:tabs>
                <w:tab w:val="left" w:pos="571" w:leader="none"/>
              </w:tabs>
              <w:rPr>
                <w:rFonts w:ascii="Times New Roman" w:hAnsi="Times New Roman"/>
                <w:sz w:val="26"/>
              </w:rPr>
            </w:pPr>
            <w:r>
              <w:rPr>
                <w:rFonts w:ascii="Times New Roman" w:hAnsi="Times New Roman"/>
                <w:color w:val="000000"/>
                <w:spacing w:val="-3"/>
                <w:sz w:val="26"/>
              </w:rPr>
              <w:t xml:space="preserve">Казначейский счет 032 146 430 000 000 120 02</w:t>
            </w:r>
            <w:r>
              <w:rPr>
                <w:rFonts w:ascii="Times New Roman" w:hAnsi="Times New Roman"/>
                <w:sz w:val="26"/>
              </w:rPr>
            </w:r>
            <w:r>
              <w:rPr>
                <w:rFonts w:ascii="Times New Roman" w:hAnsi="Times New Roman"/>
                <w:sz w:val="26"/>
              </w:rPr>
            </w:r>
          </w:p>
          <w:p>
            <w:pPr>
              <w:jc w:val="both"/>
              <w:tabs>
                <w:tab w:val="left" w:pos="571" w:leader="none"/>
              </w:tabs>
              <w:rPr>
                <w:rFonts w:ascii="Times New Roman" w:hAnsi="Times New Roman"/>
                <w:sz w:val="26"/>
              </w:rPr>
            </w:pPr>
            <w:r>
              <w:rPr>
                <w:rFonts w:ascii="Times New Roman" w:hAnsi="Times New Roman"/>
                <w:color w:val="000000"/>
                <w:spacing w:val="-3"/>
                <w:sz w:val="26"/>
              </w:rPr>
              <w:t xml:space="preserve">(ТУ Росимущества в Камчатском крае </w:t>
            </w:r>
            <w:r>
              <w:rPr>
                <w:rFonts w:ascii="Times New Roman" w:hAnsi="Times New Roman"/>
                <w:spacing w:val="-3"/>
                <w:sz w:val="26"/>
              </w:rPr>
              <w:t xml:space="preserve">л/с 03381А23450)</w:t>
            </w:r>
            <w:r>
              <w:rPr>
                <w:rFonts w:ascii="Times New Roman" w:hAnsi="Times New Roman"/>
                <w:sz w:val="26"/>
              </w:rPr>
            </w:r>
            <w:r>
              <w:rPr>
                <w:rFonts w:ascii="Times New Roman" w:hAnsi="Times New Roman"/>
                <w:sz w:val="26"/>
              </w:rPr>
            </w:r>
          </w:p>
        </w:tc>
        <w:tc>
          <w:tcPr>
            <w:tcMar>
              <w:left w:w="108" w:type="dxa"/>
              <w:top w:w="0" w:type="dxa"/>
              <w:right w:w="108" w:type="dxa"/>
              <w:bottom w:w="0" w:type="dxa"/>
            </w:tcMar>
            <w:tcW w:w="4962" w:type="dxa"/>
            <w:textDirection w:val="lrTb"/>
            <w:noWrap w:val="false"/>
          </w:tcPr>
          <w:p>
            <w:r/>
            <w:r/>
          </w:p>
        </w:tc>
      </w:tr>
    </w:tbl>
    <w:tbl>
      <w:tblPr>
        <w:tblW w:w="0" w:type="auto"/>
        <w:tblInd w:w="75" w:type="dxa"/>
        <w:tblLayout w:type="fixed"/>
        <w:tblCellMar>
          <w:left w:w="75" w:type="dxa"/>
          <w:right w:w="75" w:type="dxa"/>
        </w:tblCellMar>
        <w:tblLook w:val="04A0" w:firstRow="1" w:lastRow="0" w:firstColumn="1" w:lastColumn="0" w:noHBand="0" w:noVBand="1"/>
      </w:tblPr>
      <w:tblGrid>
        <w:gridCol w:w="5134"/>
        <w:gridCol w:w="4996"/>
      </w:tblGrid>
      <w:tr>
        <w:tblPrEx/>
        <w:trPr>
          <w:trHeight w:val="431"/>
        </w:trPr>
        <w:tc>
          <w:tcPr>
            <w:tcMar>
              <w:left w:w="75" w:type="dxa"/>
              <w:right w:w="75" w:type="dxa"/>
            </w:tcMar>
            <w:tcW w:w="5134" w:type="dxa"/>
            <w:textDirection w:val="lrTb"/>
            <w:noWrap w:val="false"/>
          </w:tcPr>
          <w:p>
            <w:pPr>
              <w:tabs>
                <w:tab w:val="left" w:pos="600" w:leader="none"/>
              </w:tabs>
              <w:rPr>
                <w:b/>
              </w:rPr>
            </w:pPr>
            <w:r>
              <w:rPr>
                <w:b/>
              </w:rPr>
            </w:r>
            <w:r>
              <w:rPr>
                <w:b/>
              </w:rPr>
            </w:r>
            <w:r>
              <w:rPr>
                <w:b/>
              </w:rPr>
            </w:r>
          </w:p>
        </w:tc>
        <w:tc>
          <w:tcPr>
            <w:tcMar>
              <w:left w:w="75" w:type="dxa"/>
              <w:right w:w="75" w:type="dxa"/>
            </w:tcMar>
            <w:tcW w:w="4996" w:type="dxa"/>
            <w:textDirection w:val="lrTb"/>
            <w:noWrap w:val="false"/>
          </w:tcPr>
          <w:p>
            <w:pPr>
              <w:widowControl w:val="off"/>
            </w:pPr>
            <w:r/>
            <w:r/>
          </w:p>
        </w:tc>
      </w:tr>
    </w:tbl>
    <w:p>
      <w:pPr>
        <w:pStyle w:val="872"/>
        <w:numPr>
          <w:ilvl w:val="0"/>
          <w:numId w:val="1"/>
        </w:numPr>
        <w:jc w:val="center"/>
        <w:rPr>
          <w:b/>
          <w:smallCaps/>
        </w:rPr>
      </w:pPr>
      <w:r>
        <w:rPr>
          <w:b/>
          <w:smallCaps/>
        </w:rPr>
        <w:t xml:space="preserve">Подписи сторон</w:t>
      </w:r>
      <w:r>
        <w:rPr>
          <w:b/>
          <w:smallCaps/>
        </w:rPr>
      </w:r>
      <w:r>
        <w:rPr>
          <w:b/>
          <w:smallCaps/>
        </w:rPr>
      </w:r>
    </w:p>
    <w:tbl>
      <w:tblPr>
        <w:tblW w:w="0" w:type="auto"/>
        <w:tblInd w:w="108" w:type="dxa"/>
        <w:tblLayout w:type="fixed"/>
        <w:tblLook w:val="04A0" w:firstRow="1" w:lastRow="0" w:firstColumn="1" w:lastColumn="0" w:noHBand="0" w:noVBand="1"/>
      </w:tblPr>
      <w:tblGrid>
        <w:gridCol w:w="4975"/>
        <w:gridCol w:w="200"/>
        <w:gridCol w:w="3882"/>
      </w:tblGrid>
      <w:tr>
        <w:tblPrEx/>
        <w:trPr/>
        <w:tc>
          <w:tcPr>
            <w:shd w:val="clear" w:color="auto" w:fill="auto"/>
            <w:tcW w:w="4975" w:type="dxa"/>
            <w:textDirection w:val="lrTb"/>
            <w:noWrap w:val="false"/>
          </w:tcPr>
          <w:p>
            <w:pPr>
              <w:jc w:val="center"/>
              <w:tabs>
                <w:tab w:val="left" w:pos="600" w:leader="none"/>
              </w:tabs>
              <w:rPr>
                <w:b/>
              </w:rPr>
            </w:pPr>
            <w:r>
              <w:rPr>
                <w:b/>
              </w:rPr>
              <w:t xml:space="preserve">«Заказчик»</w:t>
            </w:r>
            <w:r>
              <w:rPr>
                <w:b/>
              </w:rPr>
            </w:r>
            <w:r>
              <w:rPr>
                <w:b/>
              </w:rPr>
            </w:r>
          </w:p>
        </w:tc>
        <w:tc>
          <w:tcPr>
            <w:gridSpan w:val="2"/>
            <w:shd w:val="clear" w:color="auto" w:fill="auto"/>
            <w:tcW w:w="4082" w:type="dxa"/>
            <w:textDirection w:val="lrTb"/>
            <w:noWrap w:val="false"/>
          </w:tcPr>
          <w:p>
            <w:pPr>
              <w:jc w:val="center"/>
              <w:tabs>
                <w:tab w:val="left" w:pos="600" w:leader="none"/>
              </w:tabs>
              <w:rPr>
                <w:b/>
              </w:rPr>
            </w:pPr>
            <w:r>
              <w:rPr>
                <w:b/>
              </w:rPr>
              <w:t xml:space="preserve">«Исполнитель»</w:t>
            </w:r>
            <w:r>
              <w:rPr>
                <w:b/>
              </w:rPr>
            </w:r>
            <w:r>
              <w:rPr>
                <w:b/>
              </w:rPr>
            </w:r>
          </w:p>
        </w:tc>
      </w:tr>
      <w:tr>
        <w:tblPrEx/>
        <w:trPr>
          <w:trHeight w:val="285"/>
        </w:trPr>
        <w:tc>
          <w:tcPr>
            <w:gridSpan w:val="2"/>
            <w:tcMar>
              <w:left w:w="108" w:type="dxa"/>
              <w:top w:w="0" w:type="dxa"/>
              <w:right w:w="108" w:type="dxa"/>
              <w:bottom w:w="0" w:type="dxa"/>
            </w:tcMar>
            <w:tcW w:w="5175" w:type="dxa"/>
            <w:textDirection w:val="lrTb"/>
            <w:noWrap w:val="false"/>
          </w:tcPr>
          <w:p>
            <w:pPr>
              <w:widowControl w:val="off"/>
              <w:outlineLvl w:val="1"/>
            </w:pPr>
            <w:r>
              <w:t xml:space="preserve">Врио Руководителя Управления</w:t>
            </w:r>
            <w:r/>
          </w:p>
        </w:tc>
        <w:tc>
          <w:tcPr>
            <w:tcMar>
              <w:left w:w="108" w:type="dxa"/>
              <w:top w:w="0" w:type="dxa"/>
              <w:right w:w="108" w:type="dxa"/>
              <w:bottom w:w="0" w:type="dxa"/>
            </w:tcMar>
            <w:tcW w:w="3882" w:type="dxa"/>
            <w:textDirection w:val="lrTb"/>
            <w:noWrap w:val="false"/>
          </w:tcPr>
          <w:p>
            <w:pPr>
              <w:widowControl w:val="off"/>
              <w:outlineLvl w:val="1"/>
            </w:pPr>
            <w:r>
              <w:t xml:space="preserve">Должность</w:t>
            </w:r>
            <w:r/>
          </w:p>
        </w:tc>
      </w:tr>
      <w:tr>
        <w:tblPrEx/>
        <w:trPr>
          <w:trHeight w:val="1035"/>
        </w:trPr>
        <w:tc>
          <w:tcPr>
            <w:tcMar>
              <w:left w:w="108" w:type="dxa"/>
              <w:top w:w="0" w:type="dxa"/>
              <w:right w:w="108" w:type="dxa"/>
              <w:bottom w:w="0" w:type="dxa"/>
            </w:tcMar>
            <w:tcW w:w="4975" w:type="dxa"/>
            <w:textDirection w:val="lrTb"/>
            <w:noWrap w:val="false"/>
          </w:tcPr>
          <w:p>
            <w:pPr>
              <w:widowControl w:val="off"/>
              <w:outlineLvl w:val="1"/>
            </w:pPr>
            <w:r/>
            <w:r/>
          </w:p>
          <w:p>
            <w:pPr>
              <w:widowControl w:val="off"/>
              <w:outlineLvl w:val="1"/>
            </w:pPr>
            <w:r/>
            <w:r/>
          </w:p>
          <w:p>
            <w:pPr>
              <w:widowControl w:val="off"/>
              <w:outlineLvl w:val="1"/>
            </w:pPr>
            <w:r>
              <w:t xml:space="preserve">__________________ /А.В. Миранович/</w:t>
            </w:r>
            <w:r/>
          </w:p>
        </w:tc>
        <w:tc>
          <w:tcPr>
            <w:gridSpan w:val="2"/>
            <w:tcMar>
              <w:left w:w="108" w:type="dxa"/>
              <w:top w:w="0" w:type="dxa"/>
              <w:right w:w="108" w:type="dxa"/>
              <w:bottom w:w="0" w:type="dxa"/>
            </w:tcMar>
            <w:tcW w:w="4082" w:type="dxa"/>
            <w:textDirection w:val="lrTb"/>
            <w:noWrap w:val="false"/>
          </w:tcPr>
          <w:p>
            <w:pPr>
              <w:widowControl w:val="off"/>
              <w:outlineLvl w:val="1"/>
            </w:pPr>
            <w:r/>
            <w:r/>
          </w:p>
          <w:p>
            <w:pPr>
              <w:widowControl w:val="off"/>
              <w:outlineLvl w:val="1"/>
            </w:pPr>
            <w:r/>
            <w:r/>
          </w:p>
          <w:p>
            <w:pPr>
              <w:widowControl w:val="off"/>
              <w:outlineLvl w:val="1"/>
            </w:pPr>
            <w:r>
              <w:t xml:space="preserve">_______________________ /ФИО</w:t>
            </w:r>
            <w:r/>
          </w:p>
        </w:tc>
      </w:tr>
    </w:tbl>
    <w:p>
      <w:r>
        <w:br w:type="page" w:clear="all"/>
      </w:r>
      <w:r/>
    </w:p>
    <w:tbl>
      <w:tblPr>
        <w:tblStyle w:val="938"/>
        <w:tblW w:w="0" w:type="auto"/>
        <w:tblInd w:w="6487"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718"/>
      </w:tblGrid>
      <w:tr>
        <w:tblPrEx/>
        <w:trPr/>
        <w:tc>
          <w:tcPr>
            <w:tcBorders>
              <w:top w:val="none" w:color="000000" w:sz="4" w:space="0"/>
              <w:left w:val="none" w:color="000000" w:sz="4" w:space="0"/>
              <w:bottom w:val="none" w:color="000000" w:sz="4" w:space="0"/>
              <w:right w:val="none" w:color="000000" w:sz="4" w:space="0"/>
            </w:tcBorders>
            <w:tcW w:w="3718" w:type="dxa"/>
            <w:textDirection w:val="lrTb"/>
            <w:noWrap w:val="false"/>
          </w:tcPr>
          <w:p>
            <w:pPr>
              <w:tabs>
                <w:tab w:val="left" w:pos="8520" w:leader="none"/>
              </w:tabs>
              <w:rPr>
                <w:b/>
                <w:sz w:val="20"/>
              </w:rPr>
            </w:pPr>
            <w:r>
              <w:rPr>
                <w:b/>
                <w:sz w:val="20"/>
              </w:rPr>
              <w:t xml:space="preserve">Приложение №1 к Контракту ________________</w:t>
            </w:r>
            <w:r>
              <w:rPr>
                <w:b/>
                <w:sz w:val="20"/>
              </w:rPr>
            </w:r>
            <w:r>
              <w:rPr>
                <w:b/>
                <w:sz w:val="20"/>
              </w:rPr>
            </w:r>
          </w:p>
          <w:p>
            <w:pPr>
              <w:tabs>
                <w:tab w:val="left" w:pos="8520" w:leader="none"/>
              </w:tabs>
              <w:rPr>
                <w:b/>
                <w:sz w:val="20"/>
              </w:rPr>
            </w:pPr>
            <w:r>
              <w:rPr>
                <w:b/>
                <w:sz w:val="20"/>
              </w:rPr>
              <w:t xml:space="preserve">от «___» _____ 20___ года                       № ______________________________</w:t>
            </w:r>
            <w:r>
              <w:rPr>
                <w:b/>
                <w:sz w:val="20"/>
              </w:rPr>
            </w:r>
            <w:r>
              <w:rPr>
                <w:b/>
                <w:sz w:val="20"/>
              </w:rPr>
            </w:r>
          </w:p>
        </w:tc>
      </w:tr>
    </w:tbl>
    <w:p>
      <w:pPr>
        <w:jc w:val="center"/>
        <w:tabs>
          <w:tab w:val="left" w:pos="540" w:leader="none"/>
        </w:tabs>
        <w:rPr>
          <w:b/>
          <w:highlight w:val="yellow"/>
        </w:rPr>
      </w:pPr>
      <w:r>
        <w:rPr>
          <w:b/>
          <w:highlight w:val="yellow"/>
        </w:rPr>
      </w:r>
      <w:r>
        <w:rPr>
          <w:b/>
          <w:highlight w:val="yellow"/>
        </w:rPr>
      </w:r>
      <w:r>
        <w:rPr>
          <w:b/>
          <w:highlight w:val="yellow"/>
        </w:rPr>
      </w:r>
    </w:p>
    <w:p>
      <w:pPr>
        <w:jc w:val="center"/>
        <w:tabs>
          <w:tab w:val="left" w:pos="540" w:leader="none"/>
        </w:tabs>
        <w:rPr>
          <w:b/>
          <w:highlight w:val="yellow"/>
        </w:rPr>
      </w:pPr>
      <w:r>
        <w:rPr>
          <w:b/>
          <w:highlight w:val="yellow"/>
        </w:rPr>
      </w:r>
      <w:r>
        <w:rPr>
          <w:b/>
          <w:highlight w:val="yellow"/>
        </w:rPr>
      </w:r>
      <w:r>
        <w:rPr>
          <w:b/>
          <w:highlight w:val="yellow"/>
        </w:rPr>
      </w:r>
    </w:p>
    <w:p>
      <w:pPr>
        <w:jc w:val="center"/>
        <w:rPr>
          <w:b/>
        </w:rPr>
      </w:pPr>
      <w:r>
        <w:rPr>
          <w:b/>
        </w:rPr>
        <w:t xml:space="preserve">ТЕХНИЧЕСКОЕ ЗАДАНИЕ</w:t>
      </w:r>
      <w:r>
        <w:rPr>
          <w:b/>
        </w:rPr>
      </w:r>
      <w:r>
        <w:rPr>
          <w:b/>
        </w:rPr>
      </w:r>
    </w:p>
    <w:p>
      <w:pPr>
        <w:jc w:val="both"/>
      </w:pPr>
      <w:r/>
      <w:r/>
    </w:p>
    <w:p>
      <w:pPr>
        <w:pStyle w:val="872"/>
        <w:numPr>
          <w:ilvl w:val="0"/>
          <w:numId w:val="12"/>
        </w:numPr>
        <w:jc w:val="both"/>
        <w:rPr>
          <w:b/>
        </w:rPr>
      </w:pPr>
      <w:r>
        <w:rPr>
          <w:b/>
        </w:rPr>
        <w:t xml:space="preserve">Информация об услугах</w:t>
      </w:r>
      <w:r>
        <w:rPr>
          <w:b/>
        </w:rPr>
      </w:r>
      <w:r>
        <w:rPr>
          <w:b/>
        </w:rPr>
      </w:r>
    </w:p>
    <w:p>
      <w:pPr>
        <w:jc w:val="both"/>
        <w:rPr>
          <w:sz w:val="28"/>
        </w:rPr>
      </w:pPr>
      <w:r>
        <w:rPr>
          <w:sz w:val="28"/>
        </w:rPr>
      </w:r>
      <w:r>
        <w:rPr>
          <w:sz w:val="28"/>
        </w:rPr>
      </w:r>
      <w:r>
        <w:rPr>
          <w:sz w:val="28"/>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28" w:type="dxa"/>
          <w:right w:w="28" w:type="dxa"/>
        </w:tblCellMar>
        <w:tblLook w:val="04A0" w:firstRow="1" w:lastRow="0" w:firstColumn="1" w:lastColumn="0" w:noHBand="0" w:noVBand="1"/>
      </w:tblPr>
      <w:tblGrid>
        <w:gridCol w:w="411"/>
        <w:gridCol w:w="1407"/>
        <w:gridCol w:w="3352"/>
        <w:gridCol w:w="709"/>
        <w:gridCol w:w="1062"/>
        <w:gridCol w:w="1541"/>
        <w:gridCol w:w="1721"/>
      </w:tblGrid>
      <w:tr>
        <w:tblPrEx/>
        <w:trPr/>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11" w:type="dxa"/>
            <w:vAlign w:val="center"/>
            <w:textDirection w:val="lrTb"/>
            <w:noWrap w:val="false"/>
          </w:tcPr>
          <w:p>
            <w:pPr>
              <w:jc w:val="center"/>
              <w:rPr>
                <w:b/>
              </w:rPr>
            </w:pPr>
            <w:r>
              <w:rPr>
                <w:b/>
              </w:rPr>
              <w:t xml:space="preserve">№ п/п</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407" w:type="dxa"/>
            <w:vAlign w:val="center"/>
            <w:textDirection w:val="lrTb"/>
            <w:noWrap w:val="false"/>
          </w:tcPr>
          <w:p>
            <w:pPr>
              <w:jc w:val="center"/>
              <w:rPr>
                <w:b/>
              </w:rPr>
            </w:pPr>
            <w:r>
              <w:rPr>
                <w:b/>
              </w:rPr>
              <w:t xml:space="preserve">Код позиции по ОКПД2</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3352" w:type="dxa"/>
            <w:vAlign w:val="center"/>
            <w:textDirection w:val="lrTb"/>
            <w:noWrap w:val="false"/>
          </w:tcPr>
          <w:p>
            <w:pPr>
              <w:jc w:val="center"/>
              <w:rPr>
                <w:b/>
              </w:rPr>
            </w:pPr>
            <w:r>
              <w:rPr>
                <w:b/>
              </w:rPr>
              <w:t xml:space="preserve">Наименование товара, работы, услуги</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709" w:type="dxa"/>
            <w:vAlign w:val="center"/>
            <w:textDirection w:val="lrTb"/>
            <w:noWrap w:val="false"/>
          </w:tcPr>
          <w:p>
            <w:pPr>
              <w:jc w:val="center"/>
              <w:rPr>
                <w:b/>
              </w:rPr>
            </w:pPr>
            <w:r>
              <w:rPr>
                <w:b/>
              </w:rPr>
              <w:t xml:space="preserve">Ед. изм.</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062" w:type="dxa"/>
            <w:vAlign w:val="center"/>
            <w:textDirection w:val="lrTb"/>
            <w:noWrap w:val="false"/>
          </w:tcPr>
          <w:p>
            <w:pPr>
              <w:jc w:val="center"/>
              <w:rPr>
                <w:b/>
              </w:rPr>
            </w:pPr>
            <w:r>
              <w:rPr>
                <w:b/>
              </w:rPr>
              <w:t xml:space="preserve">Кол-во</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541" w:type="dxa"/>
            <w:vAlign w:val="center"/>
            <w:textDirection w:val="lrTb"/>
            <w:noWrap w:val="false"/>
          </w:tcPr>
          <w:p>
            <w:pPr>
              <w:jc w:val="center"/>
              <w:rPr>
                <w:b/>
              </w:rPr>
            </w:pPr>
            <w:r>
              <w:rPr>
                <w:b/>
              </w:rPr>
              <w:t xml:space="preserve">Цена за ед. изм., руб.</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721" w:type="dxa"/>
            <w:vAlign w:val="center"/>
            <w:textDirection w:val="lrTb"/>
            <w:noWrap w:val="false"/>
          </w:tcPr>
          <w:p>
            <w:pPr>
              <w:jc w:val="center"/>
              <w:rPr>
                <w:b/>
              </w:rPr>
            </w:pPr>
            <w:r>
              <w:rPr>
                <w:b/>
              </w:rPr>
              <w:t xml:space="preserve">Стоимость, руб.</w:t>
            </w:r>
            <w:r>
              <w:rPr>
                <w:b/>
              </w:rPr>
            </w:r>
            <w:r>
              <w:rPr>
                <w:b/>
              </w:rPr>
            </w:r>
          </w:p>
        </w:tc>
      </w:tr>
      <w:tr>
        <w:tblPrEx/>
        <w:trPr>
          <w:trHeight w:val="2849"/>
        </w:trPr>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11" w:type="dxa"/>
            <w:vAlign w:val="center"/>
            <w:textDirection w:val="lrTb"/>
            <w:noWrap w:val="false"/>
          </w:tcPr>
          <w:p>
            <w:pPr>
              <w:jc w:val="center"/>
              <w:rPr>
                <w:b/>
              </w:rPr>
            </w:pPr>
            <w:r>
              <w:rPr>
                <w:b/>
              </w:rPr>
              <w:t xml:space="preserve">1</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407" w:type="dxa"/>
            <w:vAlign w:val="center"/>
            <w:textDirection w:val="lrTb"/>
            <w:noWrap w:val="false"/>
          </w:tcPr>
          <w:p>
            <w:pPr>
              <w:jc w:val="center"/>
              <w:rPr>
                <w:b/>
                <w:sz w:val="22"/>
              </w:rPr>
            </w:pPr>
            <w:r>
              <w:rPr>
                <w:b/>
                <w:sz w:val="22"/>
              </w:rPr>
              <w:t xml:space="preserve">52.10.11.000</w:t>
            </w:r>
            <w:r>
              <w:rPr>
                <w:b/>
                <w:sz w:val="22"/>
              </w:rPr>
            </w:r>
            <w:r>
              <w:rPr>
                <w:b/>
                <w:sz w:val="22"/>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3352" w:type="dxa"/>
            <w:vAlign w:val="center"/>
            <w:textDirection w:val="lrTb"/>
            <w:noWrap w:val="false"/>
          </w:tcPr>
          <w:p>
            <w:pPr>
              <w:jc w:val="center"/>
              <w:keepLines/>
              <w:keepNext/>
              <w:rPr>
                <w:b/>
              </w:rPr>
            </w:pPr>
            <w:r>
              <w:rPr>
                <w:b/>
              </w:rPr>
              <w:t xml:space="preserve">Оказание услуг по хранению имущества обращенного в собственность государства биологического происхождения (водных биологических ресурсов и продуктов их переработки)</w:t>
            </w:r>
            <w:r>
              <w:rPr>
                <w:b/>
              </w:rPr>
            </w:r>
            <w:r>
              <w:rPr>
                <w:b/>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709" w:type="dxa"/>
            <w:vAlign w:val="center"/>
            <w:textDirection w:val="lrTb"/>
            <w:noWrap w:val="false"/>
          </w:tcPr>
          <w:p>
            <w:pPr>
              <w:jc w:val="center"/>
              <w:rPr>
                <w:b/>
                <w:sz w:val="22"/>
              </w:rPr>
            </w:pPr>
            <w:r>
              <w:rPr>
                <w:b/>
                <w:sz w:val="22"/>
              </w:rPr>
              <w:t xml:space="preserve">Тонна в сутки</w:t>
            </w:r>
            <w:r>
              <w:rPr>
                <w:b/>
                <w:sz w:val="22"/>
              </w:rPr>
            </w:r>
            <w:r>
              <w:rPr>
                <w:b/>
                <w:sz w:val="22"/>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062" w:type="dxa"/>
            <w:vAlign w:val="center"/>
            <w:textDirection w:val="lrTb"/>
            <w:noWrap w:val="false"/>
          </w:tcPr>
          <w:p>
            <w:pPr>
              <w:jc w:val="center"/>
              <w:rPr>
                <w:b/>
                <w:sz w:val="22"/>
              </w:rPr>
            </w:pPr>
            <w:r>
              <w:rPr>
                <w:b/>
                <w:sz w:val="22"/>
              </w:rPr>
              <w:t xml:space="preserve">83,848г</w:t>
            </w:r>
            <w:r>
              <w:rPr>
                <w:b/>
                <w:sz w:val="22"/>
              </w:rPr>
            </w:r>
            <w:r>
              <w:rPr>
                <w:b/>
                <w:sz w:val="22"/>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541" w:type="dxa"/>
            <w:vAlign w:val="center"/>
            <w:textDirection w:val="lrTb"/>
            <w:noWrap w:val="false"/>
          </w:tcPr>
          <w:p>
            <w:pPr>
              <w:jc w:val="center"/>
              <w:rPr>
                <w:b/>
                <w:sz w:val="22"/>
              </w:rPr>
            </w:pPr>
            <w:r>
              <w:rPr>
                <w:b/>
                <w:sz w:val="22"/>
              </w:rPr>
              <w:t xml:space="preserve">126,66</w:t>
            </w:r>
            <w:r>
              <w:rPr>
                <w:b/>
                <w:sz w:val="22"/>
              </w:rPr>
            </w:r>
            <w:r>
              <w:rPr>
                <w:b/>
                <w:sz w:val="22"/>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721" w:type="dxa"/>
            <w:vAlign w:val="center"/>
            <w:textDirection w:val="lrTb"/>
            <w:noWrap w:val="false"/>
          </w:tcPr>
          <w:p>
            <w:pPr>
              <w:jc w:val="center"/>
              <w:rPr>
                <w:b/>
              </w:rPr>
            </w:pPr>
            <w:r>
              <w:rPr>
                <w:b/>
              </w:rPr>
              <w:t xml:space="preserve">83,848*126,66*30</w:t>
            </w:r>
            <w:r>
              <w:rPr>
                <w:b/>
              </w:rPr>
            </w:r>
            <w:r>
              <w:rPr>
                <w:b/>
              </w:rPr>
            </w:r>
          </w:p>
          <w:p>
            <w:pPr>
              <w:jc w:val="center"/>
              <w:rPr>
                <w:b/>
                <w:color w:val="423e44"/>
              </w:rPr>
            </w:pPr>
            <w:r>
              <w:rPr>
                <w:b/>
                <w:color w:val="423e44"/>
              </w:rPr>
            </w:r>
            <w:r>
              <w:rPr>
                <w:b/>
                <w:color w:val="423e44"/>
              </w:rPr>
            </w:r>
            <w:r>
              <w:rPr>
                <w:b/>
                <w:color w:val="423e44"/>
              </w:rPr>
            </w:r>
          </w:p>
        </w:tc>
      </w:tr>
      <w:tr>
        <w:tblPrEx/>
        <w:trPr>
          <w:trHeight w:val="585"/>
        </w:trPr>
        <w:tc>
          <w:tcPr>
            <w:gridSpan w:val="6"/>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8482" w:type="dxa"/>
            <w:vAlign w:val="center"/>
            <w:textDirection w:val="lrTb"/>
            <w:noWrap w:val="false"/>
          </w:tcPr>
          <w:p>
            <w:pPr>
              <w:jc w:val="right"/>
              <w:rPr>
                <w:b/>
                <w:sz w:val="22"/>
              </w:rPr>
            </w:pPr>
            <w:r>
              <w:rPr>
                <w:b/>
                <w:sz w:val="22"/>
              </w:rPr>
              <w:t xml:space="preserve">Итого:</w:t>
            </w:r>
            <w:r>
              <w:rPr>
                <w:b/>
                <w:sz w:val="22"/>
              </w:rPr>
            </w:r>
            <w:r>
              <w:rPr>
                <w:b/>
                <w:sz w:val="22"/>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1721" w:type="dxa"/>
            <w:vAlign w:val="center"/>
            <w:textDirection w:val="lrTb"/>
            <w:noWrap w:val="false"/>
          </w:tcPr>
          <w:p>
            <w:pPr>
              <w:jc w:val="center"/>
              <w:rPr>
                <w:b/>
                <w:sz w:val="22"/>
              </w:rPr>
            </w:pPr>
            <w:r>
              <w:rPr>
                <w:b/>
                <w:sz w:val="22"/>
              </w:rPr>
              <w:t xml:space="preserve">318 605,63</w:t>
            </w:r>
            <w:r>
              <w:rPr>
                <w:b/>
                <w:sz w:val="22"/>
              </w:rPr>
            </w:r>
            <w:r>
              <w:rPr>
                <w:b/>
                <w:sz w:val="22"/>
              </w:rPr>
            </w:r>
          </w:p>
        </w:tc>
      </w:tr>
    </w:tbl>
    <w:p>
      <w:pPr>
        <w:jc w:val="both"/>
        <w:rPr>
          <w:sz w:val="4"/>
        </w:rPr>
      </w:pPr>
      <w:r>
        <w:rPr>
          <w:sz w:val="4"/>
        </w:rPr>
      </w:r>
      <w:r>
        <w:rPr>
          <w:sz w:val="4"/>
        </w:rPr>
      </w:r>
      <w:r>
        <w:rPr>
          <w:sz w:val="4"/>
        </w:rPr>
      </w:r>
    </w:p>
    <w:p>
      <w:pPr>
        <w:jc w:val="center"/>
        <w:rPr>
          <w:b/>
        </w:rPr>
      </w:pPr>
      <w:r>
        <w:rPr>
          <w:b/>
        </w:rPr>
      </w:r>
      <w:r>
        <w:rPr>
          <w:b/>
        </w:rPr>
      </w:r>
      <w:r>
        <w:rPr>
          <w:b/>
        </w:rPr>
      </w:r>
    </w:p>
    <w:p>
      <w:pPr>
        <w:numPr>
          <w:ilvl w:val="0"/>
          <w:numId w:val="12"/>
        </w:numPr>
        <w:contextualSpacing/>
        <w:jc w:val="both"/>
        <w:rPr>
          <w:b/>
        </w:rPr>
      </w:pPr>
      <w:r>
        <w:rPr>
          <w:b/>
        </w:rPr>
        <w:t xml:space="preserve">Описание объекта закупки</w:t>
      </w:r>
      <w:r>
        <w:rPr>
          <w:b/>
        </w:rPr>
      </w:r>
      <w:r>
        <w:rPr>
          <w:b/>
        </w:rPr>
      </w:r>
    </w:p>
    <w:p>
      <w:pPr>
        <w:numPr>
          <w:ilvl w:val="1"/>
          <w:numId w:val="12"/>
        </w:numPr>
        <w:contextualSpacing/>
        <w:jc w:val="both"/>
      </w:pPr>
      <w:r>
        <w:t xml:space="preserve">Объём конфискованного,</w:t>
      </w:r>
      <w:r>
        <w:t xml:space="preserve"> иного изъятого и обращенного в собственность государства имущества (биологического происхождения, водных биологических ресурсов и продуктов их переработки), подлежащего хранению: максимально возможный объем находящего на хранении имущества </w:t>
      </w:r>
      <w:r>
        <w:rPr>
          <w:b/>
          <w:sz w:val="22"/>
        </w:rPr>
        <w:t xml:space="preserve">83,848 </w:t>
      </w:r>
      <w:r/>
      <w:r>
        <w:t xml:space="preserve">тонн в сутки</w:t>
      </w:r>
      <w:r>
        <w:rPr>
          <w:b/>
        </w:rPr>
        <w:t xml:space="preserve">.</w:t>
      </w:r>
      <w:r/>
    </w:p>
    <w:p>
      <w:pPr>
        <w:numPr>
          <w:ilvl w:val="1"/>
          <w:numId w:val="12"/>
        </w:numPr>
        <w:contextualSpacing/>
        <w:jc w:val="both"/>
      </w:pPr>
      <w:r>
        <w:t xml:space="preserve">Цель</w:t>
      </w:r>
      <w:r>
        <w:rPr>
          <w:b/>
        </w:rPr>
        <w:t xml:space="preserve">: </w:t>
      </w:r>
      <w:r>
        <w:t xml:space="preserve">государственные нужды.</w:t>
      </w:r>
      <w:r/>
    </w:p>
    <w:p>
      <w:pPr>
        <w:numPr>
          <w:ilvl w:val="1"/>
          <w:numId w:val="12"/>
        </w:numPr>
        <w:contextualSpacing/>
        <w:jc w:val="both"/>
      </w:pPr>
      <w:r>
        <w:t xml:space="preserve">Сроки оказания услуг:</w:t>
      </w:r>
      <w:r>
        <w:t xml:space="preserve"> с 01 сентября 2026 г. по 30 сентября 2026 г. (включительно) </w:t>
      </w:r>
      <w:r/>
      <w:r/>
    </w:p>
    <w:p>
      <w:pPr>
        <w:numPr>
          <w:ilvl w:val="1"/>
          <w:numId w:val="13"/>
        </w:numPr>
        <w:contextualSpacing/>
        <w:jc w:val="both"/>
      </w:pPr>
      <w:r>
        <w:t xml:space="preserve">Место оказания услуг: по месту нахождения производственных мощностей (холодильных камер) Исполнителя, расположенных на территории г. Петропавловска-Камчатского.</w:t>
      </w:r>
      <w:r/>
    </w:p>
    <w:p>
      <w:pPr>
        <w:numPr>
          <w:ilvl w:val="1"/>
          <w:numId w:val="13"/>
        </w:numPr>
        <w:contextualSpacing/>
        <w:jc w:val="both"/>
      </w:pPr>
      <w:r>
        <w:t xml:space="preserve">Условия оказания услуг: </w:t>
      </w:r>
      <w:r/>
    </w:p>
    <w:p>
      <w:pPr>
        <w:numPr>
          <w:ilvl w:val="0"/>
          <w:numId w:val="14"/>
        </w:numPr>
        <w:contextualSpacing/>
        <w:jc w:val="both"/>
      </w:pPr>
      <w:r>
        <w:t xml:space="preserve">Услуги должны оказываться с соблюдением </w:t>
      </w:r>
      <w:r>
        <w:t xml:space="preserve">требований действующего законодательства Российской Федерации, установленного к оказанию услуг, являющихся объектом закупки, в том числе о санитарно-эпидемиологическом благополучии населения, об охране окружающей природной среды, а также условий контракта.</w:t>
      </w:r>
      <w:r/>
    </w:p>
    <w:p>
      <w:pPr>
        <w:numPr>
          <w:ilvl w:val="0"/>
          <w:numId w:val="14"/>
        </w:numPr>
        <w:contextualSpacing/>
        <w:jc w:val="both"/>
      </w:pPr>
      <w:r>
        <w:t xml:space="preserve">Прием имущества биологического происхождения, водных биологических ресурсов и продуктов их переработки (далее – имущество) по месту нахождения имущества, вида и количества, определенных в поручении Заказчика.</w:t>
      </w:r>
      <w:r/>
    </w:p>
    <w:p>
      <w:pPr>
        <w:numPr>
          <w:ilvl w:val="0"/>
          <w:numId w:val="14"/>
        </w:numPr>
      </w:pPr>
      <w:r>
        <w:t xml:space="preserve">Осуществлять передачу (выдачу) переданного на хранение имущества представителям Заказчика только по его письменному указанию в теч</w:t>
      </w:r>
      <w:r>
        <w:t xml:space="preserve">ение 5 рабочих дней после дня получения письменного поручения заказчика о передаче имущества лицу, указанному в таком поручении, либо его представителю, в том числе по истечении срока действия государственного контракта, передачу имущества указанным лицам;</w:t>
      </w:r>
      <w:r/>
    </w:p>
    <w:p>
      <w:pPr>
        <w:numPr>
          <w:ilvl w:val="0"/>
          <w:numId w:val="14"/>
        </w:numPr>
        <w:contextualSpacing/>
        <w:jc w:val="both"/>
      </w:pPr>
      <w:r>
        <w:t xml:space="preserve">Осуществлять фотосъемку поступающего на хранение имущества в момент его приема, в том числе его упаковку, индивидуальные признаки и параметры, а также видимые </w:t>
      </w:r>
      <w:r>
        <w:t xml:space="preserve">дефекты (недостатки качества) (при наличии). Фотоматериалы должны позволить отличить такое имущество от иных, в том числе подобных, предметов;</w:t>
      </w:r>
      <w:r/>
    </w:p>
    <w:p>
      <w:pPr>
        <w:numPr>
          <w:ilvl w:val="0"/>
          <w:numId w:val="14"/>
        </w:numPr>
      </w:pPr>
      <w:r>
        <w:t xml:space="preserve">Размещать имущество на хранение, исходя из его потребительских сво</w:t>
      </w:r>
      <w:r>
        <w:t xml:space="preserve">йств и признаков в соответствии с требованиями, установленными техническими регламентами и (или) государственными стандартами. Исключать хранение имущества в условиях, способных привести к его утрате, ухудшению потребительских свойств и иных характеристик;</w:t>
      </w:r>
      <w:r/>
    </w:p>
    <w:p>
      <w:pPr>
        <w:pStyle w:val="922"/>
        <w:numPr>
          <w:ilvl w:val="0"/>
          <w:numId w:val="14"/>
        </w:numPr>
        <w:jc w:val="both"/>
        <w:spacing w:after="0" w:line="240" w:lineRule="auto"/>
        <w:rPr>
          <w:rFonts w:ascii="Times New Roman" w:hAnsi="Times New Roman"/>
        </w:rPr>
      </w:pPr>
      <w:r>
        <w:rPr>
          <w:rFonts w:ascii="Times New Roman" w:hAnsi="Times New Roman"/>
        </w:rPr>
        <w:t xml:space="preserve">Транспортировка имущества, в том числе, к месту уничтожения (утилизации, переработки). </w:t>
      </w:r>
      <w:r>
        <w:rPr>
          <w:rFonts w:ascii="Times New Roman" w:hAnsi="Times New Roman"/>
        </w:rPr>
      </w:r>
      <w:r>
        <w:rPr>
          <w:rFonts w:ascii="Times New Roman" w:hAnsi="Times New Roman"/>
        </w:rPr>
      </w:r>
    </w:p>
    <w:p>
      <w:pPr>
        <w:pStyle w:val="922"/>
        <w:numPr>
          <w:ilvl w:val="0"/>
          <w:numId w:val="14"/>
        </w:numPr>
        <w:jc w:val="both"/>
        <w:spacing w:after="0" w:line="240" w:lineRule="auto"/>
        <w:rPr>
          <w:rFonts w:ascii="Times New Roman" w:hAnsi="Times New Roman"/>
        </w:rPr>
      </w:pPr>
      <w:r>
        <w:rPr>
          <w:rFonts w:ascii="Times New Roman" w:hAnsi="Times New Roman"/>
        </w:rPr>
        <w:t xml:space="preserve">Наличие круглосуточной охраны складских помещений (холодильных камер).</w:t>
      </w:r>
      <w:r>
        <w:rPr>
          <w:rFonts w:ascii="Times New Roman" w:hAnsi="Times New Roman"/>
        </w:rPr>
      </w:r>
      <w:r>
        <w:rPr>
          <w:rFonts w:ascii="Times New Roman" w:hAnsi="Times New Roman"/>
        </w:rPr>
      </w:r>
    </w:p>
    <w:p>
      <w:pPr>
        <w:pStyle w:val="922"/>
        <w:numPr>
          <w:ilvl w:val="0"/>
          <w:numId w:val="14"/>
        </w:numPr>
        <w:jc w:val="both"/>
        <w:spacing w:after="0" w:line="240" w:lineRule="auto"/>
        <w:rPr>
          <w:rFonts w:ascii="Times New Roman" w:hAnsi="Times New Roman"/>
          <w:b/>
        </w:rPr>
      </w:pPr>
      <w:r>
        <w:rPr>
          <w:rFonts w:ascii="Times New Roman" w:hAnsi="Times New Roman"/>
        </w:rPr>
        <w:t xml:space="preserve">Обеспечение сохранности принятого имущества (с момента приема до момента передачи уполномоченному лицу Заказчика).</w:t>
      </w:r>
      <w:r>
        <w:rPr>
          <w:rFonts w:ascii="Times New Roman" w:hAnsi="Times New Roman"/>
          <w:b/>
        </w:rPr>
      </w:r>
      <w:r>
        <w:rPr>
          <w:rFonts w:ascii="Times New Roman" w:hAnsi="Times New Roman"/>
          <w:b/>
        </w:rPr>
      </w:r>
    </w:p>
    <w:p>
      <w:pPr>
        <w:numPr>
          <w:ilvl w:val="0"/>
          <w:numId w:val="14"/>
        </w:numPr>
        <w:contextualSpacing/>
        <w:jc w:val="both"/>
      </w:pPr>
      <w:r>
        <w:t xml:space="preserve">Обеспечение возможности подъезда для грузового транспорта и погрузочных механизмов.</w:t>
      </w:r>
      <w:r/>
    </w:p>
    <w:p>
      <w:pPr>
        <w:numPr>
          <w:ilvl w:val="0"/>
          <w:numId w:val="14"/>
        </w:numPr>
        <w:contextualSpacing/>
        <w:jc w:val="both"/>
      </w:pPr>
      <w:r>
        <w:t xml:space="preserve">Обеспечени</w:t>
      </w:r>
      <w:r>
        <w:t xml:space="preserve">е доступа представителей Заказчика, а также по его письменному указанию иным лицам, имеющим законные основания для проведения осмотра имущества, взятию проб и образцов, в соответствии с утвержденными методиками для проведения экспертизы и оценки имущества.</w:t>
      </w:r>
      <w:r/>
    </w:p>
    <w:p>
      <w:pPr>
        <w:numPr>
          <w:ilvl w:val="0"/>
          <w:numId w:val="14"/>
        </w:numPr>
        <w:contextualSpacing/>
        <w:jc w:val="both"/>
      </w:pPr>
      <w:r>
        <w:t xml:space="preserve">Предоставление всей необходимой документации по требованию Заказчика. </w:t>
      </w:r>
      <w:r/>
    </w:p>
    <w:p>
      <w:pPr>
        <w:numPr>
          <w:ilvl w:val="0"/>
          <w:numId w:val="14"/>
        </w:numPr>
        <w:contextualSpacing/>
        <w:jc w:val="both"/>
      </w:pPr>
      <w:r>
        <w:t xml:space="preserve">Осуществление передачи (выдачи) переданного на хранение имущества представителям Заказчика только по его письменному указанию. </w:t>
      </w:r>
      <w:r/>
    </w:p>
    <w:p>
      <w:pPr>
        <w:numPr>
          <w:ilvl w:val="0"/>
          <w:numId w:val="14"/>
        </w:numPr>
        <w:contextualSpacing/>
        <w:jc w:val="both"/>
      </w:pPr>
      <w:r>
        <w:t xml:space="preserve">Организация круглосуточного приема имущества.</w:t>
      </w:r>
      <w:r/>
    </w:p>
    <w:p>
      <w:pPr>
        <w:numPr>
          <w:ilvl w:val="0"/>
          <w:numId w:val="14"/>
        </w:numPr>
        <w:contextualSpacing/>
        <w:jc w:val="both"/>
      </w:pPr>
      <w:r>
        <w:t xml:space="preserve">Выполнение погрузо-разгрузочных работ при приеме имущества, а также его размещении на хранение и выдаче.</w:t>
      </w:r>
      <w:r/>
    </w:p>
    <w:p>
      <w:pPr>
        <w:numPr>
          <w:ilvl w:val="0"/>
          <w:numId w:val="14"/>
        </w:numPr>
        <w:ind w:left="0" w:firstLine="425"/>
        <w:jc w:val="both"/>
      </w:pPr>
      <w:r>
        <w:t xml:space="preserve">Произвести при получении имущества его пересчет (перевес) в соответствии с указанными в акте приема - передачи единицами измерения, а также определить его объем (в кубических метрах с точностью не менее одной десятой) с уче</w:t>
      </w:r>
      <w:r>
        <w:t xml:space="preserve">том упаковки. В случаях если имущество поступает в закрытой таре и (или) упаковке, осуществлять их вскрытие при приеме имущества на хранение. В акте приема-передачи помимо указанных единиц измерения отражать объем принятого имущества (в кубических метрах);</w:t>
      </w:r>
      <w:r/>
    </w:p>
    <w:p>
      <w:pPr>
        <w:numPr>
          <w:ilvl w:val="0"/>
          <w:numId w:val="14"/>
        </w:numPr>
        <w:contextualSpacing/>
        <w:jc w:val="both"/>
      </w:pPr>
      <w:r>
        <w:t xml:space="preserve">Оформление и предоставление Заказчику приемопередаточных документов (актов приема-передачи и т.п.), и иных необходимых документов в сроки, установленные контрактом.</w:t>
      </w:r>
      <w:r/>
    </w:p>
    <w:p>
      <w:pPr>
        <w:numPr>
          <w:ilvl w:val="0"/>
          <w:numId w:val="14"/>
        </w:numPr>
        <w:contextualSpacing/>
        <w:jc w:val="both"/>
      </w:pPr>
      <w:r>
        <w:t xml:space="preserve">Передача имущества от имени и по письменному указанию Заказчика осуществляется в сроки, указанные в поручении Заказчика.</w:t>
      </w:r>
      <w:r/>
    </w:p>
    <w:p>
      <w:pPr>
        <w:numPr>
          <w:ilvl w:val="0"/>
          <w:numId w:val="14"/>
        </w:numPr>
        <w:contextualSpacing/>
        <w:jc w:val="both"/>
      </w:pPr>
      <w:r>
        <w:t xml:space="preserve">При передаче (выдаче) имущества отражать в акта приема-передачи данные о наименовании и количестве (объеме) имущества.</w:t>
      </w:r>
      <w:r/>
    </w:p>
    <w:p>
      <w:pPr>
        <w:numPr>
          <w:ilvl w:val="0"/>
          <w:numId w:val="14"/>
        </w:numPr>
        <w:contextualSpacing/>
        <w:jc w:val="both"/>
      </w:pPr>
      <w:r>
        <w:t xml:space="preserve">Ведение складского и бухгалтерского учета в порядке, установленном законодательством Российской Федерации.</w:t>
      </w:r>
      <w:r/>
    </w:p>
    <w:p>
      <w:pPr>
        <w:contextualSpacing/>
        <w:ind w:left="1146"/>
        <w:jc w:val="both"/>
      </w:pPr>
      <w:r/>
      <w:r/>
    </w:p>
    <w:p>
      <w:pPr>
        <w:numPr>
          <w:ilvl w:val="1"/>
          <w:numId w:val="13"/>
        </w:numPr>
        <w:contextualSpacing/>
        <w:jc w:val="both"/>
      </w:pPr>
      <w:r>
        <w:t xml:space="preserve">Условия хранения имущества:</w:t>
      </w:r>
      <w:r/>
    </w:p>
    <w:p>
      <w:pPr>
        <w:numPr>
          <w:ilvl w:val="0"/>
          <w:numId w:val="14"/>
        </w:numPr>
        <w:contextualSpacing/>
        <w:jc w:val="both"/>
      </w:pPr>
      <w:r>
        <w:t xml:space="preserve"> Для оказания услуг по хранению имущества необходимо наличие (на законном основании) производственных мощностей - складских помещений (холодильных камер), позволяющих обеспечить раздельное хранение охлажденного, подмороженного и замороженного имущества.</w:t>
      </w:r>
      <w:r/>
    </w:p>
    <w:p>
      <w:pPr>
        <w:numPr>
          <w:ilvl w:val="0"/>
          <w:numId w:val="14"/>
        </w:numPr>
        <w:contextualSpacing/>
        <w:jc w:val="both"/>
      </w:pPr>
      <w:r>
        <w:t xml:space="preserve">Температурный режим хранения охлажденного имущества- при температуре воздуха на 0,5-2°С выше </w:t>
      </w:r>
      <w:r>
        <w:t xml:space="preserve">криоскопической</w:t>
      </w:r>
      <w:r>
        <w:t xml:space="preserve">; относительной влажности 85-90%; скорости движения воздуха - 0,1–0,2 м/с. </w:t>
      </w:r>
      <w:r/>
    </w:p>
    <w:p>
      <w:pPr>
        <w:numPr>
          <w:ilvl w:val="0"/>
          <w:numId w:val="14"/>
        </w:numPr>
        <w:contextualSpacing/>
        <w:jc w:val="both"/>
      </w:pPr>
      <w:r>
        <w:t xml:space="preserve">Способ хранения устанавливается в зависимости от вида, характе</w:t>
      </w:r>
      <w:r>
        <w:t xml:space="preserve">ра и наличия упаковки, укладывать имущество неполными штабелями (с учетом нагрузки на 1 м2 камеры) с прокладкой реек между рядами, подвешиванием на крючьях подвесных путей или раскладки на стеллажах для обеспечения свободной циркуляции воздуха вокруг него.</w:t>
      </w:r>
      <w:r/>
    </w:p>
    <w:p>
      <w:pPr>
        <w:numPr>
          <w:ilvl w:val="0"/>
          <w:numId w:val="14"/>
        </w:numPr>
        <w:contextualSpacing/>
        <w:jc w:val="both"/>
      </w:pPr>
      <w:r>
        <w:t xml:space="preserve">Температурный режим для хранения подмороженного имущества - при температуре воздуха на 1-2°С ниже </w:t>
      </w:r>
      <w:r>
        <w:t xml:space="preserve">криоскопической</w:t>
      </w:r>
      <w:r>
        <w:t xml:space="preserve">, относительной влажности 92-95% и скорости движения воздуха 0,1–0,2 м/с. </w:t>
      </w:r>
      <w:r/>
    </w:p>
    <w:p>
      <w:pPr>
        <w:numPr>
          <w:ilvl w:val="0"/>
          <w:numId w:val="14"/>
        </w:numPr>
        <w:contextualSpacing/>
        <w:jc w:val="both"/>
      </w:pPr>
      <w:r>
        <w:t xml:space="preserve"> Режим хранения замороженных продуктов – в зависимости от вида продукта, его упаковки, а также требуемого срока хранения, </w:t>
      </w:r>
      <w:r>
        <w:t xml:space="preserve">при температуре</w:t>
      </w:r>
      <w:r>
        <w:t xml:space="preserve"> не превышающей −18°С и относительной влажности воздуха 100%. </w:t>
      </w:r>
      <w:r/>
    </w:p>
    <w:p>
      <w:pPr>
        <w:numPr>
          <w:ilvl w:val="0"/>
          <w:numId w:val="14"/>
        </w:numPr>
        <w:contextualSpacing/>
        <w:jc w:val="both"/>
      </w:pPr>
      <w:r>
        <w:t xml:space="preserve">Способ укладки замороженных продуктов - плотными рядами (штабелями) для исключения возможности циркуляции воздуха внутри штабеля. </w:t>
      </w:r>
      <w:r/>
    </w:p>
    <w:p>
      <w:pPr>
        <w:numPr>
          <w:ilvl w:val="0"/>
          <w:numId w:val="14"/>
        </w:numPr>
        <w:contextualSpacing/>
        <w:jc w:val="both"/>
      </w:pPr>
      <w:r>
        <w:t xml:space="preserve">Способы загрузка камеры хранения – в одной камере должны размещаться однородные продукты, с одинаковым температурным режимом, а также одинаковым сроком хранения.</w:t>
      </w:r>
      <w:r/>
    </w:p>
    <w:p>
      <w:pPr>
        <w:ind w:firstLine="426"/>
      </w:pPr>
      <w:r>
        <w:t xml:space="preserve"> </w:t>
      </w:r>
      <w:r/>
    </w:p>
    <w:p>
      <w:pPr>
        <w:spacing w:after="160" w:line="264" w:lineRule="auto"/>
        <w:rPr>
          <w:sz w:val="26"/>
        </w:rPr>
      </w:pPr>
      <w:r>
        <w:rPr>
          <w:sz w:val="26"/>
        </w:rPr>
        <w:br w:type="page" w:clear="all"/>
      </w:r>
      <w:r>
        <w:rPr>
          <w:sz w:val="26"/>
        </w:rPr>
      </w:r>
      <w:r>
        <w:rPr>
          <w:sz w:val="26"/>
        </w:rPr>
      </w:r>
    </w:p>
    <w:tbl>
      <w:tblPr>
        <w:tblStyle w:val="938"/>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760"/>
        <w:gridCol w:w="2760"/>
        <w:gridCol w:w="4685"/>
      </w:tblGrid>
      <w:tr>
        <w:tblPrEx/>
        <w:trPr/>
        <w:tc>
          <w:tcPr>
            <w:tcBorders>
              <w:top w:val="none" w:color="000000" w:sz="4" w:space="0"/>
              <w:left w:val="none" w:color="000000" w:sz="4" w:space="0"/>
              <w:bottom w:val="none" w:color="000000" w:sz="4" w:space="0"/>
              <w:right w:val="none" w:color="000000" w:sz="4" w:space="0"/>
            </w:tcBorders>
            <w:tcW w:w="2760" w:type="dxa"/>
            <w:textDirection w:val="lrTb"/>
            <w:noWrap w:val="false"/>
          </w:tcPr>
          <w:p>
            <w:pPr>
              <w:jc w:val="both"/>
            </w:pPr>
            <w:r/>
            <w:r/>
          </w:p>
        </w:tc>
        <w:tc>
          <w:tcPr>
            <w:tcBorders>
              <w:top w:val="none" w:color="000000" w:sz="4" w:space="0"/>
              <w:left w:val="none" w:color="000000" w:sz="4" w:space="0"/>
              <w:bottom w:val="none" w:color="000000" w:sz="4" w:space="0"/>
              <w:right w:val="none" w:color="000000" w:sz="4" w:space="0"/>
            </w:tcBorders>
            <w:tcW w:w="2760" w:type="dxa"/>
            <w:textDirection w:val="lrTb"/>
            <w:noWrap w:val="false"/>
          </w:tcPr>
          <w:p>
            <w:pPr>
              <w:jc w:val="both"/>
            </w:pPr>
            <w:r/>
            <w:r/>
          </w:p>
        </w:tc>
        <w:tc>
          <w:tcPr>
            <w:tcBorders>
              <w:top w:val="none" w:color="000000" w:sz="4" w:space="0"/>
              <w:left w:val="none" w:color="000000" w:sz="4" w:space="0"/>
              <w:bottom w:val="none" w:color="000000" w:sz="4" w:space="0"/>
              <w:right w:val="none" w:color="000000" w:sz="4" w:space="0"/>
            </w:tcBorders>
            <w:tcW w:w="4685" w:type="dxa"/>
            <w:textDirection w:val="lrTb"/>
            <w:noWrap w:val="false"/>
          </w:tcPr>
          <w:p>
            <w:pPr>
              <w:ind w:left="2977" w:hanging="2977"/>
              <w:jc w:val="right"/>
              <w:tabs>
                <w:tab w:val="left" w:pos="8520" w:leader="none"/>
              </w:tabs>
              <w:rPr>
                <w:b/>
                <w:sz w:val="20"/>
              </w:rPr>
            </w:pPr>
            <w:r>
              <w:rPr>
                <w:b/>
                <w:sz w:val="20"/>
              </w:rPr>
              <w:t xml:space="preserve">Приложение № 2 к Контракту</w:t>
            </w:r>
            <w:r>
              <w:rPr>
                <w:b/>
                <w:sz w:val="20"/>
              </w:rPr>
            </w:r>
            <w:r>
              <w:rPr>
                <w:b/>
                <w:sz w:val="20"/>
              </w:rPr>
            </w:r>
          </w:p>
          <w:p>
            <w:pPr>
              <w:ind w:left="2977" w:hanging="2977"/>
              <w:jc w:val="right"/>
              <w:tabs>
                <w:tab w:val="left" w:pos="8520" w:leader="none"/>
              </w:tabs>
              <w:rPr>
                <w:b/>
                <w:sz w:val="20"/>
              </w:rPr>
            </w:pPr>
            <w:r>
              <w:rPr>
                <w:b/>
                <w:sz w:val="20"/>
              </w:rPr>
              <w:t xml:space="preserve">от «___» _____ 2026 года №______________ </w:t>
            </w:r>
            <w:r>
              <w:rPr>
                <w:b/>
                <w:sz w:val="20"/>
              </w:rPr>
            </w:r>
            <w:r>
              <w:rPr>
                <w:b/>
                <w:sz w:val="20"/>
              </w:rPr>
            </w:r>
          </w:p>
          <w:p>
            <w:pPr>
              <w:ind w:left="2977" w:hanging="2977"/>
              <w:jc w:val="right"/>
              <w:rPr>
                <w:b/>
                <w:sz w:val="20"/>
              </w:rPr>
            </w:pPr>
            <w:r>
              <w:rPr>
                <w:b/>
                <w:sz w:val="20"/>
              </w:rPr>
              <w:t xml:space="preserve">на оказание услуг__________</w:t>
            </w:r>
            <w:r>
              <w:rPr>
                <w:b/>
                <w:sz w:val="20"/>
              </w:rPr>
            </w:r>
            <w:r>
              <w:rPr>
                <w:b/>
                <w:sz w:val="20"/>
              </w:rPr>
            </w:r>
          </w:p>
        </w:tc>
      </w:tr>
    </w:tbl>
    <w:p>
      <w:pPr>
        <w:jc w:val="both"/>
      </w:pPr>
      <w:r/>
      <w:r/>
    </w:p>
    <w:p>
      <w:pPr>
        <w:ind w:left="2977" w:hanging="2977"/>
        <w:jc w:val="both"/>
      </w:pPr>
      <w:r/>
      <w:r/>
    </w:p>
    <w:p>
      <w:pPr>
        <w:ind w:firstLine="426"/>
        <w:jc w:val="center"/>
        <w:tabs>
          <w:tab w:val="left" w:pos="5376" w:leader="underscore"/>
          <w:tab w:val="left" w:pos="6696" w:leader="underscore"/>
        </w:tabs>
        <w:rPr>
          <w:b/>
          <w:spacing w:val="-3"/>
          <w:sz w:val="22"/>
        </w:rPr>
      </w:pPr>
      <w:r>
        <w:rPr>
          <w:b/>
          <w:spacing w:val="-3"/>
          <w:sz w:val="22"/>
        </w:rPr>
      </w:r>
      <w:r>
        <w:rPr>
          <w:b/>
          <w:spacing w:val="-3"/>
          <w:sz w:val="22"/>
        </w:rPr>
      </w:r>
      <w:r>
        <w:rPr>
          <w:b/>
          <w:spacing w:val="-3"/>
          <w:sz w:val="22"/>
        </w:rPr>
      </w:r>
    </w:p>
    <w:p>
      <w:pPr>
        <w:ind w:firstLine="426"/>
        <w:jc w:val="center"/>
        <w:tabs>
          <w:tab w:val="left" w:pos="5376" w:leader="underscore"/>
          <w:tab w:val="left" w:pos="6696" w:leader="underscore"/>
        </w:tabs>
        <w:rPr>
          <w:b/>
          <w:spacing w:val="-3"/>
          <w:sz w:val="22"/>
        </w:rPr>
      </w:pPr>
      <w:r>
        <w:rPr>
          <w:b/>
          <w:spacing w:val="-3"/>
          <w:sz w:val="22"/>
        </w:rPr>
        <w:t xml:space="preserve">ПРИМЕРНЫЙ ОБРАЗЕЦ ПОРУЧЕНИЯ </w:t>
      </w:r>
      <w:r>
        <w:rPr>
          <w:b/>
          <w:spacing w:val="-3"/>
          <w:sz w:val="22"/>
        </w:rPr>
      </w:r>
      <w:r>
        <w:rPr>
          <w:b/>
          <w:spacing w:val="-3"/>
          <w:sz w:val="22"/>
        </w:rPr>
      </w:r>
    </w:p>
    <w:p>
      <w:pPr>
        <w:ind w:firstLine="426"/>
        <w:jc w:val="center"/>
        <w:tabs>
          <w:tab w:val="left" w:pos="5376" w:leader="underscore"/>
          <w:tab w:val="left" w:pos="6696" w:leader="underscore"/>
        </w:tabs>
        <w:rPr>
          <w:b/>
          <w:spacing w:val="-3"/>
          <w:sz w:val="22"/>
        </w:rPr>
      </w:pPr>
      <w:r>
        <w:rPr>
          <w:b/>
          <w:spacing w:val="-3"/>
          <w:sz w:val="22"/>
        </w:rPr>
      </w:r>
      <w:r>
        <w:rPr>
          <w:b/>
          <w:spacing w:val="-3"/>
          <w:sz w:val="22"/>
        </w:rPr>
      </w:r>
      <w:r>
        <w:rPr>
          <w:b/>
          <w:spacing w:val="-3"/>
          <w:sz w:val="22"/>
        </w:rPr>
      </w:r>
    </w:p>
    <w:p>
      <w:pPr>
        <w:ind w:firstLine="426"/>
        <w:tabs>
          <w:tab w:val="left" w:pos="5376" w:leader="underscore"/>
          <w:tab w:val="left" w:pos="6696" w:leader="underscore"/>
        </w:tabs>
        <w:rPr>
          <w:b/>
          <w:spacing w:val="-3"/>
          <w:sz w:val="22"/>
        </w:rPr>
      </w:pPr>
      <w:r>
        <w:rPr>
          <w:b/>
          <w:spacing w:val="-3"/>
          <w:sz w:val="22"/>
        </w:rPr>
      </w:r>
      <w:r>
        <w:rPr>
          <w:b/>
          <w:spacing w:val="-3"/>
          <w:sz w:val="22"/>
        </w:rPr>
      </w:r>
      <w:r>
        <w:rPr>
          <w:b/>
          <w:spacing w:val="-3"/>
          <w:sz w:val="22"/>
        </w:rPr>
      </w:r>
    </w:p>
    <w:p>
      <w:pPr>
        <w:ind w:firstLine="426"/>
        <w:rPr>
          <w:sz w:val="22"/>
        </w:rPr>
      </w:pPr>
      <w:r>
        <w:rPr>
          <w:sz w:val="22"/>
        </w:rPr>
        <w:t xml:space="preserve">г. Петропавловск-Камчатский                                                                          </w:t>
      </w:r>
      <w:r>
        <w:rPr>
          <w:sz w:val="22"/>
        </w:rPr>
        <w:t xml:space="preserve">   «</w:t>
      </w:r>
      <w:r>
        <w:rPr>
          <w:sz w:val="22"/>
        </w:rPr>
        <w:t xml:space="preserve"> ___ » ___________ 20__ г. </w:t>
      </w:r>
      <w:r>
        <w:rPr>
          <w:sz w:val="22"/>
        </w:rPr>
      </w:r>
      <w:r>
        <w:rPr>
          <w:sz w:val="22"/>
        </w:rPr>
      </w:r>
    </w:p>
    <w:p>
      <w:pPr>
        <w:ind w:firstLine="426"/>
        <w:rPr>
          <w:sz w:val="22"/>
        </w:rPr>
      </w:pPr>
      <w:r>
        <w:rPr>
          <w:sz w:val="22"/>
        </w:rPr>
      </w:r>
      <w:r>
        <w:rPr>
          <w:sz w:val="22"/>
        </w:rPr>
      </w:r>
      <w:r>
        <w:rPr>
          <w:sz w:val="22"/>
        </w:rPr>
      </w:r>
    </w:p>
    <w:p>
      <w:pPr>
        <w:ind w:firstLine="426"/>
        <w:rPr>
          <w:sz w:val="22"/>
        </w:rPr>
      </w:pPr>
      <w:r>
        <w:rPr>
          <w:sz w:val="22"/>
        </w:rPr>
        <w:t xml:space="preserve">Территориальное управление Федерального агентства п</w:t>
      </w:r>
      <w:r>
        <w:rPr>
          <w:sz w:val="22"/>
        </w:rPr>
        <w:t xml:space="preserve">о управлению государственным имуществом в Камчатском крае (далее – Заказчик) в лице __________________________________________________________, действующего на основании _________________________________________________, поручает___________________________</w:t>
      </w:r>
      <w:r>
        <w:rPr>
          <w:sz w:val="22"/>
        </w:rPr>
      </w:r>
      <w:r>
        <w:rPr>
          <w:sz w:val="22"/>
        </w:rPr>
      </w:r>
    </w:p>
    <w:p>
      <w:pPr>
        <w:ind w:firstLine="426"/>
        <w:rPr>
          <w:sz w:val="22"/>
        </w:rPr>
      </w:pPr>
      <w:r>
        <w:rPr>
          <w:sz w:val="22"/>
        </w:rPr>
        <w:t xml:space="preserve">(далее – Исполнитель) в соответствии с Государственным контрактом от «_</w:t>
      </w:r>
      <w:r>
        <w:rPr>
          <w:sz w:val="22"/>
        </w:rPr>
        <w:t xml:space="preserve">_»_</w:t>
      </w:r>
      <w:r>
        <w:rPr>
          <w:sz w:val="22"/>
        </w:rPr>
        <w:t xml:space="preserve">___________2026г. №______принять (передать, выдать) имущество___________________________________________</w:t>
      </w:r>
      <w:r>
        <w:rPr>
          <w:sz w:val="22"/>
        </w:rPr>
      </w:r>
      <w:r>
        <w:rPr>
          <w:sz w:val="22"/>
        </w:rPr>
      </w:r>
    </w:p>
    <w:p>
      <w:pPr>
        <w:ind w:firstLine="426"/>
        <w:rPr>
          <w:sz w:val="18"/>
        </w:rPr>
      </w:pPr>
      <w:r>
        <w:rPr>
          <w:sz w:val="18"/>
        </w:rPr>
        <w:t xml:space="preserve"> (наименование, а так</w:t>
      </w:r>
      <w:r>
        <w:rPr>
          <w:sz w:val="18"/>
        </w:rPr>
        <w:t xml:space="preserve">же характеристики имущества, _______________________________________________________________________________________________________ его внешний вид, также, при передаче (выдаче) имущества представителю Заказчика, необходимо указать Ф.И.О. уполномоченного </w:t>
      </w:r>
      <w:r>
        <w:rPr>
          <w:sz w:val="18"/>
        </w:rPr>
        <w:t xml:space="preserve">лица )</w:t>
      </w:r>
      <w:r>
        <w:rPr>
          <w:sz w:val="18"/>
        </w:rPr>
      </w:r>
      <w:r>
        <w:rPr>
          <w:sz w:val="18"/>
        </w:rPr>
      </w:r>
    </w:p>
    <w:p>
      <w:pPr>
        <w:ind w:firstLine="426"/>
        <w:rPr>
          <w:sz w:val="22"/>
        </w:rPr>
      </w:pPr>
      <w:r>
        <w:rPr>
          <w:sz w:val="22"/>
        </w:rPr>
        <w:t xml:space="preserve">в количестве _________________________________________________________________________</w:t>
      </w:r>
      <w:r>
        <w:rPr>
          <w:sz w:val="22"/>
        </w:rPr>
      </w:r>
      <w:r>
        <w:rPr>
          <w:sz w:val="22"/>
        </w:rPr>
      </w:r>
    </w:p>
    <w:p>
      <w:pPr>
        <w:ind w:firstLine="426"/>
        <w:rPr>
          <w:sz w:val="18"/>
        </w:rPr>
      </w:pPr>
      <w:r>
        <w:rPr>
          <w:sz w:val="22"/>
        </w:rPr>
        <w:t xml:space="preserve"> </w:t>
      </w:r>
      <w:r>
        <w:rPr>
          <w:sz w:val="18"/>
        </w:rPr>
        <w:t xml:space="preserve">(указать цифрой и прописью)</w:t>
      </w:r>
      <w:r>
        <w:rPr>
          <w:sz w:val="18"/>
        </w:rPr>
      </w:r>
      <w:r>
        <w:rPr>
          <w:sz w:val="18"/>
        </w:rPr>
      </w:r>
    </w:p>
    <w:p>
      <w:pPr>
        <w:ind w:firstLine="426"/>
        <w:rPr>
          <w:sz w:val="22"/>
        </w:rPr>
      </w:pPr>
      <w:r>
        <w:rPr>
          <w:sz w:val="22"/>
        </w:rPr>
        <w:t xml:space="preserve">на хранение. </w:t>
      </w:r>
      <w:r>
        <w:rPr>
          <w:sz w:val="22"/>
        </w:rPr>
      </w:r>
      <w:r>
        <w:rPr>
          <w:sz w:val="22"/>
        </w:rPr>
      </w:r>
    </w:p>
    <w:tbl>
      <w:tblPr>
        <w:tblW w:w="0" w:type="auto"/>
        <w:tblLayout w:type="fixed"/>
        <w:tblLook w:val="04A0" w:firstRow="1" w:lastRow="0" w:firstColumn="1" w:lastColumn="0" w:noHBand="0" w:noVBand="1"/>
      </w:tblPr>
      <w:tblGrid>
        <w:gridCol w:w="3283"/>
        <w:gridCol w:w="2157"/>
        <w:gridCol w:w="4184"/>
      </w:tblGrid>
      <w:tr>
        <w:tblPrEx/>
        <w:trPr/>
        <w:tc>
          <w:tcPr>
            <w:tcW w:w="3283" w:type="dxa"/>
            <w:textDirection w:val="lrTb"/>
            <w:noWrap w:val="false"/>
          </w:tcPr>
          <w:p>
            <w:pPr>
              <w:ind w:firstLine="426"/>
              <w:jc w:val="center"/>
              <w:widowControl w:val="off"/>
              <w:rPr>
                <w:i/>
              </w:rPr>
            </w:pPr>
            <w:r>
              <w:rPr>
                <w:i/>
              </w:rPr>
            </w:r>
            <w:r>
              <w:rPr>
                <w:i/>
              </w:rPr>
            </w:r>
            <w:r>
              <w:rPr>
                <w:i/>
              </w:rPr>
            </w:r>
          </w:p>
          <w:p>
            <w:pPr>
              <w:ind w:firstLine="426"/>
              <w:jc w:val="center"/>
              <w:widowControl w:val="off"/>
              <w:rPr>
                <w:i/>
              </w:rPr>
            </w:pPr>
            <w:r>
              <w:rPr>
                <w:i/>
              </w:rPr>
            </w:r>
            <w:r>
              <w:rPr>
                <w:i/>
              </w:rPr>
            </w:r>
            <w:r>
              <w:rPr>
                <w:i/>
              </w:rPr>
            </w:r>
          </w:p>
          <w:p>
            <w:pPr>
              <w:ind w:firstLine="426"/>
              <w:jc w:val="center"/>
              <w:widowControl w:val="off"/>
              <w:rPr>
                <w:i/>
              </w:rPr>
            </w:pPr>
            <w:r>
              <w:rPr>
                <w:i/>
              </w:rPr>
            </w:r>
            <w:r>
              <w:rPr>
                <w:i/>
              </w:rPr>
            </w:r>
            <w:r>
              <w:rPr>
                <w:i/>
              </w:rPr>
            </w:r>
          </w:p>
          <w:p>
            <w:pPr>
              <w:ind w:firstLine="426"/>
              <w:jc w:val="center"/>
              <w:widowControl w:val="off"/>
              <w:rPr>
                <w:i/>
              </w:rPr>
            </w:pPr>
            <w:r>
              <w:rPr>
                <w:i/>
              </w:rPr>
            </w:r>
            <w:r>
              <w:rPr>
                <w:i/>
              </w:rPr>
            </w:r>
            <w:r>
              <w:rPr>
                <w:i/>
              </w:rPr>
            </w:r>
          </w:p>
          <w:p>
            <w:pPr>
              <w:ind w:firstLine="426"/>
              <w:jc w:val="center"/>
              <w:widowControl w:val="off"/>
              <w:rPr>
                <w:i/>
              </w:rPr>
            </w:pPr>
            <w:r>
              <w:rPr>
                <w:i/>
              </w:rPr>
            </w:r>
            <w:r>
              <w:rPr>
                <w:i/>
              </w:rPr>
            </w:r>
            <w:r>
              <w:rPr>
                <w:i/>
              </w:rPr>
            </w:r>
          </w:p>
          <w:p>
            <w:pPr>
              <w:ind w:firstLine="426"/>
              <w:jc w:val="center"/>
              <w:widowControl w:val="off"/>
              <w:rPr>
                <w:i/>
              </w:rPr>
            </w:pPr>
            <w:r>
              <w:rPr>
                <w:i/>
              </w:rPr>
            </w:r>
            <w:r>
              <w:rPr>
                <w:i/>
              </w:rPr>
            </w:r>
            <w:r>
              <w:rPr>
                <w:i/>
              </w:rPr>
            </w:r>
          </w:p>
          <w:p>
            <w:pPr>
              <w:ind w:firstLine="426"/>
              <w:jc w:val="center"/>
              <w:widowControl w:val="off"/>
              <w:rPr>
                <w:i/>
              </w:rPr>
            </w:pPr>
            <w:r>
              <w:rPr>
                <w:i/>
                <w:sz w:val="22"/>
              </w:rPr>
              <w:t xml:space="preserve">________________________</w:t>
            </w:r>
            <w:r>
              <w:rPr>
                <w:i/>
              </w:rPr>
            </w:r>
            <w:r>
              <w:rPr>
                <w:i/>
              </w:rPr>
            </w:r>
          </w:p>
        </w:tc>
        <w:tc>
          <w:tcPr>
            <w:tcW w:w="2157" w:type="dxa"/>
            <w:textDirection w:val="lrTb"/>
            <w:noWrap w:val="false"/>
          </w:tcPr>
          <w:p>
            <w:pPr>
              <w:ind w:firstLine="426"/>
              <w:widowControl w:val="off"/>
              <w:rPr>
                <w:i/>
              </w:rPr>
            </w:pPr>
            <w:r>
              <w:rPr>
                <w:sz w:val="22"/>
              </w:rPr>
              <w:t xml:space="preserve"> </w:t>
            </w:r>
            <w:r>
              <w:rPr>
                <w:i/>
              </w:rPr>
            </w:r>
            <w:r>
              <w:rPr>
                <w:i/>
              </w:rPr>
            </w:r>
          </w:p>
        </w:tc>
        <w:tc>
          <w:tcPr>
            <w:tcW w:w="4184" w:type="dxa"/>
            <w:textDirection w:val="lrTb"/>
            <w:noWrap w:val="false"/>
          </w:tcPr>
          <w:p>
            <w:pPr>
              <w:ind w:firstLine="426"/>
              <w:jc w:val="center"/>
              <w:widowControl w:val="off"/>
              <w:rPr>
                <w:i/>
              </w:rPr>
            </w:pPr>
            <w:r>
              <w:rPr>
                <w:i/>
                <w:sz w:val="22"/>
              </w:rPr>
              <w:t xml:space="preserve"> </w:t>
            </w:r>
            <w:r>
              <w:rPr>
                <w:i/>
              </w:rPr>
            </w:r>
            <w:r>
              <w:rPr>
                <w:i/>
              </w:rPr>
            </w:r>
          </w:p>
        </w:tc>
      </w:tr>
      <w:tr>
        <w:tblPrEx/>
        <w:trPr/>
        <w:tc>
          <w:tcPr>
            <w:tcW w:w="3283" w:type="dxa"/>
            <w:textDirection w:val="lrTb"/>
            <w:noWrap w:val="false"/>
          </w:tcPr>
          <w:p>
            <w:pPr>
              <w:ind w:firstLine="426"/>
              <w:jc w:val="center"/>
              <w:widowControl w:val="off"/>
              <w:rPr>
                <w:i/>
              </w:rPr>
            </w:pPr>
            <w:r>
              <w:rPr>
                <w:i/>
                <w:sz w:val="22"/>
              </w:rPr>
              <w:t xml:space="preserve">(должность уполномоченного лица Заказчика)</w:t>
            </w:r>
            <w:r>
              <w:rPr>
                <w:i/>
              </w:rPr>
            </w:r>
            <w:r>
              <w:rPr>
                <w:i/>
              </w:rPr>
            </w:r>
          </w:p>
        </w:tc>
        <w:tc>
          <w:tcPr>
            <w:tcW w:w="2157" w:type="dxa"/>
            <w:textDirection w:val="lrTb"/>
            <w:noWrap w:val="false"/>
          </w:tcPr>
          <w:p>
            <w:pPr>
              <w:ind w:firstLine="426"/>
              <w:jc w:val="center"/>
              <w:widowControl w:val="off"/>
            </w:pPr>
            <w:r>
              <w:rPr>
                <w:i/>
                <w:sz w:val="22"/>
              </w:rPr>
              <w:t xml:space="preserve"> (подпись)</w:t>
            </w:r>
            <w:r/>
          </w:p>
        </w:tc>
        <w:tc>
          <w:tcPr>
            <w:tcW w:w="4184" w:type="dxa"/>
            <w:textDirection w:val="lrTb"/>
            <w:noWrap w:val="false"/>
          </w:tcPr>
          <w:p>
            <w:pPr>
              <w:ind w:firstLine="426"/>
              <w:jc w:val="center"/>
              <w:widowControl w:val="off"/>
              <w:rPr>
                <w:i/>
              </w:rPr>
            </w:pPr>
            <w:r>
              <w:rPr>
                <w:i/>
                <w:sz w:val="22"/>
              </w:rPr>
              <w:t xml:space="preserve">(расшифровка подписи)</w:t>
            </w:r>
            <w:r>
              <w:rPr>
                <w:i/>
              </w:rPr>
            </w:r>
            <w:r>
              <w:rPr>
                <w:i/>
              </w:rPr>
            </w:r>
          </w:p>
        </w:tc>
      </w:tr>
    </w:tbl>
    <w:p>
      <w:pPr>
        <w:ind w:firstLine="426"/>
        <w:rPr>
          <w:sz w:val="26"/>
        </w:rPr>
      </w:pPr>
      <w:r>
        <w:rPr>
          <w:sz w:val="26"/>
        </w:rPr>
      </w:r>
      <w:r>
        <w:rPr>
          <w:sz w:val="26"/>
        </w:rPr>
      </w:r>
      <w:r>
        <w:rPr>
          <w:sz w:val="26"/>
        </w:rPr>
      </w:r>
    </w:p>
    <w:tbl>
      <w:tblPr>
        <w:tblW w:w="0" w:type="auto"/>
        <w:tblLayout w:type="fixed"/>
        <w:tblLook w:val="04A0" w:firstRow="1" w:lastRow="0" w:firstColumn="1" w:lastColumn="0" w:noHBand="0" w:noVBand="1"/>
      </w:tblPr>
      <w:tblGrid>
        <w:gridCol w:w="3284"/>
        <w:gridCol w:w="2166"/>
        <w:gridCol w:w="4210"/>
      </w:tblGrid>
      <w:tr>
        <w:tblPrEx/>
        <w:trPr/>
        <w:tc>
          <w:tcPr>
            <w:gridSpan w:val="3"/>
            <w:tcW w:w="9660" w:type="dxa"/>
            <w:textDirection w:val="lrTb"/>
            <w:noWrap w:val="false"/>
          </w:tcPr>
          <w:p>
            <w:pPr>
              <w:ind w:firstLine="426"/>
              <w:widowControl w:val="off"/>
              <w:rPr>
                <w:sz w:val="26"/>
              </w:rPr>
            </w:pPr>
            <w:r>
              <w:rPr>
                <w:sz w:val="26"/>
              </w:rPr>
              <w:t xml:space="preserve">Принято _____________________________________________________________________</w:t>
            </w:r>
            <w:r>
              <w:rPr>
                <w:sz w:val="26"/>
              </w:rPr>
            </w:r>
            <w:r>
              <w:rPr>
                <w:sz w:val="26"/>
              </w:rPr>
            </w:r>
          </w:p>
        </w:tc>
      </w:tr>
      <w:tr>
        <w:tblPrEx/>
        <w:trPr/>
        <w:tc>
          <w:tcPr>
            <w:gridSpan w:val="3"/>
            <w:tcW w:w="9660" w:type="dxa"/>
            <w:textDirection w:val="lrTb"/>
            <w:noWrap w:val="false"/>
          </w:tcPr>
          <w:p>
            <w:pPr>
              <w:ind w:firstLine="426"/>
              <w:jc w:val="center"/>
              <w:widowControl w:val="off"/>
              <w:rPr>
                <w:i/>
                <w:sz w:val="26"/>
              </w:rPr>
            </w:pPr>
            <w:r>
              <w:rPr>
                <w:i/>
                <w:sz w:val="26"/>
              </w:rPr>
              <w:t xml:space="preserve">(наименование Исполнителя)</w:t>
            </w:r>
            <w:r>
              <w:rPr>
                <w:i/>
                <w:sz w:val="26"/>
              </w:rPr>
            </w:r>
            <w:r>
              <w:rPr>
                <w:i/>
                <w:sz w:val="26"/>
              </w:rPr>
            </w:r>
          </w:p>
          <w:p>
            <w:pPr>
              <w:ind w:firstLine="426"/>
              <w:jc w:val="right"/>
              <w:widowControl w:val="off"/>
              <w:rPr>
                <w:i/>
                <w:sz w:val="26"/>
              </w:rPr>
            </w:pPr>
            <w:r>
              <w:rPr>
                <w:i/>
                <w:sz w:val="26"/>
              </w:rPr>
            </w:r>
            <w:r>
              <w:rPr>
                <w:i/>
                <w:sz w:val="26"/>
              </w:rPr>
            </w:r>
            <w:r>
              <w:rPr>
                <w:i/>
                <w:sz w:val="26"/>
              </w:rPr>
            </w:r>
          </w:p>
        </w:tc>
      </w:tr>
      <w:tr>
        <w:tblPrEx/>
        <w:trPr/>
        <w:tc>
          <w:tcPr>
            <w:tcW w:w="3284" w:type="dxa"/>
            <w:textDirection w:val="lrTb"/>
            <w:noWrap w:val="false"/>
          </w:tcPr>
          <w:p>
            <w:pPr>
              <w:ind w:firstLine="426"/>
              <w:widowControl w:val="off"/>
              <w:rPr>
                <w:i/>
                <w:sz w:val="26"/>
              </w:rPr>
            </w:pPr>
            <w:r>
              <w:rPr>
                <w:sz w:val="26"/>
              </w:rPr>
              <w:t xml:space="preserve">«____»_________2026г.</w:t>
            </w:r>
            <w:r>
              <w:rPr>
                <w:i/>
                <w:sz w:val="26"/>
              </w:rPr>
            </w:r>
            <w:r>
              <w:rPr>
                <w:i/>
                <w:sz w:val="26"/>
              </w:rPr>
            </w:r>
          </w:p>
        </w:tc>
        <w:tc>
          <w:tcPr>
            <w:tcW w:w="2166" w:type="dxa"/>
            <w:textDirection w:val="lrTb"/>
            <w:noWrap w:val="false"/>
          </w:tcPr>
          <w:p>
            <w:pPr>
              <w:ind w:firstLine="426"/>
              <w:jc w:val="center"/>
              <w:widowControl w:val="off"/>
            </w:pPr>
            <w:r>
              <w:rPr>
                <w:i/>
                <w:sz w:val="22"/>
              </w:rPr>
              <w:t xml:space="preserve"> (подпись)</w:t>
            </w:r>
            <w:r/>
          </w:p>
        </w:tc>
        <w:tc>
          <w:tcPr>
            <w:tcW w:w="4210" w:type="dxa"/>
            <w:textDirection w:val="lrTb"/>
            <w:noWrap w:val="false"/>
          </w:tcPr>
          <w:p>
            <w:pPr>
              <w:ind w:firstLine="426"/>
              <w:jc w:val="center"/>
              <w:widowControl w:val="off"/>
              <w:rPr>
                <w:i/>
              </w:rPr>
            </w:pPr>
            <w:r>
              <w:rPr>
                <w:i/>
                <w:sz w:val="22"/>
              </w:rPr>
              <w:t xml:space="preserve">(расшифровка подписи)</w:t>
            </w:r>
            <w:r>
              <w:rPr>
                <w:i/>
              </w:rPr>
            </w:r>
            <w:r>
              <w:rPr>
                <w:i/>
              </w:rPr>
            </w:r>
          </w:p>
        </w:tc>
      </w:tr>
    </w:tbl>
    <w:p>
      <w:pPr>
        <w:spacing w:after="160" w:line="264" w:lineRule="auto"/>
        <w:rPr>
          <w:sz w:val="26"/>
        </w:rPr>
      </w:pPr>
      <w:r>
        <w:rPr>
          <w:sz w:val="26"/>
        </w:rPr>
      </w:r>
      <w:r>
        <w:rPr>
          <w:sz w:val="26"/>
        </w:rPr>
      </w:r>
      <w:r>
        <w:rPr>
          <w:sz w:val="26"/>
        </w:rPr>
      </w:r>
    </w:p>
    <w:sectPr>
      <w:footnotePr/>
      <w:endnotePr/>
      <w:type w:val="continuous"/>
      <w:pgSz w:w="11906" w:h="16838" w:orient="portrait"/>
      <w:pgMar w:top="1134" w:right="567" w:bottom="567" w:left="1134" w:header="709" w:footer="70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Wingdings">
    <w:panose1 w:val="05010000000000000000"/>
  </w:font>
  <w:font w:name="Symbol">
    <w:panose1 w:val="05010000000000000000"/>
  </w:font>
  <w:font w:name="Segoe UI">
    <w:panose1 w:val="020B0502040504020204"/>
  </w:font>
  <w:font w:name="Calibri">
    <w:panose1 w:val="020F0502020204030204"/>
  </w:font>
  <w:font w:name="Cambria">
    <w:panose1 w:val="02040503050406030204"/>
  </w:font>
  <w:font w:name="Tahoma">
    <w:panose1 w:val="020B0604030504040204"/>
  </w:font>
  <w:font w:name="Courier New">
    <w:panose1 w:val="02070309020205020404"/>
  </w:font>
  <w:font w:name="XO Thames">
    <w:panose1 w:val="02020603050405020304"/>
  </w:font>
  <w:font w:name="Adobe Devanagari">
    <w:panose1 w:val="02000603000000000000"/>
  </w:font>
  <w:font w:name="Arial">
    <w:panose1 w:val="020B060402020202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235" w:hanging="360"/>
      </w:pPr>
    </w:lvl>
    <w:lvl w:ilvl="1">
      <w:start w:val="1"/>
      <w:numFmt w:val="lowerLetter"/>
      <w:isLgl w:val="false"/>
      <w:suff w:val="tab"/>
      <w:lvlText w:val="%2."/>
      <w:lvlJc w:val="left"/>
      <w:pPr>
        <w:ind w:left="1955" w:hanging="360"/>
      </w:pPr>
    </w:lvl>
    <w:lvl w:ilvl="2">
      <w:start w:val="1"/>
      <w:numFmt w:val="lowerRoman"/>
      <w:isLgl w:val="false"/>
      <w:suff w:val="tab"/>
      <w:lvlText w:val="%3."/>
      <w:lvlJc w:val="right"/>
      <w:pPr>
        <w:ind w:left="2675" w:hanging="180"/>
      </w:pPr>
    </w:lvl>
    <w:lvl w:ilvl="3">
      <w:start w:val="1"/>
      <w:numFmt w:val="decimal"/>
      <w:isLgl w:val="false"/>
      <w:suff w:val="tab"/>
      <w:lvlText w:val="%4."/>
      <w:lvlJc w:val="left"/>
      <w:pPr>
        <w:ind w:left="3395" w:hanging="360"/>
      </w:pPr>
    </w:lvl>
    <w:lvl w:ilvl="4">
      <w:start w:val="1"/>
      <w:numFmt w:val="lowerLetter"/>
      <w:isLgl w:val="false"/>
      <w:suff w:val="tab"/>
      <w:lvlText w:val="%5."/>
      <w:lvlJc w:val="left"/>
      <w:pPr>
        <w:ind w:left="4115" w:hanging="360"/>
      </w:pPr>
    </w:lvl>
    <w:lvl w:ilvl="5">
      <w:start w:val="1"/>
      <w:numFmt w:val="lowerRoman"/>
      <w:isLgl w:val="false"/>
      <w:suff w:val="tab"/>
      <w:lvlText w:val="%6."/>
      <w:lvlJc w:val="right"/>
      <w:pPr>
        <w:ind w:left="4835" w:hanging="180"/>
      </w:pPr>
    </w:lvl>
    <w:lvl w:ilvl="6">
      <w:start w:val="1"/>
      <w:numFmt w:val="decimal"/>
      <w:isLgl w:val="false"/>
      <w:suff w:val="tab"/>
      <w:lvlText w:val="%7."/>
      <w:lvlJc w:val="left"/>
      <w:pPr>
        <w:ind w:left="5555" w:hanging="360"/>
      </w:pPr>
    </w:lvl>
    <w:lvl w:ilvl="7">
      <w:start w:val="1"/>
      <w:numFmt w:val="lowerLetter"/>
      <w:isLgl w:val="false"/>
      <w:suff w:val="tab"/>
      <w:lvlText w:val="%8."/>
      <w:lvlJc w:val="left"/>
      <w:pPr>
        <w:ind w:left="6275" w:hanging="360"/>
      </w:pPr>
    </w:lvl>
    <w:lvl w:ilvl="8">
      <w:start w:val="1"/>
      <w:numFmt w:val="lowerRoman"/>
      <w:isLgl w:val="false"/>
      <w:suff w:val="tab"/>
      <w:lvlText w:val="%9."/>
      <w:lvlJc w:val="right"/>
      <w:pPr>
        <w:ind w:left="6995" w:hanging="180"/>
      </w:pPr>
    </w:lvl>
  </w:abstractNum>
  <w:abstractNum w:abstractNumId="1">
    <w:multiLevelType w:val="hybridMultilevel"/>
    <w:lvl w:ilvl="0">
      <w:start w:val="1"/>
      <w:numFmt w:val="bullet"/>
      <w:pStyle w:val="877"/>
      <w:isLgl w:val="false"/>
      <w:suff w:val="tab"/>
      <w:lvlText w:val=""/>
      <w:lvlJc w:val="left"/>
      <w:pPr>
        <w:ind w:left="643" w:hanging="360"/>
        <w:tabs>
          <w:tab w:val="left" w:pos="643" w:leader="none"/>
        </w:tabs>
      </w:pPr>
      <w:rPr>
        <w:rFonts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
    <w:multiLevelType w:val="hybridMultilevel"/>
    <w:lvl w:ilvl="0">
      <w:start w:val="1"/>
      <w:numFmt w:val="bullet"/>
      <w:isLgl w:val="false"/>
      <w:suff w:val="tab"/>
      <w:lvlText w:val="-"/>
      <w:lvlJc w:val="left"/>
      <w:pPr>
        <w:ind w:left="720" w:hanging="360"/>
      </w:pPr>
      <w:rPr>
        <w:rFonts w:ascii="Times New Roman" w:hAnsi="Times New Roman"/>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
    <w:multiLevelType w:val="hybridMultilevel"/>
    <w:lvl w:ilvl="0">
      <w:start w:val="1"/>
      <w:numFmt w:val="bullet"/>
      <w:isLgl w:val="false"/>
      <w:suff w:val="tab"/>
      <w:lvlText w:val="-"/>
      <w:lvlJc w:val="left"/>
      <w:pPr>
        <w:ind w:left="720" w:hanging="360"/>
      </w:pPr>
      <w:rPr>
        <w:rFonts w:ascii="Times New Roman" w:hAnsi="Times New Roman"/>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4">
    <w:multiLevelType w:val="hybridMultilevel"/>
    <w:lvl w:ilvl="0">
      <w:start w:val="1"/>
      <w:numFmt w:val="bullet"/>
      <w:pStyle w:val="924"/>
      <w:isLgl w:val="false"/>
      <w:suff w:val="tab"/>
      <w:lvlText w:val=""/>
      <w:lvlJc w:val="left"/>
      <w:pPr>
        <w:ind w:left="926" w:hanging="360"/>
        <w:tabs>
          <w:tab w:val="left" w:pos="926" w:leader="none"/>
        </w:tabs>
      </w:pPr>
      <w:rPr>
        <w:rFonts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5">
    <w:multiLevelType w:val="hybridMultilevel"/>
    <w:lvl w:ilvl="0">
      <w:start w:val="1"/>
      <w:numFmt w:val="lowerLetter"/>
      <w:isLgl w:val="false"/>
      <w:suff w:val="tab"/>
      <w:lvlText w:val="%1)"/>
      <w:lvlJc w:val="left"/>
      <w:pPr>
        <w:ind w:left="1571" w:hanging="360"/>
      </w:pPr>
    </w:lvl>
    <w:lvl w:ilvl="1">
      <w:start w:val="1"/>
      <w:numFmt w:val="lowerLetter"/>
      <w:isLgl w:val="false"/>
      <w:suff w:val="tab"/>
      <w:lvlText w:val="%2."/>
      <w:lvlJc w:val="left"/>
      <w:pPr>
        <w:ind w:left="2291" w:hanging="360"/>
      </w:pPr>
    </w:lvl>
    <w:lvl w:ilvl="2">
      <w:start w:val="1"/>
      <w:numFmt w:val="lowerRoman"/>
      <w:isLgl w:val="false"/>
      <w:suff w:val="tab"/>
      <w:lvlText w:val="%3."/>
      <w:lvlJc w:val="right"/>
      <w:pPr>
        <w:ind w:left="3011" w:hanging="180"/>
      </w:pPr>
    </w:lvl>
    <w:lvl w:ilvl="3">
      <w:start w:val="1"/>
      <w:numFmt w:val="decimal"/>
      <w:isLgl w:val="false"/>
      <w:suff w:val="tab"/>
      <w:lvlText w:val="%4."/>
      <w:lvlJc w:val="left"/>
      <w:pPr>
        <w:ind w:left="3731" w:hanging="360"/>
      </w:pPr>
    </w:lvl>
    <w:lvl w:ilvl="4">
      <w:start w:val="1"/>
      <w:numFmt w:val="lowerLetter"/>
      <w:isLgl w:val="false"/>
      <w:suff w:val="tab"/>
      <w:lvlText w:val="%5."/>
      <w:lvlJc w:val="left"/>
      <w:pPr>
        <w:ind w:left="4451" w:hanging="360"/>
      </w:pPr>
    </w:lvl>
    <w:lvl w:ilvl="5">
      <w:start w:val="1"/>
      <w:numFmt w:val="lowerRoman"/>
      <w:isLgl w:val="false"/>
      <w:suff w:val="tab"/>
      <w:lvlText w:val="%6."/>
      <w:lvlJc w:val="right"/>
      <w:pPr>
        <w:ind w:left="5171" w:hanging="180"/>
      </w:pPr>
    </w:lvl>
    <w:lvl w:ilvl="6">
      <w:start w:val="1"/>
      <w:numFmt w:val="decimal"/>
      <w:isLgl w:val="false"/>
      <w:suff w:val="tab"/>
      <w:lvlText w:val="%7."/>
      <w:lvlJc w:val="left"/>
      <w:pPr>
        <w:ind w:left="5891" w:hanging="360"/>
      </w:pPr>
    </w:lvl>
    <w:lvl w:ilvl="7">
      <w:start w:val="1"/>
      <w:numFmt w:val="lowerLetter"/>
      <w:isLgl w:val="false"/>
      <w:suff w:val="tab"/>
      <w:lvlText w:val="%8."/>
      <w:lvlJc w:val="left"/>
      <w:pPr>
        <w:ind w:left="6611" w:hanging="360"/>
      </w:pPr>
    </w:lvl>
    <w:lvl w:ilvl="8">
      <w:start w:val="1"/>
      <w:numFmt w:val="lowerRoman"/>
      <w:isLgl w:val="false"/>
      <w:suff w:val="tab"/>
      <w:lvlText w:val="%9."/>
      <w:lvlJc w:val="right"/>
      <w:pPr>
        <w:ind w:left="7331" w:hanging="180"/>
      </w:pPr>
    </w:lvl>
  </w:abstractNum>
  <w:abstractNum w:abstractNumId="6">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rFonts w:ascii="Times New Roman" w:hAnsi="Times New Roman" w:eastAsia="Times New Roman" w:cs="Times New Roman"/>
        <w:b w:val="0"/>
        <w:i w:val="0"/>
        <w:color w:val="000000" w:themeColor="text1"/>
      </w:rPr>
    </w:lvl>
    <w:lvl w:ilvl="2">
      <w:start w:val="1"/>
      <w:numFmt w:val="decimal"/>
      <w:isLgl w:val="false"/>
      <w:suff w:val="tab"/>
      <w:lvlText w:val="%1.%2.%3."/>
      <w:lvlJc w:val="left"/>
      <w:pPr>
        <w:ind w:left="2064" w:hanging="504"/>
      </w:pPr>
      <w:rPr>
        <w:b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8">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9">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0">
    <w:multiLevelType w:val="hybridMultilevel"/>
    <w:lvl w:ilvl="0">
      <w:start w:val="1"/>
      <w:numFmt w:val="bullet"/>
      <w:isLgl w:val="false"/>
      <w:suff w:val="tab"/>
      <w:lvlText w:val="-"/>
      <w:lvlJc w:val="left"/>
      <w:pPr>
        <w:ind w:left="720" w:hanging="360"/>
      </w:pPr>
      <w:rPr>
        <w:rFonts w:ascii="Times New Roman" w:hAnsi="Times New Roman"/>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1">
    <w:multiLevelType w:val="hybridMultilevel"/>
    <w:lvl w:ilvl="0">
      <w:start w:val="1"/>
      <w:numFmt w:val="bullet"/>
      <w:isLgl w:val="false"/>
      <w:suff w:val="tab"/>
      <w:lvlText w:val="-"/>
      <w:lvlJc w:val="left"/>
      <w:pPr>
        <w:ind w:left="1146" w:hanging="360"/>
      </w:pPr>
      <w:rPr>
        <w:rFonts w:ascii="Adobe Devanagari" w:hAnsi="Adobe Devanagari"/>
      </w:rPr>
    </w:lvl>
    <w:lvl w:ilvl="1">
      <w:start w:val="1"/>
      <w:numFmt w:val="bullet"/>
      <w:isLgl w:val="false"/>
      <w:suff w:val="tab"/>
      <w:lvlText w:val="o"/>
      <w:lvlJc w:val="left"/>
      <w:pPr>
        <w:ind w:left="1866" w:hanging="360"/>
      </w:pPr>
      <w:rPr>
        <w:rFonts w:ascii="Courier New" w:hAnsi="Courier New"/>
      </w:rPr>
    </w:lvl>
    <w:lvl w:ilvl="2">
      <w:start w:val="1"/>
      <w:numFmt w:val="bullet"/>
      <w:isLgl w:val="false"/>
      <w:suff w:val="tab"/>
      <w:lvlText w:val=""/>
      <w:lvlJc w:val="left"/>
      <w:pPr>
        <w:ind w:left="2586" w:hanging="360"/>
      </w:pPr>
      <w:rPr>
        <w:rFonts w:ascii="Wingdings" w:hAnsi="Wingdings"/>
      </w:rPr>
    </w:lvl>
    <w:lvl w:ilvl="3">
      <w:start w:val="1"/>
      <w:numFmt w:val="bullet"/>
      <w:isLgl w:val="false"/>
      <w:suff w:val="tab"/>
      <w:lvlText w:val=""/>
      <w:lvlJc w:val="left"/>
      <w:pPr>
        <w:ind w:left="3306" w:hanging="360"/>
      </w:pPr>
      <w:rPr>
        <w:rFonts w:ascii="Symbol" w:hAnsi="Symbol"/>
      </w:rPr>
    </w:lvl>
    <w:lvl w:ilvl="4">
      <w:start w:val="1"/>
      <w:numFmt w:val="bullet"/>
      <w:isLgl w:val="false"/>
      <w:suff w:val="tab"/>
      <w:lvlText w:val="o"/>
      <w:lvlJc w:val="left"/>
      <w:pPr>
        <w:ind w:left="4026" w:hanging="360"/>
      </w:pPr>
      <w:rPr>
        <w:rFonts w:ascii="Courier New" w:hAnsi="Courier New"/>
      </w:rPr>
    </w:lvl>
    <w:lvl w:ilvl="5">
      <w:start w:val="1"/>
      <w:numFmt w:val="bullet"/>
      <w:isLgl w:val="false"/>
      <w:suff w:val="tab"/>
      <w:lvlText w:val=""/>
      <w:lvlJc w:val="left"/>
      <w:pPr>
        <w:ind w:left="4746" w:hanging="360"/>
      </w:pPr>
      <w:rPr>
        <w:rFonts w:ascii="Wingdings" w:hAnsi="Wingdings"/>
      </w:rPr>
    </w:lvl>
    <w:lvl w:ilvl="6">
      <w:start w:val="1"/>
      <w:numFmt w:val="bullet"/>
      <w:isLgl w:val="false"/>
      <w:suff w:val="tab"/>
      <w:lvlText w:val=""/>
      <w:lvlJc w:val="left"/>
      <w:pPr>
        <w:ind w:left="5466" w:hanging="360"/>
      </w:pPr>
      <w:rPr>
        <w:rFonts w:ascii="Symbol" w:hAnsi="Symbol"/>
      </w:rPr>
    </w:lvl>
    <w:lvl w:ilvl="7">
      <w:start w:val="1"/>
      <w:numFmt w:val="bullet"/>
      <w:isLgl w:val="false"/>
      <w:suff w:val="tab"/>
      <w:lvlText w:val="o"/>
      <w:lvlJc w:val="left"/>
      <w:pPr>
        <w:ind w:left="6186" w:hanging="360"/>
      </w:pPr>
      <w:rPr>
        <w:rFonts w:ascii="Courier New" w:hAnsi="Courier New"/>
      </w:rPr>
    </w:lvl>
    <w:lvl w:ilvl="8">
      <w:start w:val="1"/>
      <w:numFmt w:val="bullet"/>
      <w:isLgl w:val="false"/>
      <w:suff w:val="tab"/>
      <w:lvlText w:val=""/>
      <w:lvlJc w:val="left"/>
      <w:pPr>
        <w:ind w:left="6906" w:hanging="360"/>
      </w:pPr>
      <w:rPr>
        <w:rFonts w:ascii="Wingdings" w:hAnsi="Wingdings"/>
      </w:rPr>
    </w:lvl>
  </w:abstractNum>
  <w:abstractNum w:abstractNumId="12">
    <w:multiLevelType w:val="hybridMultilevel"/>
    <w:lvl w:ilvl="0">
      <w:start w:val="1"/>
      <w:numFmt w:val="bullet"/>
      <w:isLgl w:val="false"/>
      <w:suff w:val="tab"/>
      <w:lvlText w:val="-"/>
      <w:lvlJc w:val="left"/>
      <w:pPr>
        <w:ind w:left="2988" w:hanging="360"/>
      </w:pPr>
      <w:rPr>
        <w:rFonts w:ascii="Adobe Devanagari" w:hAnsi="Adobe Devanagari"/>
      </w:rPr>
    </w:lvl>
    <w:lvl w:ilvl="1">
      <w:start w:val="1"/>
      <w:numFmt w:val="bullet"/>
      <w:isLgl w:val="false"/>
      <w:suff w:val="tab"/>
      <w:lvlText w:val="o"/>
      <w:lvlJc w:val="left"/>
      <w:pPr>
        <w:ind w:left="3708" w:hanging="360"/>
      </w:pPr>
      <w:rPr>
        <w:rFonts w:ascii="Courier New" w:hAnsi="Courier New"/>
      </w:rPr>
    </w:lvl>
    <w:lvl w:ilvl="2">
      <w:start w:val="1"/>
      <w:numFmt w:val="bullet"/>
      <w:isLgl w:val="false"/>
      <w:suff w:val="tab"/>
      <w:lvlText w:val=""/>
      <w:lvlJc w:val="left"/>
      <w:pPr>
        <w:ind w:left="4428" w:hanging="360"/>
      </w:pPr>
      <w:rPr>
        <w:rFonts w:ascii="Wingdings" w:hAnsi="Wingdings"/>
      </w:rPr>
    </w:lvl>
    <w:lvl w:ilvl="3">
      <w:start w:val="1"/>
      <w:numFmt w:val="bullet"/>
      <w:isLgl w:val="false"/>
      <w:suff w:val="tab"/>
      <w:lvlText w:val=""/>
      <w:lvlJc w:val="left"/>
      <w:pPr>
        <w:ind w:left="5148" w:hanging="360"/>
      </w:pPr>
      <w:rPr>
        <w:rFonts w:ascii="Symbol" w:hAnsi="Symbol"/>
      </w:rPr>
    </w:lvl>
    <w:lvl w:ilvl="4">
      <w:start w:val="1"/>
      <w:numFmt w:val="bullet"/>
      <w:isLgl w:val="false"/>
      <w:suff w:val="tab"/>
      <w:lvlText w:val="o"/>
      <w:lvlJc w:val="left"/>
      <w:pPr>
        <w:ind w:left="5868" w:hanging="360"/>
      </w:pPr>
      <w:rPr>
        <w:rFonts w:ascii="Courier New" w:hAnsi="Courier New"/>
      </w:rPr>
    </w:lvl>
    <w:lvl w:ilvl="5">
      <w:start w:val="1"/>
      <w:numFmt w:val="bullet"/>
      <w:isLgl w:val="false"/>
      <w:suff w:val="tab"/>
      <w:lvlText w:val=""/>
      <w:lvlJc w:val="left"/>
      <w:pPr>
        <w:ind w:left="6588" w:hanging="360"/>
      </w:pPr>
      <w:rPr>
        <w:rFonts w:ascii="Wingdings" w:hAnsi="Wingdings"/>
      </w:rPr>
    </w:lvl>
    <w:lvl w:ilvl="6">
      <w:start w:val="1"/>
      <w:numFmt w:val="bullet"/>
      <w:isLgl w:val="false"/>
      <w:suff w:val="tab"/>
      <w:lvlText w:val=""/>
      <w:lvlJc w:val="left"/>
      <w:pPr>
        <w:ind w:left="7308" w:hanging="360"/>
      </w:pPr>
      <w:rPr>
        <w:rFonts w:ascii="Symbol" w:hAnsi="Symbol"/>
      </w:rPr>
    </w:lvl>
    <w:lvl w:ilvl="7">
      <w:start w:val="1"/>
      <w:numFmt w:val="bullet"/>
      <w:isLgl w:val="false"/>
      <w:suff w:val="tab"/>
      <w:lvlText w:val="o"/>
      <w:lvlJc w:val="left"/>
      <w:pPr>
        <w:ind w:left="8028" w:hanging="360"/>
      </w:pPr>
      <w:rPr>
        <w:rFonts w:ascii="Courier New" w:hAnsi="Courier New"/>
      </w:rPr>
    </w:lvl>
    <w:lvl w:ilvl="8">
      <w:start w:val="1"/>
      <w:numFmt w:val="bullet"/>
      <w:isLgl w:val="false"/>
      <w:suff w:val="tab"/>
      <w:lvlText w:val=""/>
      <w:lvlJc w:val="left"/>
      <w:pPr>
        <w:ind w:left="8748" w:hanging="360"/>
      </w:pPr>
      <w:rPr>
        <w:rFonts w:ascii="Wingdings" w:hAnsi="Wingdings"/>
      </w:rPr>
    </w:lvl>
  </w:abstractNum>
  <w:abstractNum w:abstractNumId="13">
    <w:multiLevelType w:val="hybridMultilevel"/>
    <w:lvl w:ilvl="0">
      <w:start w:val="1"/>
      <w:numFmt w:val="bullet"/>
      <w:isLgl w:val="false"/>
      <w:suff w:val="tab"/>
      <w:lvlText w:val="-"/>
      <w:lvlJc w:val="left"/>
      <w:pPr>
        <w:ind w:left="780" w:hanging="360"/>
      </w:pPr>
      <w:rPr>
        <w:rFonts w:ascii="Adobe Devanagari" w:hAnsi="Adobe Devanagari"/>
      </w:rPr>
    </w:lvl>
    <w:lvl w:ilvl="1">
      <w:start w:val="1"/>
      <w:numFmt w:val="bullet"/>
      <w:isLgl w:val="false"/>
      <w:suff w:val="tab"/>
      <w:lvlText w:val="o"/>
      <w:lvlJc w:val="left"/>
      <w:pPr>
        <w:ind w:left="1500" w:hanging="360"/>
      </w:pPr>
      <w:rPr>
        <w:rFonts w:ascii="Courier New" w:hAnsi="Courier New"/>
      </w:rPr>
    </w:lvl>
    <w:lvl w:ilvl="2">
      <w:start w:val="1"/>
      <w:numFmt w:val="bullet"/>
      <w:isLgl w:val="false"/>
      <w:suff w:val="tab"/>
      <w:lvlText w:val=""/>
      <w:lvlJc w:val="left"/>
      <w:pPr>
        <w:ind w:left="2220" w:hanging="360"/>
      </w:pPr>
      <w:rPr>
        <w:rFonts w:ascii="Wingdings" w:hAnsi="Wingdings"/>
      </w:rPr>
    </w:lvl>
    <w:lvl w:ilvl="3">
      <w:start w:val="1"/>
      <w:numFmt w:val="bullet"/>
      <w:isLgl w:val="false"/>
      <w:suff w:val="tab"/>
      <w:lvlText w:val=""/>
      <w:lvlJc w:val="left"/>
      <w:pPr>
        <w:ind w:left="2940" w:hanging="360"/>
      </w:pPr>
      <w:rPr>
        <w:rFonts w:ascii="Symbol" w:hAnsi="Symbol"/>
      </w:rPr>
    </w:lvl>
    <w:lvl w:ilvl="4">
      <w:start w:val="1"/>
      <w:numFmt w:val="bullet"/>
      <w:isLgl w:val="false"/>
      <w:suff w:val="tab"/>
      <w:lvlText w:val="o"/>
      <w:lvlJc w:val="left"/>
      <w:pPr>
        <w:ind w:left="3660" w:hanging="360"/>
      </w:pPr>
      <w:rPr>
        <w:rFonts w:ascii="Courier New" w:hAnsi="Courier New"/>
      </w:rPr>
    </w:lvl>
    <w:lvl w:ilvl="5">
      <w:start w:val="1"/>
      <w:numFmt w:val="bullet"/>
      <w:isLgl w:val="false"/>
      <w:suff w:val="tab"/>
      <w:lvlText w:val=""/>
      <w:lvlJc w:val="left"/>
      <w:pPr>
        <w:ind w:left="4380" w:hanging="360"/>
      </w:pPr>
      <w:rPr>
        <w:rFonts w:ascii="Wingdings" w:hAnsi="Wingdings"/>
      </w:rPr>
    </w:lvl>
    <w:lvl w:ilvl="6">
      <w:start w:val="1"/>
      <w:numFmt w:val="bullet"/>
      <w:isLgl w:val="false"/>
      <w:suff w:val="tab"/>
      <w:lvlText w:val=""/>
      <w:lvlJc w:val="left"/>
      <w:pPr>
        <w:ind w:left="5100" w:hanging="360"/>
      </w:pPr>
      <w:rPr>
        <w:rFonts w:ascii="Symbol" w:hAnsi="Symbol"/>
      </w:rPr>
    </w:lvl>
    <w:lvl w:ilvl="7">
      <w:start w:val="1"/>
      <w:numFmt w:val="bullet"/>
      <w:isLgl w:val="false"/>
      <w:suff w:val="tab"/>
      <w:lvlText w:val="o"/>
      <w:lvlJc w:val="left"/>
      <w:pPr>
        <w:ind w:left="5820" w:hanging="360"/>
      </w:pPr>
      <w:rPr>
        <w:rFonts w:ascii="Courier New" w:hAnsi="Courier New"/>
      </w:rPr>
    </w:lvl>
    <w:lvl w:ilvl="8">
      <w:start w:val="1"/>
      <w:numFmt w:val="bullet"/>
      <w:isLgl w:val="false"/>
      <w:suff w:val="tab"/>
      <w:lvlText w:val=""/>
      <w:lvlJc w:val="left"/>
      <w:pPr>
        <w:ind w:left="6540" w:hanging="360"/>
      </w:pPr>
      <w:rPr>
        <w:rFonts w:ascii="Wingdings" w:hAnsi="Wingdings"/>
      </w:rPr>
    </w:lvl>
  </w:abstractNum>
  <w:abstractNum w:abstractNumId="14">
    <w:multiLevelType w:val="hybridMultilevel"/>
    <w:lvl w:ilvl="0">
      <w:start w:val="1"/>
      <w:numFmt w:val="bullet"/>
      <w:isLgl w:val="false"/>
      <w:suff w:val="tab"/>
      <w:lvlText w:val="-"/>
      <w:lvlJc w:val="left"/>
      <w:pPr>
        <w:ind w:left="1944" w:hanging="360"/>
      </w:pPr>
      <w:rPr>
        <w:rFonts w:ascii="Times New Roman" w:hAnsi="Times New Roman"/>
      </w:rPr>
    </w:lvl>
    <w:lvl w:ilvl="1">
      <w:start w:val="1"/>
      <w:numFmt w:val="bullet"/>
      <w:isLgl w:val="false"/>
      <w:suff w:val="tab"/>
      <w:lvlText w:val="o"/>
      <w:lvlJc w:val="left"/>
      <w:pPr>
        <w:ind w:left="2664" w:hanging="360"/>
      </w:pPr>
      <w:rPr>
        <w:rFonts w:ascii="Courier New" w:hAnsi="Courier New"/>
      </w:rPr>
    </w:lvl>
    <w:lvl w:ilvl="2">
      <w:start w:val="1"/>
      <w:numFmt w:val="bullet"/>
      <w:isLgl w:val="false"/>
      <w:suff w:val="tab"/>
      <w:lvlText w:val=""/>
      <w:lvlJc w:val="left"/>
      <w:pPr>
        <w:ind w:left="3384" w:hanging="360"/>
      </w:pPr>
      <w:rPr>
        <w:rFonts w:ascii="Wingdings" w:hAnsi="Wingdings"/>
      </w:rPr>
    </w:lvl>
    <w:lvl w:ilvl="3">
      <w:start w:val="1"/>
      <w:numFmt w:val="bullet"/>
      <w:isLgl w:val="false"/>
      <w:suff w:val="tab"/>
      <w:lvlText w:val=""/>
      <w:lvlJc w:val="left"/>
      <w:pPr>
        <w:ind w:left="4104" w:hanging="360"/>
      </w:pPr>
      <w:rPr>
        <w:rFonts w:ascii="Symbol" w:hAnsi="Symbol"/>
      </w:rPr>
    </w:lvl>
    <w:lvl w:ilvl="4">
      <w:start w:val="1"/>
      <w:numFmt w:val="bullet"/>
      <w:isLgl w:val="false"/>
      <w:suff w:val="tab"/>
      <w:lvlText w:val="o"/>
      <w:lvlJc w:val="left"/>
      <w:pPr>
        <w:ind w:left="4824" w:hanging="360"/>
      </w:pPr>
      <w:rPr>
        <w:rFonts w:ascii="Courier New" w:hAnsi="Courier New"/>
      </w:rPr>
    </w:lvl>
    <w:lvl w:ilvl="5">
      <w:start w:val="1"/>
      <w:numFmt w:val="bullet"/>
      <w:isLgl w:val="false"/>
      <w:suff w:val="tab"/>
      <w:lvlText w:val=""/>
      <w:lvlJc w:val="left"/>
      <w:pPr>
        <w:ind w:left="5544" w:hanging="360"/>
      </w:pPr>
      <w:rPr>
        <w:rFonts w:ascii="Wingdings" w:hAnsi="Wingdings"/>
      </w:rPr>
    </w:lvl>
    <w:lvl w:ilvl="6">
      <w:start w:val="1"/>
      <w:numFmt w:val="bullet"/>
      <w:isLgl w:val="false"/>
      <w:suff w:val="tab"/>
      <w:lvlText w:val=""/>
      <w:lvlJc w:val="left"/>
      <w:pPr>
        <w:ind w:left="6264" w:hanging="360"/>
      </w:pPr>
      <w:rPr>
        <w:rFonts w:ascii="Symbol" w:hAnsi="Symbol"/>
      </w:rPr>
    </w:lvl>
    <w:lvl w:ilvl="7">
      <w:start w:val="1"/>
      <w:numFmt w:val="bullet"/>
      <w:isLgl w:val="false"/>
      <w:suff w:val="tab"/>
      <w:lvlText w:val="o"/>
      <w:lvlJc w:val="left"/>
      <w:pPr>
        <w:ind w:left="6984" w:hanging="360"/>
      </w:pPr>
      <w:rPr>
        <w:rFonts w:ascii="Courier New" w:hAnsi="Courier New"/>
      </w:rPr>
    </w:lvl>
    <w:lvl w:ilvl="8">
      <w:start w:val="1"/>
      <w:numFmt w:val="bullet"/>
      <w:isLgl w:val="false"/>
      <w:suff w:val="tab"/>
      <w:lvlText w:val=""/>
      <w:lvlJc w:val="left"/>
      <w:pPr>
        <w:ind w:left="7704" w:hanging="360"/>
      </w:pPr>
      <w:rPr>
        <w:rFonts w:ascii="Wingdings" w:hAnsi="Wingdings"/>
      </w:rPr>
    </w:lvl>
  </w:abstractNum>
  <w:abstractNum w:abstractNumId="15">
    <w:multiLevelType w:val="hybridMultilevel"/>
    <w:lvl w:ilvl="0">
      <w:start w:val="1"/>
      <w:numFmt w:val="bullet"/>
      <w:isLgl w:val="false"/>
      <w:suff w:val="tab"/>
      <w:lvlText w:val="-"/>
      <w:lvlJc w:val="left"/>
      <w:pPr>
        <w:ind w:left="1429" w:hanging="360"/>
      </w:pPr>
      <w:rPr>
        <w:rFonts w:ascii="Times New Roman" w:hAnsi="Times New Roman"/>
      </w:rPr>
    </w:lvl>
    <w:lvl w:ilvl="1">
      <w:start w:val="1"/>
      <w:numFmt w:val="bullet"/>
      <w:isLgl w:val="false"/>
      <w:suff w:val="tab"/>
      <w:lvlText w:val="o"/>
      <w:lvlJc w:val="left"/>
      <w:pPr>
        <w:ind w:left="2149" w:hanging="360"/>
      </w:pPr>
      <w:rPr>
        <w:rFonts w:ascii="Courier New" w:hAnsi="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rPr>
    </w:lvl>
    <w:lvl w:ilvl="8">
      <w:start w:val="1"/>
      <w:numFmt w:val="bullet"/>
      <w:isLgl w:val="false"/>
      <w:suff w:val="tab"/>
      <w:lvlText w:val=""/>
      <w:lvlJc w:val="left"/>
      <w:pPr>
        <w:ind w:left="7189" w:hanging="360"/>
      </w:pPr>
      <w:rPr>
        <w:rFonts w:ascii="Wingdings" w:hAnsi="Wingdings"/>
      </w:rPr>
    </w:lvl>
  </w:abstractNum>
  <w:abstractNum w:abstractNumId="16">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b w:val="0"/>
        <w:i w:val="0"/>
      </w:rPr>
    </w:lvl>
    <w:lvl w:ilvl="2">
      <w:start w:val="1"/>
      <w:numFmt w:val="decimal"/>
      <w:isLgl w:val="false"/>
      <w:suff w:val="tab"/>
      <w:lvlText w:val="%1.%2.%3."/>
      <w:lvlJc w:val="left"/>
      <w:pPr>
        <w:ind w:left="2064" w:hanging="504"/>
      </w:pPr>
      <w:rPr>
        <w:b w:val="0"/>
        <w:color w:val="000000"/>
      </w:rPr>
    </w:lvl>
    <w:lvl w:ilvl="3">
      <w:start w:val="1"/>
      <w:numFmt w:val="decimal"/>
      <w:isLgl w:val="false"/>
      <w:suff w:val="tab"/>
      <w:lvlText w:val="%1.%2.%3.%4."/>
      <w:lvlJc w:val="left"/>
      <w:pPr>
        <w:ind w:left="1728" w:hanging="648"/>
      </w:pPr>
      <w:rPr>
        <w:b w:val="0"/>
      </w:r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7">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b w:val="0"/>
        <w:i w:val="0"/>
      </w:rPr>
    </w:lvl>
    <w:lvl w:ilvl="2">
      <w:start w:val="1"/>
      <w:numFmt w:val="decimal"/>
      <w:isLgl w:val="false"/>
      <w:suff w:val="tab"/>
      <w:lvlText w:val="%1.%2.%3."/>
      <w:lvlJc w:val="left"/>
      <w:pPr>
        <w:ind w:left="2064" w:hanging="504"/>
      </w:pPr>
      <w:rPr>
        <w:b w:val="0"/>
        <w:color w:val="000000"/>
      </w:rPr>
    </w:lvl>
    <w:lvl w:ilvl="3">
      <w:start w:val="1"/>
      <w:numFmt w:val="decimal"/>
      <w:isLgl w:val="false"/>
      <w:suff w:val="tab"/>
      <w:lvlText w:val="%1.%2.%3.%4."/>
      <w:lvlJc w:val="left"/>
      <w:pPr>
        <w:ind w:left="1728" w:hanging="648"/>
      </w:pPr>
      <w:rPr>
        <w:b w:val="0"/>
      </w:r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8">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b w:val="0"/>
        <w:i w:val="0"/>
      </w:rPr>
    </w:lvl>
    <w:lvl w:ilvl="2">
      <w:start w:val="1"/>
      <w:numFmt w:val="decimal"/>
      <w:isLgl w:val="false"/>
      <w:suff w:val="tab"/>
      <w:lvlText w:val="%1.%2.%3."/>
      <w:lvlJc w:val="left"/>
      <w:pPr>
        <w:ind w:left="2064" w:hanging="504"/>
      </w:pPr>
      <w:rPr>
        <w:b w:val="0"/>
        <w:color w:val="000000"/>
      </w:rPr>
    </w:lvl>
    <w:lvl w:ilvl="3">
      <w:start w:val="1"/>
      <w:numFmt w:val="decimal"/>
      <w:isLgl w:val="false"/>
      <w:suff w:val="tab"/>
      <w:lvlText w:val="%1.%2.%3.%4."/>
      <w:lvlJc w:val="left"/>
      <w:pPr>
        <w:ind w:left="1728" w:hanging="648"/>
      </w:pPr>
      <w:rPr>
        <w:b w:val="0"/>
      </w:r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rFonts w:ascii="Times New Roman" w:hAnsi="Times New Roman" w:eastAsia="Times New Roman" w:cs="Times New Roman"/>
        <w:b w:val="0"/>
        <w:i w:val="0"/>
        <w:color w:val="000000" w:themeColor="text1"/>
      </w:rPr>
    </w:lvl>
    <w:lvl w:ilvl="2">
      <w:start w:val="1"/>
      <w:numFmt w:val="decimal"/>
      <w:isLgl w:val="false"/>
      <w:suff w:val="tab"/>
      <w:lvlText w:val="%1.%2.%3."/>
      <w:lvlJc w:val="left"/>
      <w:pPr>
        <w:ind w:left="2064" w:hanging="504"/>
      </w:pPr>
      <w:rPr>
        <w:b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num w:numId="1">
    <w:abstractNumId w:val="6"/>
  </w:num>
  <w:num w:numId="2">
    <w:abstractNumId w:val="13"/>
  </w:num>
  <w:num w:numId="3">
    <w:abstractNumId w:val="9"/>
  </w:num>
  <w:num w:numId="4">
    <w:abstractNumId w:val="5"/>
  </w:num>
  <w:num w:numId="5">
    <w:abstractNumId w:val="15"/>
  </w:num>
  <w:num w:numId="6">
    <w:abstractNumId w:val="12"/>
  </w:num>
  <w:num w:numId="7">
    <w:abstractNumId w:val="0"/>
  </w:num>
  <w:num w:numId="8">
    <w:abstractNumId w:val="10"/>
  </w:num>
  <w:num w:numId="9">
    <w:abstractNumId w:val="2"/>
  </w:num>
  <w:num w:numId="10">
    <w:abstractNumId w:val="14"/>
  </w:num>
  <w:num w:numId="11">
    <w:abstractNumId w:val="3"/>
  </w:num>
  <w:num w:numId="12">
    <w:abstractNumId w:val="7"/>
  </w:num>
  <w:num w:numId="13">
    <w:abstractNumId w:val="8"/>
  </w:num>
  <w:num w:numId="14">
    <w:abstractNumId w:val="11"/>
  </w:num>
  <w:num w:numId="15">
    <w:abstractNumId w:val="1"/>
  </w:num>
  <w:num w:numId="16">
    <w:abstractNumId w:val="4"/>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92">
    <w:name w:val="Heading 1 Char"/>
    <w:basedOn w:val="856"/>
    <w:link w:val="851"/>
    <w:uiPriority w:val="9"/>
    <w:rPr>
      <w:rFonts w:ascii="Arial" w:hAnsi="Arial" w:eastAsia="Arial" w:cs="Arial"/>
      <w:sz w:val="40"/>
      <w:szCs w:val="40"/>
    </w:rPr>
  </w:style>
  <w:style w:type="character" w:styleId="693">
    <w:name w:val="Heading 2 Char"/>
    <w:basedOn w:val="856"/>
    <w:link w:val="852"/>
    <w:uiPriority w:val="9"/>
    <w:rPr>
      <w:rFonts w:ascii="Arial" w:hAnsi="Arial" w:eastAsia="Arial" w:cs="Arial"/>
      <w:sz w:val="34"/>
    </w:rPr>
  </w:style>
  <w:style w:type="character" w:styleId="694">
    <w:name w:val="Heading 3 Char"/>
    <w:basedOn w:val="856"/>
    <w:link w:val="853"/>
    <w:uiPriority w:val="9"/>
    <w:rPr>
      <w:rFonts w:ascii="Arial" w:hAnsi="Arial" w:eastAsia="Arial" w:cs="Arial"/>
      <w:sz w:val="30"/>
      <w:szCs w:val="30"/>
    </w:rPr>
  </w:style>
  <w:style w:type="character" w:styleId="695">
    <w:name w:val="Heading 4 Char"/>
    <w:basedOn w:val="856"/>
    <w:link w:val="854"/>
    <w:uiPriority w:val="9"/>
    <w:rPr>
      <w:rFonts w:ascii="Arial" w:hAnsi="Arial" w:eastAsia="Arial" w:cs="Arial"/>
      <w:b/>
      <w:bCs/>
      <w:sz w:val="26"/>
      <w:szCs w:val="26"/>
    </w:rPr>
  </w:style>
  <w:style w:type="character" w:styleId="696">
    <w:name w:val="Heading 5 Char"/>
    <w:basedOn w:val="856"/>
    <w:link w:val="855"/>
    <w:uiPriority w:val="9"/>
    <w:rPr>
      <w:rFonts w:ascii="Arial" w:hAnsi="Arial" w:eastAsia="Arial" w:cs="Arial"/>
      <w:b/>
      <w:bCs/>
      <w:sz w:val="24"/>
      <w:szCs w:val="24"/>
    </w:rPr>
  </w:style>
  <w:style w:type="paragraph" w:styleId="697">
    <w:name w:val="Heading 6"/>
    <w:basedOn w:val="850"/>
    <w:next w:val="850"/>
    <w:link w:val="698"/>
    <w:uiPriority w:val="9"/>
    <w:unhideWhenUsed/>
    <w:qFormat/>
    <w:pPr>
      <w:keepLines/>
      <w:keepNext/>
      <w:spacing w:before="320" w:after="200"/>
      <w:outlineLvl w:val="5"/>
    </w:pPr>
    <w:rPr>
      <w:rFonts w:ascii="Arial" w:hAnsi="Arial" w:eastAsia="Arial" w:cs="Arial"/>
      <w:b/>
      <w:bCs/>
      <w:sz w:val="22"/>
      <w:szCs w:val="22"/>
    </w:rPr>
  </w:style>
  <w:style w:type="character" w:styleId="698">
    <w:name w:val="Heading 6 Char"/>
    <w:basedOn w:val="856"/>
    <w:link w:val="697"/>
    <w:uiPriority w:val="9"/>
    <w:rPr>
      <w:rFonts w:ascii="Arial" w:hAnsi="Arial" w:eastAsia="Arial" w:cs="Arial"/>
      <w:b/>
      <w:bCs/>
      <w:sz w:val="22"/>
      <w:szCs w:val="22"/>
    </w:rPr>
  </w:style>
  <w:style w:type="paragraph" w:styleId="699">
    <w:name w:val="Heading 7"/>
    <w:basedOn w:val="850"/>
    <w:next w:val="850"/>
    <w:link w:val="700"/>
    <w:uiPriority w:val="9"/>
    <w:unhideWhenUsed/>
    <w:qFormat/>
    <w:pPr>
      <w:keepLines/>
      <w:keepNext/>
      <w:spacing w:before="320" w:after="200"/>
      <w:outlineLvl w:val="6"/>
    </w:pPr>
    <w:rPr>
      <w:rFonts w:ascii="Arial" w:hAnsi="Arial" w:eastAsia="Arial" w:cs="Arial"/>
      <w:b/>
      <w:bCs/>
      <w:i/>
      <w:iCs/>
      <w:sz w:val="22"/>
      <w:szCs w:val="22"/>
    </w:rPr>
  </w:style>
  <w:style w:type="character" w:styleId="700">
    <w:name w:val="Heading 7 Char"/>
    <w:basedOn w:val="856"/>
    <w:link w:val="699"/>
    <w:uiPriority w:val="9"/>
    <w:rPr>
      <w:rFonts w:ascii="Arial" w:hAnsi="Arial" w:eastAsia="Arial" w:cs="Arial"/>
      <w:b/>
      <w:bCs/>
      <w:i/>
      <w:iCs/>
      <w:sz w:val="22"/>
      <w:szCs w:val="22"/>
    </w:rPr>
  </w:style>
  <w:style w:type="paragraph" w:styleId="701">
    <w:name w:val="Heading 8"/>
    <w:basedOn w:val="850"/>
    <w:next w:val="850"/>
    <w:link w:val="702"/>
    <w:uiPriority w:val="9"/>
    <w:unhideWhenUsed/>
    <w:qFormat/>
    <w:pPr>
      <w:keepLines/>
      <w:keepNext/>
      <w:spacing w:before="320" w:after="200"/>
      <w:outlineLvl w:val="7"/>
    </w:pPr>
    <w:rPr>
      <w:rFonts w:ascii="Arial" w:hAnsi="Arial" w:eastAsia="Arial" w:cs="Arial"/>
      <w:i/>
      <w:iCs/>
      <w:sz w:val="22"/>
      <w:szCs w:val="22"/>
    </w:rPr>
  </w:style>
  <w:style w:type="character" w:styleId="702">
    <w:name w:val="Heading 8 Char"/>
    <w:basedOn w:val="856"/>
    <w:link w:val="701"/>
    <w:uiPriority w:val="9"/>
    <w:rPr>
      <w:rFonts w:ascii="Arial" w:hAnsi="Arial" w:eastAsia="Arial" w:cs="Arial"/>
      <w:i/>
      <w:iCs/>
      <w:sz w:val="22"/>
      <w:szCs w:val="22"/>
    </w:rPr>
  </w:style>
  <w:style w:type="paragraph" w:styleId="703">
    <w:name w:val="Heading 9"/>
    <w:basedOn w:val="850"/>
    <w:next w:val="850"/>
    <w:link w:val="704"/>
    <w:uiPriority w:val="9"/>
    <w:unhideWhenUsed/>
    <w:qFormat/>
    <w:pPr>
      <w:keepLines/>
      <w:keepNext/>
      <w:spacing w:before="320" w:after="200"/>
      <w:outlineLvl w:val="8"/>
    </w:pPr>
    <w:rPr>
      <w:rFonts w:ascii="Arial" w:hAnsi="Arial" w:eastAsia="Arial" w:cs="Arial"/>
      <w:i/>
      <w:iCs/>
      <w:sz w:val="21"/>
      <w:szCs w:val="21"/>
    </w:rPr>
  </w:style>
  <w:style w:type="character" w:styleId="704">
    <w:name w:val="Heading 9 Char"/>
    <w:basedOn w:val="856"/>
    <w:link w:val="703"/>
    <w:uiPriority w:val="9"/>
    <w:rPr>
      <w:rFonts w:ascii="Arial" w:hAnsi="Arial" w:eastAsia="Arial" w:cs="Arial"/>
      <w:i/>
      <w:iCs/>
      <w:sz w:val="21"/>
      <w:szCs w:val="21"/>
    </w:rPr>
  </w:style>
  <w:style w:type="character" w:styleId="705">
    <w:name w:val="Title Char"/>
    <w:basedOn w:val="856"/>
    <w:link w:val="926"/>
    <w:uiPriority w:val="10"/>
    <w:rPr>
      <w:sz w:val="48"/>
      <w:szCs w:val="48"/>
    </w:rPr>
  </w:style>
  <w:style w:type="character" w:styleId="706">
    <w:name w:val="Subtitle Char"/>
    <w:basedOn w:val="856"/>
    <w:link w:val="922"/>
    <w:uiPriority w:val="11"/>
    <w:rPr>
      <w:sz w:val="24"/>
      <w:szCs w:val="24"/>
    </w:rPr>
  </w:style>
  <w:style w:type="paragraph" w:styleId="707">
    <w:name w:val="Quote"/>
    <w:basedOn w:val="850"/>
    <w:next w:val="850"/>
    <w:link w:val="708"/>
    <w:uiPriority w:val="29"/>
    <w:qFormat/>
    <w:pPr>
      <w:ind w:left="720" w:right="720"/>
    </w:pPr>
    <w:rPr>
      <w:i/>
    </w:rPr>
  </w:style>
  <w:style w:type="character" w:styleId="708">
    <w:name w:val="Quote Char"/>
    <w:link w:val="707"/>
    <w:uiPriority w:val="29"/>
    <w:rPr>
      <w:i/>
    </w:rPr>
  </w:style>
  <w:style w:type="paragraph" w:styleId="709">
    <w:name w:val="Intense Quote"/>
    <w:basedOn w:val="850"/>
    <w:next w:val="850"/>
    <w:link w:val="71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0">
    <w:name w:val="Intense Quote Char"/>
    <w:link w:val="709"/>
    <w:uiPriority w:val="30"/>
    <w:rPr>
      <w:i/>
    </w:rPr>
  </w:style>
  <w:style w:type="paragraph" w:styleId="711">
    <w:name w:val="Header"/>
    <w:basedOn w:val="850"/>
    <w:link w:val="712"/>
    <w:uiPriority w:val="99"/>
    <w:unhideWhenUsed/>
    <w:pPr>
      <w:spacing w:after="0" w:line="240" w:lineRule="auto"/>
      <w:tabs>
        <w:tab w:val="center" w:pos="7143" w:leader="none"/>
        <w:tab w:val="right" w:pos="14287" w:leader="none"/>
      </w:tabs>
    </w:pPr>
  </w:style>
  <w:style w:type="character" w:styleId="712">
    <w:name w:val="Header Char"/>
    <w:basedOn w:val="856"/>
    <w:link w:val="711"/>
    <w:uiPriority w:val="99"/>
  </w:style>
  <w:style w:type="paragraph" w:styleId="713">
    <w:name w:val="Footer"/>
    <w:basedOn w:val="850"/>
    <w:link w:val="714"/>
    <w:uiPriority w:val="99"/>
    <w:unhideWhenUsed/>
    <w:pPr>
      <w:spacing w:after="0" w:line="240" w:lineRule="auto"/>
      <w:tabs>
        <w:tab w:val="center" w:pos="7143" w:leader="none"/>
        <w:tab w:val="right" w:pos="14287" w:leader="none"/>
      </w:tabs>
    </w:pPr>
  </w:style>
  <w:style w:type="character" w:styleId="714">
    <w:name w:val="Footer Char"/>
    <w:basedOn w:val="856"/>
    <w:link w:val="713"/>
    <w:uiPriority w:val="99"/>
  </w:style>
  <w:style w:type="paragraph" w:styleId="715">
    <w:name w:val="Caption"/>
    <w:basedOn w:val="850"/>
    <w:next w:val="850"/>
    <w:link w:val="716"/>
    <w:uiPriority w:val="35"/>
    <w:semiHidden/>
    <w:unhideWhenUsed/>
    <w:qFormat/>
    <w:pPr>
      <w:spacing w:line="276" w:lineRule="auto"/>
    </w:pPr>
    <w:rPr>
      <w:b/>
      <w:bCs/>
      <w:color w:val="4f81bd" w:themeColor="accent1"/>
      <w:sz w:val="18"/>
      <w:szCs w:val="18"/>
    </w:rPr>
  </w:style>
  <w:style w:type="character" w:styleId="716">
    <w:name w:val="Caption Char"/>
    <w:basedOn w:val="856"/>
    <w:link w:val="715"/>
    <w:uiPriority w:val="35"/>
    <w:rPr>
      <w:b/>
      <w:bCs/>
      <w:color w:val="4f81bd" w:themeColor="accent1"/>
      <w:sz w:val="18"/>
      <w:szCs w:val="18"/>
    </w:rPr>
  </w:style>
  <w:style w:type="table" w:styleId="717">
    <w:name w:val="Table Grid Light"/>
    <w:basedOn w:val="85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8">
    <w:name w:val="Plain Table 1"/>
    <w:basedOn w:val="85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9">
    <w:name w:val="Plain Table 2"/>
    <w:basedOn w:val="85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0">
    <w:name w:val="Plain Table 3"/>
    <w:basedOn w:val="85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1">
    <w:name w:val="Plain Table 4"/>
    <w:basedOn w:val="85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2">
    <w:name w:val="Plain Table 5"/>
    <w:basedOn w:val="85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3">
    <w:name w:val="Grid Table 1 Light"/>
    <w:basedOn w:val="85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4">
    <w:name w:val="Grid Table 1 Light - Accent 1"/>
    <w:basedOn w:val="85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5">
    <w:name w:val="Grid Table 1 Light - Accent 2"/>
    <w:basedOn w:val="85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26">
    <w:name w:val="Grid Table 1 Light - Accent 3"/>
    <w:basedOn w:val="85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27">
    <w:name w:val="Grid Table 1 Light - Accent 4"/>
    <w:basedOn w:val="85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8">
    <w:name w:val="Grid Table 1 Light - Accent 5"/>
    <w:basedOn w:val="85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9">
    <w:name w:val="Grid Table 1 Light - Accent 6"/>
    <w:basedOn w:val="85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0">
    <w:name w:val="Grid Table 2"/>
    <w:basedOn w:val="85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1">
    <w:name w:val="Grid Table 2 - Accent 1"/>
    <w:basedOn w:val="85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2">
    <w:name w:val="Grid Table 2 - Accent 2"/>
    <w:basedOn w:val="85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3">
    <w:name w:val="Grid Table 2 - Accent 3"/>
    <w:basedOn w:val="85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4">
    <w:name w:val="Grid Table 2 - Accent 4"/>
    <w:basedOn w:val="85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5">
    <w:name w:val="Grid Table 2 - Accent 5"/>
    <w:basedOn w:val="85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36">
    <w:name w:val="Grid Table 2 - Accent 6"/>
    <w:basedOn w:val="85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37">
    <w:name w:val="Grid Table 3"/>
    <w:basedOn w:val="85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8">
    <w:name w:val="Grid Table 3 - Accent 1"/>
    <w:basedOn w:val="85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9">
    <w:name w:val="Grid Table 3 - Accent 2"/>
    <w:basedOn w:val="85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0">
    <w:name w:val="Grid Table 3 - Accent 3"/>
    <w:basedOn w:val="85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1">
    <w:name w:val="Grid Table 3 - Accent 4"/>
    <w:basedOn w:val="85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2">
    <w:name w:val="Grid Table 3 - Accent 5"/>
    <w:basedOn w:val="85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6"/>
    <w:basedOn w:val="85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4"/>
    <w:basedOn w:val="85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5">
    <w:name w:val="Grid Table 4 - Accent 1"/>
    <w:basedOn w:val="85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46">
    <w:name w:val="Grid Table 4 - Accent 2"/>
    <w:basedOn w:val="85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47">
    <w:name w:val="Grid Table 4 - Accent 3"/>
    <w:basedOn w:val="85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8">
    <w:name w:val="Grid Table 4 - Accent 4"/>
    <w:basedOn w:val="85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9">
    <w:name w:val="Grid Table 4 - Accent 5"/>
    <w:basedOn w:val="85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0">
    <w:name w:val="Grid Table 4 - Accent 6"/>
    <w:basedOn w:val="85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1">
    <w:name w:val="Grid Table 5 Dark"/>
    <w:basedOn w:val="85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2">
    <w:name w:val="Grid Table 5 Dark- Accent 1"/>
    <w:basedOn w:val="85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53">
    <w:name w:val="Grid Table 5 Dark - Accent 2"/>
    <w:basedOn w:val="85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54">
    <w:name w:val="Grid Table 5 Dark - Accent 3"/>
    <w:basedOn w:val="85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55">
    <w:name w:val="Grid Table 5 Dark- Accent 4"/>
    <w:basedOn w:val="85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56">
    <w:name w:val="Grid Table 5 Dark - Accent 5"/>
    <w:basedOn w:val="85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57">
    <w:name w:val="Grid Table 5 Dark - Accent 6"/>
    <w:basedOn w:val="85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58">
    <w:name w:val="Grid Table 6 Colorful"/>
    <w:basedOn w:val="85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59">
    <w:name w:val="Grid Table 6 Colorful - Accent 1"/>
    <w:basedOn w:val="85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60">
    <w:name w:val="Grid Table 6 Colorful - Accent 2"/>
    <w:basedOn w:val="85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61">
    <w:name w:val="Grid Table 6 Colorful - Accent 3"/>
    <w:basedOn w:val="85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62">
    <w:name w:val="Grid Table 6 Colorful - Accent 4"/>
    <w:basedOn w:val="85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63">
    <w:name w:val="Grid Table 6 Colorful - Accent 5"/>
    <w:basedOn w:val="85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64">
    <w:name w:val="Grid Table 6 Colorful - Accent 6"/>
    <w:basedOn w:val="85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65">
    <w:name w:val="Grid Table 7 Colorful"/>
    <w:basedOn w:val="85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66">
    <w:name w:val="Grid Table 7 Colorful - Accent 1"/>
    <w:basedOn w:val="85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67">
    <w:name w:val="Grid Table 7 Colorful - Accent 2"/>
    <w:basedOn w:val="85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8">
    <w:name w:val="Grid Table 7 Colorful - Accent 3"/>
    <w:basedOn w:val="85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9">
    <w:name w:val="Grid Table 7 Colorful - Accent 4"/>
    <w:basedOn w:val="85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0">
    <w:name w:val="Grid Table 7 Colorful - Accent 5"/>
    <w:basedOn w:val="85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1">
    <w:name w:val="Grid Table 7 Colorful - Accent 6"/>
    <w:basedOn w:val="85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2">
    <w:name w:val="List Table 1 Light"/>
    <w:basedOn w:val="85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3">
    <w:name w:val="List Table 1 Light - Accent 1"/>
    <w:basedOn w:val="857"/>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4">
    <w:name w:val="List Table 1 Light - Accent 2"/>
    <w:basedOn w:val="85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5">
    <w:name w:val="List Table 1 Light - Accent 3"/>
    <w:basedOn w:val="85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76">
    <w:name w:val="List Table 1 Light - Accent 4"/>
    <w:basedOn w:val="85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77">
    <w:name w:val="List Table 1 Light - Accent 5"/>
    <w:basedOn w:val="857"/>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8">
    <w:name w:val="List Table 1 Light - Accent 6"/>
    <w:basedOn w:val="85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9">
    <w:name w:val="List Table 2"/>
    <w:basedOn w:val="85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0">
    <w:name w:val="List Table 2 - Accent 1"/>
    <w:basedOn w:val="85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1">
    <w:name w:val="List Table 2 - Accent 2"/>
    <w:basedOn w:val="85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2">
    <w:name w:val="List Table 2 - Accent 3"/>
    <w:basedOn w:val="85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3">
    <w:name w:val="List Table 2 - Accent 4"/>
    <w:basedOn w:val="85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4">
    <w:name w:val="List Table 2 - Accent 5"/>
    <w:basedOn w:val="85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5">
    <w:name w:val="List Table 2 - Accent 6"/>
    <w:basedOn w:val="85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86">
    <w:name w:val="List Table 3"/>
    <w:basedOn w:val="85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7">
    <w:name w:val="List Table 3 - Accent 1"/>
    <w:basedOn w:val="85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88">
    <w:name w:val="List Table 3 - Accent 2"/>
    <w:basedOn w:val="85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89">
    <w:name w:val="List Table 3 - Accent 3"/>
    <w:basedOn w:val="85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90">
    <w:name w:val="List Table 3 - Accent 4"/>
    <w:basedOn w:val="85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91">
    <w:name w:val="List Table 3 - Accent 5"/>
    <w:basedOn w:val="85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92">
    <w:name w:val="List Table 3 - Accent 6"/>
    <w:basedOn w:val="85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93">
    <w:name w:val="List Table 4"/>
    <w:basedOn w:val="85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4">
    <w:name w:val="List Table 4 - Accent 1"/>
    <w:basedOn w:val="85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95">
    <w:name w:val="List Table 4 - Accent 2"/>
    <w:basedOn w:val="85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96">
    <w:name w:val="List Table 4 - Accent 3"/>
    <w:basedOn w:val="85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97">
    <w:name w:val="List Table 4 - Accent 4"/>
    <w:basedOn w:val="85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98">
    <w:name w:val="List Table 4 - Accent 5"/>
    <w:basedOn w:val="85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99">
    <w:name w:val="List Table 4 - Accent 6"/>
    <w:basedOn w:val="85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00">
    <w:name w:val="List Table 5 Dark"/>
    <w:basedOn w:val="85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1">
    <w:name w:val="List Table 5 Dark - Accent 1"/>
    <w:basedOn w:val="85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2">
    <w:name w:val="List Table 5 Dark - Accent 2"/>
    <w:basedOn w:val="85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3">
    <w:name w:val="List Table 5 Dark - Accent 3"/>
    <w:basedOn w:val="85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4">
    <w:name w:val="List Table 5 Dark - Accent 4"/>
    <w:basedOn w:val="85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5">
    <w:name w:val="List Table 5 Dark - Accent 5"/>
    <w:basedOn w:val="85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6">
    <w:name w:val="List Table 5 Dark - Accent 6"/>
    <w:basedOn w:val="85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6 Colorful"/>
    <w:basedOn w:val="85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8">
    <w:name w:val="List Table 6 Colorful - Accent 1"/>
    <w:basedOn w:val="85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09">
    <w:name w:val="List Table 6 Colorful - Accent 2"/>
    <w:basedOn w:val="85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10">
    <w:name w:val="List Table 6 Colorful - Accent 3"/>
    <w:basedOn w:val="85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11">
    <w:name w:val="List Table 6 Colorful - Accent 4"/>
    <w:basedOn w:val="85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12">
    <w:name w:val="List Table 6 Colorful - Accent 5"/>
    <w:basedOn w:val="85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13">
    <w:name w:val="List Table 6 Colorful - Accent 6"/>
    <w:basedOn w:val="85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14">
    <w:name w:val="List Table 7 Colorful"/>
    <w:basedOn w:val="85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5">
    <w:name w:val="List Table 7 Colorful - Accent 1"/>
    <w:basedOn w:val="85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16">
    <w:name w:val="List Table 7 Colorful - Accent 2"/>
    <w:basedOn w:val="85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17">
    <w:name w:val="List Table 7 Colorful - Accent 3"/>
    <w:basedOn w:val="85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18">
    <w:name w:val="List Table 7 Colorful - Accent 4"/>
    <w:basedOn w:val="85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19">
    <w:name w:val="List Table 7 Colorful - Accent 5"/>
    <w:basedOn w:val="85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20">
    <w:name w:val="List Table 7 Colorful - Accent 6"/>
    <w:basedOn w:val="85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21">
    <w:name w:val="Lined - Accent"/>
    <w:basedOn w:val="85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2">
    <w:name w:val="Lined - Accent 1"/>
    <w:basedOn w:val="85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23">
    <w:name w:val="Lined - Accent 2"/>
    <w:basedOn w:val="85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24">
    <w:name w:val="Lined - Accent 3"/>
    <w:basedOn w:val="85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25">
    <w:name w:val="Lined - Accent 4"/>
    <w:basedOn w:val="85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26">
    <w:name w:val="Lined - Accent 5"/>
    <w:basedOn w:val="85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27">
    <w:name w:val="Lined - Accent 6"/>
    <w:basedOn w:val="85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28">
    <w:name w:val="Bordered &amp; Lined - Accent"/>
    <w:basedOn w:val="85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9">
    <w:name w:val="Bordered &amp; Lined - Accent 1"/>
    <w:basedOn w:val="85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30">
    <w:name w:val="Bordered &amp; Lined - Accent 2"/>
    <w:basedOn w:val="85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31">
    <w:name w:val="Bordered &amp; Lined - Accent 3"/>
    <w:basedOn w:val="85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32">
    <w:name w:val="Bordered &amp; Lined - Accent 4"/>
    <w:basedOn w:val="85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3">
    <w:name w:val="Bordered &amp; Lined - Accent 5"/>
    <w:basedOn w:val="85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4">
    <w:name w:val="Bordered &amp; Lined - Accent 6"/>
    <w:basedOn w:val="85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35">
    <w:name w:val="Bordered"/>
    <w:basedOn w:val="85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36">
    <w:name w:val="Bordered - Accent 1"/>
    <w:basedOn w:val="85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37">
    <w:name w:val="Bordered - Accent 2"/>
    <w:basedOn w:val="85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38">
    <w:name w:val="Bordered - Accent 3"/>
    <w:basedOn w:val="85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39">
    <w:name w:val="Bordered - Accent 4"/>
    <w:basedOn w:val="85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0">
    <w:name w:val="Bordered - Accent 5"/>
    <w:basedOn w:val="85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1">
    <w:name w:val="Bordered - Accent 6"/>
    <w:basedOn w:val="85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42">
    <w:name w:val="footnote text"/>
    <w:basedOn w:val="850"/>
    <w:link w:val="843"/>
    <w:uiPriority w:val="99"/>
    <w:semiHidden/>
    <w:unhideWhenUsed/>
    <w:pPr>
      <w:spacing w:after="40" w:line="240" w:lineRule="auto"/>
    </w:pPr>
    <w:rPr>
      <w:sz w:val="18"/>
    </w:rPr>
  </w:style>
  <w:style w:type="character" w:styleId="843">
    <w:name w:val="Footnote Text Char"/>
    <w:link w:val="842"/>
    <w:uiPriority w:val="99"/>
    <w:rPr>
      <w:sz w:val="18"/>
    </w:rPr>
  </w:style>
  <w:style w:type="character" w:styleId="844">
    <w:name w:val="footnote reference"/>
    <w:basedOn w:val="856"/>
    <w:uiPriority w:val="99"/>
    <w:unhideWhenUsed/>
    <w:rPr>
      <w:vertAlign w:val="superscript"/>
    </w:rPr>
  </w:style>
  <w:style w:type="paragraph" w:styleId="845">
    <w:name w:val="endnote text"/>
    <w:basedOn w:val="850"/>
    <w:link w:val="846"/>
    <w:uiPriority w:val="99"/>
    <w:semiHidden/>
    <w:unhideWhenUsed/>
    <w:pPr>
      <w:spacing w:after="0" w:line="240" w:lineRule="auto"/>
    </w:pPr>
    <w:rPr>
      <w:sz w:val="20"/>
    </w:rPr>
  </w:style>
  <w:style w:type="character" w:styleId="846">
    <w:name w:val="Endnote Text Char"/>
    <w:link w:val="845"/>
    <w:uiPriority w:val="99"/>
    <w:rPr>
      <w:sz w:val="20"/>
    </w:rPr>
  </w:style>
  <w:style w:type="character" w:styleId="847">
    <w:name w:val="endnote reference"/>
    <w:basedOn w:val="856"/>
    <w:uiPriority w:val="99"/>
    <w:semiHidden/>
    <w:unhideWhenUsed/>
    <w:rPr>
      <w:vertAlign w:val="superscript"/>
    </w:rPr>
  </w:style>
  <w:style w:type="paragraph" w:styleId="848">
    <w:name w:val="TOC Heading"/>
    <w:uiPriority w:val="39"/>
    <w:unhideWhenUsed/>
  </w:style>
  <w:style w:type="paragraph" w:styleId="849">
    <w:name w:val="table of figures"/>
    <w:basedOn w:val="850"/>
    <w:next w:val="850"/>
    <w:uiPriority w:val="99"/>
    <w:unhideWhenUsed/>
    <w:pPr>
      <w:spacing w:after="0" w:afterAutospacing="0"/>
    </w:pPr>
  </w:style>
  <w:style w:type="paragraph" w:styleId="850" w:default="1">
    <w:name w:val="Normal"/>
    <w:link w:val="859"/>
    <w:qFormat/>
    <w:pPr>
      <w:spacing w:after="0" w:line="240" w:lineRule="auto"/>
    </w:pPr>
    <w:rPr>
      <w:rFonts w:ascii="Times New Roman" w:hAnsi="Times New Roman"/>
      <w:sz w:val="24"/>
    </w:rPr>
  </w:style>
  <w:style w:type="paragraph" w:styleId="851">
    <w:name w:val="Heading 1"/>
    <w:basedOn w:val="850"/>
    <w:link w:val="900"/>
    <w:uiPriority w:val="9"/>
    <w:qFormat/>
    <w:pPr>
      <w:ind w:left="150"/>
      <w:spacing w:beforeAutospacing="1" w:afterAutospacing="1"/>
      <w:outlineLvl w:val="0"/>
    </w:pPr>
  </w:style>
  <w:style w:type="paragraph" w:styleId="852">
    <w:name w:val="Heading 2"/>
    <w:basedOn w:val="850"/>
    <w:next w:val="850"/>
    <w:link w:val="929"/>
    <w:uiPriority w:val="9"/>
    <w:qFormat/>
    <w:pPr>
      <w:keepLines/>
      <w:keepNext/>
      <w:spacing w:before="40"/>
      <w:outlineLvl w:val="1"/>
    </w:pPr>
    <w:rPr>
      <w:rFonts w:asciiTheme="majorHAnsi" w:hAnsiTheme="majorHAnsi"/>
      <w:color w:val="2e74b5" w:themeColor="accent1" w:themeShade="BF"/>
      <w:sz w:val="26"/>
    </w:rPr>
  </w:style>
  <w:style w:type="paragraph" w:styleId="853">
    <w:name w:val="Heading 3"/>
    <w:next w:val="850"/>
    <w:link w:val="876"/>
    <w:uiPriority w:val="9"/>
    <w:qFormat/>
    <w:pPr>
      <w:jc w:val="both"/>
      <w:spacing w:before="120" w:after="120"/>
      <w:outlineLvl w:val="2"/>
    </w:pPr>
    <w:rPr>
      <w:rFonts w:ascii="XO Thames" w:hAnsi="XO Thames"/>
      <w:b/>
      <w:sz w:val="26"/>
    </w:rPr>
  </w:style>
  <w:style w:type="paragraph" w:styleId="854">
    <w:name w:val="Heading 4"/>
    <w:next w:val="850"/>
    <w:link w:val="928"/>
    <w:uiPriority w:val="9"/>
    <w:qFormat/>
    <w:pPr>
      <w:jc w:val="both"/>
      <w:spacing w:before="120" w:after="120"/>
      <w:outlineLvl w:val="3"/>
    </w:pPr>
    <w:rPr>
      <w:rFonts w:ascii="XO Thames" w:hAnsi="XO Thames"/>
      <w:b/>
      <w:sz w:val="24"/>
    </w:rPr>
  </w:style>
  <w:style w:type="paragraph" w:styleId="855">
    <w:name w:val="Heading 5"/>
    <w:next w:val="850"/>
    <w:link w:val="899"/>
    <w:uiPriority w:val="9"/>
    <w:qFormat/>
    <w:pPr>
      <w:jc w:val="both"/>
      <w:spacing w:before="120" w:after="120"/>
      <w:outlineLvl w:val="4"/>
    </w:pPr>
    <w:rPr>
      <w:rFonts w:ascii="XO Thames" w:hAnsi="XO Thames"/>
      <w:b/>
    </w:rPr>
  </w:style>
  <w:style w:type="character" w:styleId="856" w:default="1">
    <w:name w:val="Default Paragraph Font"/>
    <w:uiPriority w:val="1"/>
    <w:semiHidden/>
    <w:unhideWhenUsed/>
  </w:style>
  <w:style w:type="table" w:styleId="857" w:default="1">
    <w:name w:val="Normal Table"/>
    <w:uiPriority w:val="99"/>
    <w:semiHidden/>
    <w:unhideWhenUsed/>
    <w:tblPr>
      <w:tblInd w:w="0" w:type="dxa"/>
      <w:tblCellMar>
        <w:left w:w="108" w:type="dxa"/>
        <w:top w:w="0" w:type="dxa"/>
        <w:right w:w="108" w:type="dxa"/>
        <w:bottom w:w="0" w:type="dxa"/>
      </w:tblCellMar>
    </w:tblPr>
  </w:style>
  <w:style w:type="numbering" w:styleId="858" w:default="1">
    <w:name w:val="No List"/>
    <w:uiPriority w:val="99"/>
    <w:semiHidden/>
    <w:unhideWhenUsed/>
  </w:style>
  <w:style w:type="character" w:styleId="859" w:customStyle="1">
    <w:name w:val="Обычный1"/>
    <w:rPr>
      <w:rFonts w:ascii="Times New Roman" w:hAnsi="Times New Roman"/>
      <w:sz w:val="24"/>
    </w:rPr>
  </w:style>
  <w:style w:type="paragraph" w:styleId="860">
    <w:name w:val="toc 2"/>
    <w:next w:val="850"/>
    <w:link w:val="861"/>
    <w:uiPriority w:val="39"/>
    <w:pPr>
      <w:ind w:left="200"/>
    </w:pPr>
    <w:rPr>
      <w:rFonts w:ascii="XO Thames" w:hAnsi="XO Thames"/>
      <w:sz w:val="28"/>
    </w:rPr>
  </w:style>
  <w:style w:type="character" w:styleId="861" w:customStyle="1">
    <w:name w:val="Оглавление 2 Знак"/>
    <w:link w:val="860"/>
    <w:rPr>
      <w:rFonts w:ascii="XO Thames" w:hAnsi="XO Thames"/>
      <w:sz w:val="28"/>
    </w:rPr>
  </w:style>
  <w:style w:type="paragraph" w:styleId="862">
    <w:name w:val="Normal (Web)"/>
    <w:basedOn w:val="850"/>
    <w:link w:val="863"/>
  </w:style>
  <w:style w:type="character" w:styleId="863" w:customStyle="1">
    <w:name w:val="Обычный (веб) Знак"/>
    <w:basedOn w:val="859"/>
    <w:link w:val="862"/>
    <w:rPr>
      <w:rFonts w:ascii="Times New Roman" w:hAnsi="Times New Roman"/>
      <w:sz w:val="24"/>
    </w:rPr>
  </w:style>
  <w:style w:type="paragraph" w:styleId="864">
    <w:name w:val="toc 4"/>
    <w:next w:val="850"/>
    <w:link w:val="865"/>
    <w:uiPriority w:val="39"/>
    <w:pPr>
      <w:ind w:left="600"/>
    </w:pPr>
    <w:rPr>
      <w:rFonts w:ascii="XO Thames" w:hAnsi="XO Thames"/>
      <w:sz w:val="28"/>
    </w:rPr>
  </w:style>
  <w:style w:type="character" w:styleId="865" w:customStyle="1">
    <w:name w:val="Оглавление 4 Знак"/>
    <w:link w:val="864"/>
    <w:rPr>
      <w:rFonts w:ascii="XO Thames" w:hAnsi="XO Thames"/>
      <w:sz w:val="28"/>
    </w:rPr>
  </w:style>
  <w:style w:type="paragraph" w:styleId="866">
    <w:name w:val="toc 6"/>
    <w:next w:val="850"/>
    <w:link w:val="867"/>
    <w:uiPriority w:val="39"/>
    <w:pPr>
      <w:ind w:left="1000"/>
    </w:pPr>
    <w:rPr>
      <w:rFonts w:ascii="XO Thames" w:hAnsi="XO Thames"/>
      <w:sz w:val="28"/>
    </w:rPr>
  </w:style>
  <w:style w:type="character" w:styleId="867" w:customStyle="1">
    <w:name w:val="Оглавление 6 Знак"/>
    <w:link w:val="866"/>
    <w:rPr>
      <w:rFonts w:ascii="XO Thames" w:hAnsi="XO Thames"/>
      <w:sz w:val="28"/>
    </w:rPr>
  </w:style>
  <w:style w:type="paragraph" w:styleId="868">
    <w:name w:val="toc 7"/>
    <w:next w:val="850"/>
    <w:link w:val="869"/>
    <w:uiPriority w:val="39"/>
    <w:pPr>
      <w:ind w:left="1200"/>
    </w:pPr>
    <w:rPr>
      <w:rFonts w:ascii="XO Thames" w:hAnsi="XO Thames"/>
      <w:sz w:val="28"/>
    </w:rPr>
  </w:style>
  <w:style w:type="character" w:styleId="869" w:customStyle="1">
    <w:name w:val="Оглавление 7 Знак"/>
    <w:link w:val="868"/>
    <w:rPr>
      <w:rFonts w:ascii="XO Thames" w:hAnsi="XO Thames"/>
      <w:sz w:val="28"/>
    </w:rPr>
  </w:style>
  <w:style w:type="paragraph" w:styleId="870" w:customStyle="1">
    <w:name w:val="Обычный1"/>
    <w:link w:val="871"/>
    <w:rPr>
      <w:rFonts w:ascii="Times New Roman" w:hAnsi="Times New Roman"/>
      <w:sz w:val="24"/>
    </w:rPr>
  </w:style>
  <w:style w:type="character" w:styleId="871" w:customStyle="1">
    <w:name w:val="Обычный1"/>
    <w:link w:val="870"/>
    <w:rPr>
      <w:rFonts w:ascii="Times New Roman" w:hAnsi="Times New Roman"/>
      <w:sz w:val="24"/>
    </w:rPr>
  </w:style>
  <w:style w:type="paragraph" w:styleId="872">
    <w:name w:val="List Paragraph"/>
    <w:basedOn w:val="850"/>
    <w:link w:val="873"/>
    <w:pPr>
      <w:contextualSpacing/>
      <w:ind w:left="720"/>
    </w:pPr>
  </w:style>
  <w:style w:type="character" w:styleId="873" w:customStyle="1">
    <w:name w:val="Абзац списка Знак"/>
    <w:basedOn w:val="859"/>
    <w:link w:val="872"/>
    <w:rPr>
      <w:rFonts w:ascii="Times New Roman" w:hAnsi="Times New Roman"/>
      <w:sz w:val="24"/>
    </w:rPr>
  </w:style>
  <w:style w:type="paragraph" w:styleId="874" w:customStyle="1">
    <w:name w:val="Endnote"/>
    <w:link w:val="875"/>
    <w:pPr>
      <w:ind w:firstLine="851"/>
      <w:jc w:val="both"/>
    </w:pPr>
    <w:rPr>
      <w:rFonts w:ascii="XO Thames" w:hAnsi="XO Thames"/>
    </w:rPr>
  </w:style>
  <w:style w:type="character" w:styleId="875" w:customStyle="1">
    <w:name w:val="Endnote"/>
    <w:link w:val="874"/>
    <w:rPr>
      <w:rFonts w:ascii="XO Thames" w:hAnsi="XO Thames"/>
    </w:rPr>
  </w:style>
  <w:style w:type="character" w:styleId="876" w:customStyle="1">
    <w:name w:val="Заголовок 3 Знак"/>
    <w:link w:val="853"/>
    <w:rPr>
      <w:rFonts w:ascii="XO Thames" w:hAnsi="XO Thames"/>
      <w:b/>
      <w:sz w:val="26"/>
    </w:rPr>
  </w:style>
  <w:style w:type="paragraph" w:styleId="877">
    <w:name w:val="List Bullet 2"/>
    <w:basedOn w:val="850"/>
    <w:link w:val="878"/>
    <w:pPr>
      <w:numPr>
        <w:ilvl w:val="0"/>
        <w:numId w:val="15"/>
      </w:numPr>
      <w:jc w:val="both"/>
      <w:spacing w:after="60"/>
    </w:pPr>
  </w:style>
  <w:style w:type="character" w:styleId="878" w:customStyle="1">
    <w:name w:val="Маркированный список 2 Знак"/>
    <w:basedOn w:val="859"/>
    <w:link w:val="877"/>
    <w:rPr>
      <w:rFonts w:ascii="Times New Roman" w:hAnsi="Times New Roman"/>
      <w:sz w:val="24"/>
    </w:rPr>
  </w:style>
  <w:style w:type="paragraph" w:styleId="879" w:customStyle="1">
    <w:name w:val="Гиперссылка1"/>
    <w:basedOn w:val="897"/>
    <w:link w:val="880"/>
    <w:rPr>
      <w:color w:val="0000ff"/>
      <w:u w:val="single"/>
    </w:rPr>
  </w:style>
  <w:style w:type="character" w:styleId="880" w:customStyle="1">
    <w:name w:val="Гиперссылка1"/>
    <w:basedOn w:val="898"/>
    <w:link w:val="879"/>
    <w:rPr>
      <w:color w:val="0000ff"/>
      <w:u w:val="single"/>
    </w:rPr>
  </w:style>
  <w:style w:type="paragraph" w:styleId="881">
    <w:name w:val="Body Text Indent"/>
    <w:basedOn w:val="850"/>
    <w:link w:val="882"/>
    <w:pPr>
      <w:ind w:left="283"/>
      <w:spacing w:after="120"/>
    </w:pPr>
    <w:rPr>
      <w:sz w:val="20"/>
    </w:rPr>
  </w:style>
  <w:style w:type="character" w:styleId="882" w:customStyle="1">
    <w:name w:val="Основной текст с отступом Знак"/>
    <w:basedOn w:val="859"/>
    <w:link w:val="881"/>
    <w:rPr>
      <w:rFonts w:ascii="Times New Roman" w:hAnsi="Times New Roman"/>
      <w:sz w:val="20"/>
    </w:rPr>
  </w:style>
  <w:style w:type="paragraph" w:styleId="883" w:customStyle="1">
    <w:name w:val="ConsPlusNonformat"/>
    <w:link w:val="884"/>
    <w:pPr>
      <w:spacing w:after="0" w:line="240" w:lineRule="auto"/>
      <w:widowControl w:val="off"/>
    </w:pPr>
    <w:rPr>
      <w:rFonts w:ascii="Courier New" w:hAnsi="Courier New"/>
      <w:sz w:val="20"/>
    </w:rPr>
  </w:style>
  <w:style w:type="character" w:styleId="884" w:customStyle="1">
    <w:name w:val="ConsPlusNonformat"/>
    <w:link w:val="883"/>
    <w:rPr>
      <w:rFonts w:ascii="Courier New" w:hAnsi="Courier New"/>
      <w:sz w:val="20"/>
    </w:rPr>
  </w:style>
  <w:style w:type="paragraph" w:styleId="885" w:customStyle="1">
    <w:name w:val="Основной текст (2)"/>
    <w:basedOn w:val="897"/>
    <w:link w:val="886"/>
    <w:rPr>
      <w:rFonts w:ascii="Times New Roman" w:hAnsi="Times New Roman"/>
      <w:sz w:val="24"/>
    </w:rPr>
  </w:style>
  <w:style w:type="character" w:styleId="886" w:customStyle="1">
    <w:name w:val="Основной текст (2)"/>
    <w:basedOn w:val="898"/>
    <w:link w:val="885"/>
    <w:rPr>
      <w:rFonts w:ascii="Times New Roman" w:hAnsi="Times New Roman"/>
      <w:sz w:val="24"/>
    </w:rPr>
  </w:style>
  <w:style w:type="paragraph" w:styleId="887">
    <w:name w:val="toc 3"/>
    <w:next w:val="850"/>
    <w:link w:val="888"/>
    <w:uiPriority w:val="39"/>
    <w:pPr>
      <w:ind w:left="400"/>
    </w:pPr>
    <w:rPr>
      <w:rFonts w:ascii="XO Thames" w:hAnsi="XO Thames"/>
      <w:sz w:val="28"/>
    </w:rPr>
  </w:style>
  <w:style w:type="character" w:styleId="888" w:customStyle="1">
    <w:name w:val="Оглавление 3 Знак"/>
    <w:link w:val="887"/>
    <w:rPr>
      <w:rFonts w:ascii="XO Thames" w:hAnsi="XO Thames"/>
      <w:sz w:val="28"/>
    </w:rPr>
  </w:style>
  <w:style w:type="paragraph" w:styleId="889">
    <w:name w:val="List 3"/>
    <w:basedOn w:val="850"/>
    <w:link w:val="890"/>
    <w:pPr>
      <w:ind w:left="849" w:hanging="283"/>
      <w:jc w:val="both"/>
      <w:spacing w:after="60"/>
    </w:pPr>
  </w:style>
  <w:style w:type="character" w:styleId="890" w:customStyle="1">
    <w:name w:val="Список 3 Знак"/>
    <w:basedOn w:val="859"/>
    <w:link w:val="889"/>
    <w:rPr>
      <w:rFonts w:ascii="Times New Roman" w:hAnsi="Times New Roman"/>
      <w:sz w:val="24"/>
    </w:rPr>
  </w:style>
  <w:style w:type="paragraph" w:styleId="891" w:customStyle="1">
    <w:name w:val="Font Style76"/>
    <w:link w:val="892"/>
    <w:rPr>
      <w:rFonts w:ascii="Times New Roman" w:hAnsi="Times New Roman"/>
    </w:rPr>
  </w:style>
  <w:style w:type="character" w:styleId="892" w:customStyle="1">
    <w:name w:val="Font Style76"/>
    <w:link w:val="891"/>
    <w:rPr>
      <w:rFonts w:ascii="Times New Roman" w:hAnsi="Times New Roman"/>
    </w:rPr>
  </w:style>
  <w:style w:type="paragraph" w:styleId="893" w:customStyle="1">
    <w:name w:val="msonormalcxspmiddle"/>
    <w:basedOn w:val="850"/>
    <w:link w:val="894"/>
    <w:pPr>
      <w:spacing w:beforeAutospacing="1" w:afterAutospacing="1"/>
    </w:pPr>
  </w:style>
  <w:style w:type="character" w:styleId="894" w:customStyle="1">
    <w:name w:val="msonormalcxspmiddle"/>
    <w:basedOn w:val="859"/>
    <w:link w:val="893"/>
    <w:rPr>
      <w:rFonts w:ascii="Times New Roman" w:hAnsi="Times New Roman"/>
      <w:sz w:val="24"/>
    </w:rPr>
  </w:style>
  <w:style w:type="paragraph" w:styleId="895" w:customStyle="1">
    <w:name w:val="fontstyle01"/>
    <w:basedOn w:val="897"/>
    <w:link w:val="896"/>
    <w:rPr>
      <w:rFonts w:ascii="Tahoma" w:hAnsi="Tahoma"/>
    </w:rPr>
  </w:style>
  <w:style w:type="character" w:styleId="896" w:customStyle="1">
    <w:name w:val="fontstyle01"/>
    <w:basedOn w:val="898"/>
    <w:link w:val="895"/>
    <w:rPr>
      <w:rFonts w:ascii="Tahoma" w:hAnsi="Tahoma"/>
    </w:rPr>
  </w:style>
  <w:style w:type="paragraph" w:styleId="897" w:customStyle="1">
    <w:name w:val="Основной шрифт абзаца1"/>
    <w:link w:val="898"/>
  </w:style>
  <w:style w:type="character" w:styleId="898" w:customStyle="1">
    <w:name w:val="Основной шрифт абзаца1"/>
    <w:link w:val="897"/>
  </w:style>
  <w:style w:type="character" w:styleId="899" w:customStyle="1">
    <w:name w:val="Заголовок 5 Знак"/>
    <w:link w:val="855"/>
    <w:rPr>
      <w:rFonts w:ascii="XO Thames" w:hAnsi="XO Thames"/>
      <w:b/>
    </w:rPr>
  </w:style>
  <w:style w:type="character" w:styleId="900" w:customStyle="1">
    <w:name w:val="Заголовок 1 Знак"/>
    <w:basedOn w:val="859"/>
    <w:link w:val="851"/>
    <w:rPr>
      <w:rFonts w:ascii="Times New Roman" w:hAnsi="Times New Roman"/>
      <w:sz w:val="24"/>
    </w:rPr>
  </w:style>
  <w:style w:type="paragraph" w:styleId="901" w:customStyle="1">
    <w:name w:val="Гиперссылка2"/>
    <w:link w:val="902"/>
    <w:rPr>
      <w:color w:val="0000ff"/>
      <w:u w:val="single"/>
    </w:rPr>
  </w:style>
  <w:style w:type="character" w:styleId="902">
    <w:name w:val="Hyperlink"/>
    <w:link w:val="901"/>
    <w:rPr>
      <w:color w:val="0000ff"/>
      <w:u w:val="single"/>
    </w:rPr>
  </w:style>
  <w:style w:type="paragraph" w:styleId="903" w:customStyle="1">
    <w:name w:val="Footnote"/>
    <w:basedOn w:val="850"/>
    <w:link w:val="904"/>
    <w:rPr>
      <w:sz w:val="20"/>
    </w:rPr>
  </w:style>
  <w:style w:type="character" w:styleId="904" w:customStyle="1">
    <w:name w:val="Footnote"/>
    <w:basedOn w:val="859"/>
    <w:link w:val="903"/>
    <w:rPr>
      <w:rFonts w:ascii="Times New Roman" w:hAnsi="Times New Roman"/>
      <w:sz w:val="20"/>
    </w:rPr>
  </w:style>
  <w:style w:type="paragraph" w:styleId="905">
    <w:name w:val="toc 1"/>
    <w:next w:val="850"/>
    <w:link w:val="906"/>
    <w:uiPriority w:val="39"/>
    <w:rPr>
      <w:rFonts w:ascii="XO Thames" w:hAnsi="XO Thames"/>
      <w:b/>
      <w:sz w:val="28"/>
    </w:rPr>
  </w:style>
  <w:style w:type="character" w:styleId="906" w:customStyle="1">
    <w:name w:val="Оглавление 1 Знак"/>
    <w:link w:val="905"/>
    <w:rPr>
      <w:rFonts w:ascii="XO Thames" w:hAnsi="XO Thames"/>
      <w:b/>
      <w:sz w:val="28"/>
    </w:rPr>
  </w:style>
  <w:style w:type="paragraph" w:styleId="907" w:customStyle="1">
    <w:name w:val="Header and Footer"/>
    <w:link w:val="908"/>
    <w:pPr>
      <w:jc w:val="both"/>
      <w:spacing w:line="240" w:lineRule="auto"/>
    </w:pPr>
    <w:rPr>
      <w:rFonts w:ascii="XO Thames" w:hAnsi="XO Thames"/>
      <w:sz w:val="28"/>
    </w:rPr>
  </w:style>
  <w:style w:type="character" w:styleId="908" w:customStyle="1">
    <w:name w:val="Header and Footer"/>
    <w:link w:val="907"/>
    <w:rPr>
      <w:rFonts w:ascii="XO Thames" w:hAnsi="XO Thames"/>
      <w:sz w:val="28"/>
    </w:rPr>
  </w:style>
  <w:style w:type="paragraph" w:styleId="909">
    <w:name w:val="toc 9"/>
    <w:next w:val="850"/>
    <w:link w:val="910"/>
    <w:uiPriority w:val="39"/>
    <w:pPr>
      <w:ind w:left="1600"/>
    </w:pPr>
    <w:rPr>
      <w:rFonts w:ascii="XO Thames" w:hAnsi="XO Thames"/>
      <w:sz w:val="28"/>
    </w:rPr>
  </w:style>
  <w:style w:type="character" w:styleId="910" w:customStyle="1">
    <w:name w:val="Оглавление 9 Знак"/>
    <w:link w:val="909"/>
    <w:rPr>
      <w:rFonts w:ascii="XO Thames" w:hAnsi="XO Thames"/>
      <w:sz w:val="28"/>
    </w:rPr>
  </w:style>
  <w:style w:type="paragraph" w:styleId="911">
    <w:name w:val="toc 8"/>
    <w:next w:val="850"/>
    <w:link w:val="912"/>
    <w:uiPriority w:val="39"/>
    <w:pPr>
      <w:ind w:left="1400"/>
    </w:pPr>
    <w:rPr>
      <w:rFonts w:ascii="XO Thames" w:hAnsi="XO Thames"/>
      <w:sz w:val="28"/>
    </w:rPr>
  </w:style>
  <w:style w:type="character" w:styleId="912" w:customStyle="1">
    <w:name w:val="Оглавление 8 Знак"/>
    <w:link w:val="911"/>
    <w:rPr>
      <w:rFonts w:ascii="XO Thames" w:hAnsi="XO Thames"/>
      <w:sz w:val="28"/>
    </w:rPr>
  </w:style>
  <w:style w:type="paragraph" w:styleId="913">
    <w:name w:val="Body Text"/>
    <w:basedOn w:val="850"/>
    <w:link w:val="914"/>
    <w:pPr>
      <w:spacing w:after="120"/>
    </w:pPr>
    <w:rPr>
      <w:sz w:val="20"/>
    </w:rPr>
  </w:style>
  <w:style w:type="character" w:styleId="914" w:customStyle="1">
    <w:name w:val="Основной текст Знак"/>
    <w:basedOn w:val="859"/>
    <w:link w:val="913"/>
    <w:rPr>
      <w:rFonts w:ascii="Times New Roman" w:hAnsi="Times New Roman"/>
      <w:sz w:val="20"/>
    </w:rPr>
  </w:style>
  <w:style w:type="paragraph" w:styleId="915" w:customStyle="1">
    <w:name w:val="Основной шрифт абзаца2"/>
  </w:style>
  <w:style w:type="paragraph" w:styleId="916">
    <w:name w:val="toc 5"/>
    <w:next w:val="850"/>
    <w:link w:val="917"/>
    <w:uiPriority w:val="39"/>
    <w:pPr>
      <w:ind w:left="800"/>
    </w:pPr>
    <w:rPr>
      <w:rFonts w:ascii="XO Thames" w:hAnsi="XO Thames"/>
      <w:sz w:val="28"/>
    </w:rPr>
  </w:style>
  <w:style w:type="character" w:styleId="917" w:customStyle="1">
    <w:name w:val="Оглавление 5 Знак"/>
    <w:link w:val="916"/>
    <w:rPr>
      <w:rFonts w:ascii="XO Thames" w:hAnsi="XO Thames"/>
      <w:sz w:val="28"/>
    </w:rPr>
  </w:style>
  <w:style w:type="paragraph" w:styleId="918" w:customStyle="1">
    <w:name w:val="s_1"/>
    <w:basedOn w:val="850"/>
    <w:link w:val="919"/>
    <w:pPr>
      <w:spacing w:beforeAutospacing="1" w:afterAutospacing="1"/>
    </w:pPr>
  </w:style>
  <w:style w:type="character" w:styleId="919" w:customStyle="1">
    <w:name w:val="s_1"/>
    <w:basedOn w:val="859"/>
    <w:link w:val="918"/>
    <w:rPr>
      <w:rFonts w:ascii="Times New Roman" w:hAnsi="Times New Roman"/>
      <w:sz w:val="24"/>
    </w:rPr>
  </w:style>
  <w:style w:type="paragraph" w:styleId="920" w:customStyle="1">
    <w:name w:val="Стиль3"/>
    <w:basedOn w:val="934"/>
    <w:link w:val="921"/>
    <w:pPr>
      <w:ind w:left="720" w:hanging="720"/>
      <w:jc w:val="both"/>
      <w:spacing w:after="0" w:line="240" w:lineRule="auto"/>
      <w:widowControl w:val="off"/>
      <w:tabs>
        <w:tab w:val="left" w:pos="720" w:leader="none"/>
      </w:tabs>
    </w:pPr>
  </w:style>
  <w:style w:type="character" w:styleId="921" w:customStyle="1">
    <w:name w:val="Стиль3"/>
    <w:basedOn w:val="935"/>
    <w:link w:val="920"/>
    <w:rPr>
      <w:rFonts w:ascii="Times New Roman" w:hAnsi="Times New Roman"/>
      <w:sz w:val="24"/>
    </w:rPr>
  </w:style>
  <w:style w:type="paragraph" w:styleId="922">
    <w:name w:val="Subtitle"/>
    <w:basedOn w:val="850"/>
    <w:next w:val="850"/>
    <w:link w:val="923"/>
    <w:uiPriority w:val="11"/>
    <w:qFormat/>
    <w:pPr>
      <w:jc w:val="center"/>
      <w:spacing w:after="60" w:line="276" w:lineRule="auto"/>
      <w:outlineLvl w:val="1"/>
    </w:pPr>
    <w:rPr>
      <w:rFonts w:ascii="Cambria" w:hAnsi="Cambria"/>
    </w:rPr>
  </w:style>
  <w:style w:type="character" w:styleId="923" w:customStyle="1">
    <w:name w:val="Подзаголовок Знак"/>
    <w:basedOn w:val="859"/>
    <w:link w:val="922"/>
    <w:rPr>
      <w:rFonts w:ascii="Cambria" w:hAnsi="Cambria"/>
      <w:sz w:val="24"/>
    </w:rPr>
  </w:style>
  <w:style w:type="paragraph" w:styleId="924">
    <w:name w:val="List Bullet 3"/>
    <w:basedOn w:val="850"/>
    <w:link w:val="925"/>
    <w:pPr>
      <w:numPr>
        <w:ilvl w:val="0"/>
        <w:numId w:val="16"/>
      </w:numPr>
      <w:jc w:val="both"/>
      <w:spacing w:after="60"/>
    </w:pPr>
  </w:style>
  <w:style w:type="character" w:styleId="925" w:customStyle="1">
    <w:name w:val="Маркированный список 3 Знак"/>
    <w:basedOn w:val="859"/>
    <w:link w:val="924"/>
    <w:rPr>
      <w:rFonts w:ascii="Times New Roman" w:hAnsi="Times New Roman"/>
      <w:sz w:val="24"/>
    </w:rPr>
  </w:style>
  <w:style w:type="paragraph" w:styleId="926">
    <w:name w:val="Title"/>
    <w:next w:val="850"/>
    <w:link w:val="927"/>
    <w:uiPriority w:val="10"/>
    <w:qFormat/>
    <w:pPr>
      <w:jc w:val="center"/>
      <w:spacing w:before="567" w:after="567"/>
    </w:pPr>
    <w:rPr>
      <w:rFonts w:ascii="XO Thames" w:hAnsi="XO Thames"/>
      <w:b/>
      <w:caps/>
      <w:sz w:val="40"/>
    </w:rPr>
  </w:style>
  <w:style w:type="character" w:styleId="927" w:customStyle="1">
    <w:name w:val="Название Знак"/>
    <w:link w:val="926"/>
    <w:rPr>
      <w:rFonts w:ascii="XO Thames" w:hAnsi="XO Thames"/>
      <w:b/>
      <w:caps/>
      <w:sz w:val="40"/>
    </w:rPr>
  </w:style>
  <w:style w:type="character" w:styleId="928" w:customStyle="1">
    <w:name w:val="Заголовок 4 Знак"/>
    <w:link w:val="854"/>
    <w:rPr>
      <w:rFonts w:ascii="XO Thames" w:hAnsi="XO Thames"/>
      <w:b/>
      <w:sz w:val="24"/>
    </w:rPr>
  </w:style>
  <w:style w:type="character" w:styleId="929" w:customStyle="1">
    <w:name w:val="Заголовок 2 Знак"/>
    <w:basedOn w:val="859"/>
    <w:link w:val="852"/>
    <w:rPr>
      <w:rFonts w:asciiTheme="majorHAnsi" w:hAnsiTheme="majorHAnsi"/>
      <w:color w:val="2e74b5" w:themeColor="accent1" w:themeShade="BF"/>
      <w:sz w:val="26"/>
    </w:rPr>
  </w:style>
  <w:style w:type="paragraph" w:styleId="930">
    <w:name w:val="No Spacing"/>
    <w:link w:val="931"/>
    <w:pPr>
      <w:spacing w:after="0" w:line="240" w:lineRule="auto"/>
    </w:pPr>
    <w:rPr>
      <w:rFonts w:ascii="Calibri" w:hAnsi="Calibri"/>
    </w:rPr>
  </w:style>
  <w:style w:type="character" w:styleId="931" w:customStyle="1">
    <w:name w:val="Без интервала Знак"/>
    <w:link w:val="930"/>
    <w:rPr>
      <w:rFonts w:ascii="Calibri" w:hAnsi="Calibri"/>
    </w:rPr>
  </w:style>
  <w:style w:type="paragraph" w:styleId="932" w:customStyle="1">
    <w:name w:val="Обычный1"/>
    <w:link w:val="933"/>
    <w:pPr>
      <w:spacing w:after="0" w:line="240" w:lineRule="auto"/>
    </w:pPr>
    <w:rPr>
      <w:rFonts w:ascii="Times New Roman" w:hAnsi="Times New Roman"/>
      <w:sz w:val="20"/>
    </w:rPr>
  </w:style>
  <w:style w:type="character" w:styleId="933" w:customStyle="1">
    <w:name w:val="Обычный1"/>
    <w:link w:val="932"/>
    <w:rPr>
      <w:rFonts w:ascii="Times New Roman" w:hAnsi="Times New Roman"/>
      <w:sz w:val="20"/>
    </w:rPr>
  </w:style>
  <w:style w:type="paragraph" w:styleId="934">
    <w:name w:val="Body Text Indent 2"/>
    <w:basedOn w:val="850"/>
    <w:link w:val="935"/>
    <w:pPr>
      <w:ind w:left="283"/>
      <w:spacing w:after="120" w:line="480" w:lineRule="auto"/>
    </w:pPr>
  </w:style>
  <w:style w:type="character" w:styleId="935" w:customStyle="1">
    <w:name w:val="Основной текст с отступом 2 Знак"/>
    <w:basedOn w:val="859"/>
    <w:link w:val="934"/>
    <w:rPr>
      <w:rFonts w:ascii="Times New Roman" w:hAnsi="Times New Roman"/>
      <w:sz w:val="24"/>
    </w:rPr>
  </w:style>
  <w:style w:type="paragraph" w:styleId="936" w:customStyle="1">
    <w:name w:val="Знак сноски1"/>
    <w:basedOn w:val="897"/>
    <w:link w:val="937"/>
  </w:style>
  <w:style w:type="character" w:styleId="937" w:customStyle="1">
    <w:name w:val="Знак сноски1"/>
    <w:basedOn w:val="898"/>
    <w:link w:val="936"/>
  </w:style>
  <w:style w:type="table" w:styleId="938">
    <w:name w:val="Table Grid"/>
    <w:basedOn w:val="857"/>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39">
    <w:name w:val="Balloon Text"/>
    <w:basedOn w:val="850"/>
    <w:link w:val="940"/>
    <w:uiPriority w:val="99"/>
    <w:semiHidden/>
    <w:unhideWhenUsed/>
    <w:rPr>
      <w:rFonts w:ascii="Segoe UI" w:hAnsi="Segoe UI" w:cs="Segoe UI"/>
      <w:sz w:val="18"/>
      <w:szCs w:val="18"/>
    </w:rPr>
  </w:style>
  <w:style w:type="character" w:styleId="940" w:customStyle="1">
    <w:name w:val="Текст выноски Знак"/>
    <w:basedOn w:val="856"/>
    <w:link w:val="939"/>
    <w:uiPriority w:val="99"/>
    <w:semiHidden/>
    <w:rPr>
      <w:rFonts w:ascii="Segoe UI" w:hAnsi="Segoe UI" w:cs="Segoe UI"/>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login.consultant.ru/link/?req=doc&amp;base=LAW&amp;n=456737&amp;dst=100007&amp;field=134&amp;date=15.10.2024" TargetMode="External"/><Relationship Id="rId10" Type="http://schemas.openxmlformats.org/officeDocument/2006/relationships/hyperlink" Target="https://login.consultant.ru/link/?req=doc&amp;base=LAW&amp;n=456737&amp;dst=100014&amp;field=134&amp;date=16.10.2024" TargetMode="External"/><Relationship Id="rId11" Type="http://schemas.openxmlformats.org/officeDocument/2006/relationships/hyperlink" Target="https://login.consultant.ru/link/?req=doc&amp;base=LAW&amp;n=456737&amp;dst=100025&amp;field=134&amp;date=16.10.2024" TargetMode="External"/><Relationship Id="rId12" Type="http://schemas.openxmlformats.org/officeDocument/2006/relationships/hyperlink" Target="http://www.consultant.ru/document/cons_doc_LAW_314830/58dfb94af2d30178f6bfdd70fad25ec5a89377cd/" TargetMode="External"/><Relationship Id="rId13" Type="http://schemas.openxmlformats.org/officeDocument/2006/relationships/hyperlink" Target="http://www.consultant.ru/document/cons_doc_LAW_155057/09b041d2923927222ec9562644f4a984305b70d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ФАУГИ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anastasiya.dubovaya</cp:lastModifiedBy>
  <cp:revision>8</cp:revision>
  <dcterms:created xsi:type="dcterms:W3CDTF">2025-03-02T23:02:00Z</dcterms:created>
  <dcterms:modified xsi:type="dcterms:W3CDTF">2026-08-31T22:35:49Z</dcterms:modified>
</cp:coreProperties>
</file>