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Определение цены контракта,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заключаемого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с единственным поставщиком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Приобретение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запасных частей для охранно-пожарной сигнализации»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Нормативный метод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определения цены контракта,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заключаемого с единственным поставщиком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соответствии с пунктом 2 части 1 статьи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Согласно Приложению 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319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к Нормативным затратам на обеспечение деятельности территориальных органов Федеральн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ой службы государственной регистрации, кадастра и картографии, утвержденным приказом Росреестра от 29.12.2014г. №П/651 «Об утверждении расчетно-нормативных затрат на обеспечение деятельности территориальных органов Федеральной службы государственной регист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рации, кадастра и картографии»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– Приказ о нормативных затратах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устанавливаются следующие требования к порядку определения нормативных затрат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на приобретение отдельных элементов охранно-пожарной сигнализации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before="240"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Затраты на приобретение элементов систем охранно-пожарной сигнализации (З</w:t>
      </w:r>
      <w:r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  <w:t xml:space="preserve">опс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 определяются по формуле: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/>
      <m:oMathPara>
        <m:oMathParaPr/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rPr>
                  <m:sty m:val="p"/>
                </m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rPr>
                  <m:sty m:val="p"/>
                </m:rPr>
                <m:t>опс</m:t>
              </m:r>
            </m:sub>
          </m:sSub>
          <m:r>
            <w:rPr>
              <w:rFonts w:ascii="Cambria Math" w:hAnsi="Cambria Math"/>
              <w:sz w:val="28"/>
              <w:szCs w:val="28"/>
              <w:lang w:eastAsia="ru-RU"/>
            </w:rPr>
            <m:rPr>
              <m:lit m:val="on"/>
              <m:sty m:val="p"/>
            </m:rPr>
            <m:t>=</m:t>
          </m:r>
          <m:nary>
            <m:naryPr>
              <m:chr m:val="∑"/>
              <m:grow m:val="off"/>
              <m:limLoc m:val="undOvr"/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rPr>
                  <m:sty m:val="p"/>
                </m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 w:eastAsia="ru-RU"/>
                </w:rPr>
                <m:rPr>
                  <m:sty m:val="p"/>
                </m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rPr>
                      <m:sty m:val="p"/>
                    </m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rPr>
                      <m:sty m:val="p"/>
                    </m:rPr>
                    <m:t>i опс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rPr>
                  <m:sty m:val="p"/>
                </m:rPr>
                <m:t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ru-RU"/>
                    </w:rPr>
                    <m:rPr>
                      <m:sty m:val="p"/>
                    </m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rPr>
                      <m:sty m:val="p"/>
                    </m:rPr>
                    <m:t>i опс  </m:t>
                  </m:r>
                </m:sub>
              </m:sSub>
            </m:e>
          </m:nary>
          <m:r>
            <w:rPr>
              <w:rFonts w:ascii="Cambria Math" w:hAnsi="Cambria Math" w:eastAsia="Times New Roman"/>
              <w:sz w:val="28"/>
              <w:szCs w:val="28"/>
              <w:lang w:eastAsia="ru-RU"/>
            </w:rPr>
            <m:rPr>
              <m:sty m:val="p"/>
            </m:rPr>
            <m:t>, </m:t>
          </m:r>
        </m:oMath>
      </m:oMathPara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где: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Q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i</w:t>
      </w:r>
      <w:r>
        <w:rPr>
          <w:rFonts w:ascii="Times New Roman" w:hAnsi="Times New Roman"/>
          <w:sz w:val="28"/>
          <w:szCs w:val="28"/>
          <w:vertAlign w:val="subscript"/>
        </w:rPr>
        <w:t xml:space="preserve"> опс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– количество единиц i-х элементов системы пожарной сигнализации, планируемых к приобретению, но не более 349 единиц в год;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i</w:t>
      </w:r>
      <w:r>
        <w:rPr>
          <w:rFonts w:ascii="Times New Roman" w:hAnsi="Times New Roman"/>
          <w:sz w:val="28"/>
          <w:szCs w:val="28"/>
          <w:vertAlign w:val="subscript"/>
        </w:rPr>
        <w:t xml:space="preserve"> опс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– цена 1 единицы i-й системы пожарной сигнализации, но не более 100,0 тыс. р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ублей за единицу.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jc w:val="both"/>
        <w:spacing w:after="6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Ценовое предложение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ООО «ЦРС»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превышает сумму нормативных затрат, установленную в соответствии с Приказом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 нормативных затратах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и с учетом лимитов бюджетных обязатель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ств </w:t>
      </w:r>
      <w:r>
        <w:rPr>
          <w:rFonts w:ascii="Times New Roman" w:hAnsi="Times New Roman"/>
          <w:sz w:val="28"/>
          <w:szCs w:val="28"/>
          <w:lang w:eastAsia="ru-RU"/>
        </w:rPr>
        <w:t xml:space="preserve">ст</w:t>
      </w:r>
      <w:r>
        <w:rPr>
          <w:rFonts w:ascii="Times New Roman" w:hAnsi="Times New Roman"/>
          <w:sz w:val="28"/>
          <w:szCs w:val="28"/>
          <w:lang w:eastAsia="ru-RU"/>
        </w:rPr>
        <w:t xml:space="preserve">оимость </w:t>
      </w:r>
      <w:r>
        <w:rPr>
          <w:rFonts w:ascii="Times New Roman" w:hAnsi="Times New Roman"/>
          <w:sz w:val="28"/>
          <w:szCs w:val="28"/>
          <w:lang w:eastAsia="ru-RU"/>
        </w:rPr>
        <w:t xml:space="preserve">затрат</w:t>
      </w:r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приобретение следующих отдельных элементов охранно-пожарной сигнализации составляет: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pStyle w:val="676"/>
        <w:numPr>
          <w:ilvl w:val="0"/>
          <w:numId w:val="3"/>
        </w:numPr>
        <w:jc w:val="both"/>
        <w:spacing w:after="6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Резервный источник питания (РИП 12 исп.18 ) - 7 800,00 руб.;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pStyle w:val="676"/>
        <w:numPr>
          <w:ilvl w:val="0"/>
          <w:numId w:val="3"/>
        </w:numPr>
        <w:jc w:val="both"/>
        <w:spacing w:after="6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Аккумуляторная батарея (Аккумулятор 12В, 17 Ач) - 4 500, 00 руб.;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pStyle w:val="676"/>
        <w:numPr>
          <w:ilvl w:val="0"/>
          <w:numId w:val="3"/>
        </w:numPr>
        <w:jc w:val="both"/>
        <w:spacing w:after="6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Прибор приемно-контрольный охранно-пожарный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 </w:t>
        <w:br/>
        <w:t xml:space="preserve">(Сигнал - 20М )- 9 700, 00 руб.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firstLine="0"/>
        <w:jc w:val="both"/>
        <w:spacing w:after="6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Начальник АХО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_______________ Д.О. Быков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5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table" w:styleId="839">
    <w:name w:val="Table Grid"/>
    <w:basedOn w:val="837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0">
    <w:name w:val="Balloon Text"/>
    <w:basedOn w:val="835"/>
    <w:link w:val="8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1" w:customStyle="1">
    <w:name w:val="Текст выноски Знак"/>
    <w:basedOn w:val="836"/>
    <w:link w:val="84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Управление Росреестра по Владимирской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Искренкова Ирина Александровна</dc:creator>
  <cp:revision>11</cp:revision>
  <dcterms:created xsi:type="dcterms:W3CDTF">2022-12-23T11:59:00Z</dcterms:created>
  <dcterms:modified xsi:type="dcterms:W3CDTF">2026-07-21T13:09:50Z</dcterms:modified>
</cp:coreProperties>
</file>