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849" w14:textId="118FBFD5" w:rsidR="00D22015" w:rsidRPr="00041E20" w:rsidRDefault="00D22015" w:rsidP="00D22015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  <w:lang w:eastAsia="ar-SA"/>
        </w:rPr>
      </w:pPr>
      <w:r w:rsidRPr="00041E20">
        <w:rPr>
          <w:b/>
          <w:sz w:val="26"/>
          <w:szCs w:val="26"/>
          <w:lang w:eastAsia="ar-SA"/>
        </w:rPr>
        <w:t>ОПИСАНИЕ ОБЪЕКТА ЗАКУПКИ</w:t>
      </w:r>
    </w:p>
    <w:p w14:paraId="20C01074" w14:textId="1624CA37" w:rsidR="00422172" w:rsidRPr="00041E20" w:rsidRDefault="00422172" w:rsidP="00D22015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  <w:lang w:eastAsia="ar-SA"/>
        </w:rPr>
      </w:pPr>
      <w:r w:rsidRPr="00041E20">
        <w:rPr>
          <w:b/>
          <w:sz w:val="26"/>
          <w:szCs w:val="26"/>
          <w:lang w:eastAsia="ar-SA"/>
        </w:rPr>
        <w:t>(СПЕЦИФИКАЦИЯ)</w:t>
      </w:r>
    </w:p>
    <w:p w14:paraId="6BCD6FB7" w14:textId="77777777" w:rsidR="00194A54" w:rsidRPr="00041E20" w:rsidRDefault="00194A54" w:rsidP="00D22015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  <w:lang w:eastAsia="ar-SA"/>
        </w:rPr>
      </w:pPr>
    </w:p>
    <w:p w14:paraId="350882C9" w14:textId="4425C8F7" w:rsidR="003D6E1A" w:rsidRPr="00041E20" w:rsidRDefault="003D6E1A" w:rsidP="001A3FE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1E20">
        <w:rPr>
          <w:b/>
          <w:sz w:val="26"/>
          <w:szCs w:val="26"/>
        </w:rPr>
        <w:t xml:space="preserve">1. </w:t>
      </w:r>
      <w:r w:rsidR="00422172" w:rsidRPr="00041E20">
        <w:rPr>
          <w:b/>
          <w:sz w:val="26"/>
          <w:szCs w:val="26"/>
        </w:rPr>
        <w:t>Наименование объекта закупки</w:t>
      </w:r>
      <w:r w:rsidRPr="00041E20">
        <w:rPr>
          <w:b/>
          <w:sz w:val="26"/>
          <w:szCs w:val="26"/>
        </w:rPr>
        <w:t xml:space="preserve">: </w:t>
      </w:r>
      <w:r w:rsidR="00422172" w:rsidRPr="00041E20">
        <w:rPr>
          <w:sz w:val="26"/>
          <w:szCs w:val="26"/>
        </w:rPr>
        <w:t xml:space="preserve">Поставка питьевой </w:t>
      </w:r>
      <w:bookmarkStart w:id="0" w:name="_Hlk205468760"/>
      <w:r w:rsidR="00C81D82" w:rsidRPr="00041E20">
        <w:rPr>
          <w:sz w:val="26"/>
          <w:szCs w:val="26"/>
        </w:rPr>
        <w:t xml:space="preserve">негазированной </w:t>
      </w:r>
      <w:bookmarkEnd w:id="0"/>
      <w:r w:rsidR="00422172" w:rsidRPr="00041E20">
        <w:rPr>
          <w:sz w:val="26"/>
          <w:szCs w:val="26"/>
        </w:rPr>
        <w:t xml:space="preserve">бутилированной воды </w:t>
      </w:r>
      <w:r w:rsidR="00EE599D" w:rsidRPr="00041E20">
        <w:rPr>
          <w:sz w:val="26"/>
          <w:szCs w:val="26"/>
        </w:rPr>
        <w:t xml:space="preserve">(далее – </w:t>
      </w:r>
      <w:r w:rsidR="00422172" w:rsidRPr="00041E20">
        <w:rPr>
          <w:sz w:val="26"/>
          <w:szCs w:val="26"/>
        </w:rPr>
        <w:t>Товар/Товары</w:t>
      </w:r>
      <w:r w:rsidR="00EE599D" w:rsidRPr="00041E20">
        <w:rPr>
          <w:sz w:val="26"/>
          <w:szCs w:val="26"/>
        </w:rPr>
        <w:t>)</w:t>
      </w:r>
      <w:r w:rsidR="00422172" w:rsidRPr="00041E20">
        <w:rPr>
          <w:sz w:val="26"/>
          <w:szCs w:val="26"/>
        </w:rPr>
        <w:t>.</w:t>
      </w:r>
    </w:p>
    <w:p w14:paraId="7226015B" w14:textId="1454C1B8" w:rsidR="00194A54" w:rsidRPr="00041E20" w:rsidRDefault="00194A54" w:rsidP="00194A5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1E20">
        <w:rPr>
          <w:b/>
          <w:bCs/>
          <w:sz w:val="26"/>
          <w:szCs w:val="26"/>
        </w:rPr>
        <w:t>2.</w:t>
      </w:r>
      <w:r w:rsidRPr="00041E20">
        <w:rPr>
          <w:sz w:val="26"/>
          <w:szCs w:val="26"/>
        </w:rPr>
        <w:t xml:space="preserve"> </w:t>
      </w:r>
      <w:r w:rsidRPr="00041E20">
        <w:rPr>
          <w:b/>
          <w:bCs/>
          <w:sz w:val="26"/>
          <w:szCs w:val="26"/>
        </w:rPr>
        <w:t xml:space="preserve">Код ОКПД2: </w:t>
      </w:r>
      <w:r w:rsidR="008853C5" w:rsidRPr="00041E20">
        <w:rPr>
          <w:sz w:val="26"/>
          <w:szCs w:val="26"/>
        </w:rPr>
        <w:t>11.07.11.121.</w:t>
      </w:r>
    </w:p>
    <w:p w14:paraId="5D360CD9" w14:textId="0D473138" w:rsidR="00422172" w:rsidRPr="00041E20" w:rsidRDefault="00194A54" w:rsidP="001A3FE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1E20">
        <w:rPr>
          <w:b/>
          <w:bCs/>
          <w:sz w:val="26"/>
          <w:szCs w:val="26"/>
        </w:rPr>
        <w:t>3</w:t>
      </w:r>
      <w:r w:rsidR="00422172" w:rsidRPr="00041E20">
        <w:rPr>
          <w:b/>
          <w:bCs/>
          <w:sz w:val="26"/>
          <w:szCs w:val="26"/>
        </w:rPr>
        <w:t>.</w:t>
      </w:r>
      <w:r w:rsidR="00422172" w:rsidRPr="00041E20">
        <w:rPr>
          <w:sz w:val="26"/>
          <w:szCs w:val="26"/>
        </w:rPr>
        <w:t xml:space="preserve"> </w:t>
      </w:r>
      <w:r w:rsidR="00422172" w:rsidRPr="00041E20">
        <w:rPr>
          <w:b/>
          <w:bCs/>
          <w:sz w:val="26"/>
          <w:szCs w:val="26"/>
        </w:rPr>
        <w:t>Место поставки Товара:</w:t>
      </w:r>
      <w:r w:rsidR="00422172" w:rsidRPr="00041E20">
        <w:rPr>
          <w:sz w:val="26"/>
          <w:szCs w:val="26"/>
        </w:rPr>
        <w:t xml:space="preserve"> г. Москва, ул. Кедрова, д. 8, к. </w:t>
      </w:r>
      <w:r w:rsidR="00105F53" w:rsidRPr="00041E20">
        <w:rPr>
          <w:sz w:val="26"/>
          <w:szCs w:val="26"/>
        </w:rPr>
        <w:t>2, 4 этаж (лифта нет)</w:t>
      </w:r>
      <w:r w:rsidR="00422172" w:rsidRPr="00041E20">
        <w:rPr>
          <w:sz w:val="26"/>
          <w:szCs w:val="26"/>
        </w:rPr>
        <w:t>.</w:t>
      </w:r>
    </w:p>
    <w:p w14:paraId="70E475E0" w14:textId="07C32C3C" w:rsidR="00422172" w:rsidRPr="00041E20" w:rsidRDefault="00422172" w:rsidP="001A3FE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1E20">
        <w:rPr>
          <w:b/>
          <w:bCs/>
          <w:sz w:val="26"/>
          <w:szCs w:val="26"/>
        </w:rPr>
        <w:t>4. Срок поставки Товара:</w:t>
      </w:r>
      <w:r w:rsidRPr="00041E20">
        <w:rPr>
          <w:sz w:val="26"/>
          <w:szCs w:val="26"/>
        </w:rPr>
        <w:t xml:space="preserve"> </w:t>
      </w:r>
      <w:r w:rsidR="001E3383" w:rsidRPr="00041E20">
        <w:rPr>
          <w:sz w:val="26"/>
          <w:szCs w:val="26"/>
        </w:rPr>
        <w:t xml:space="preserve">в течение </w:t>
      </w:r>
      <w:r w:rsidR="00041E20" w:rsidRPr="00041E20">
        <w:rPr>
          <w:sz w:val="26"/>
          <w:szCs w:val="26"/>
        </w:rPr>
        <w:t>5</w:t>
      </w:r>
      <w:r w:rsidR="001E3383" w:rsidRPr="00041E20">
        <w:rPr>
          <w:sz w:val="26"/>
          <w:szCs w:val="26"/>
        </w:rPr>
        <w:t xml:space="preserve"> (</w:t>
      </w:r>
      <w:r w:rsidR="00041E20" w:rsidRPr="00041E20">
        <w:rPr>
          <w:sz w:val="26"/>
          <w:szCs w:val="26"/>
        </w:rPr>
        <w:t>Пя</w:t>
      </w:r>
      <w:r w:rsidR="001E3383" w:rsidRPr="00041E20">
        <w:rPr>
          <w:sz w:val="26"/>
          <w:szCs w:val="26"/>
        </w:rPr>
        <w:t xml:space="preserve">ти) рабочих дней </w:t>
      </w:r>
      <w:r w:rsidRPr="00041E20">
        <w:rPr>
          <w:sz w:val="26"/>
          <w:szCs w:val="26"/>
        </w:rPr>
        <w:t>с даты заключения Договора</w:t>
      </w:r>
      <w:r w:rsidR="001E3383" w:rsidRPr="00041E20">
        <w:rPr>
          <w:sz w:val="26"/>
          <w:szCs w:val="26"/>
        </w:rPr>
        <w:t>.</w:t>
      </w:r>
    </w:p>
    <w:p w14:paraId="107F19D6" w14:textId="40E6F392" w:rsidR="003E7E3F" w:rsidRPr="00041E20" w:rsidRDefault="001A3FEC" w:rsidP="001A3FE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1E20">
        <w:rPr>
          <w:b/>
          <w:sz w:val="26"/>
          <w:szCs w:val="26"/>
        </w:rPr>
        <w:t>5</w:t>
      </w:r>
      <w:r w:rsidR="00871835" w:rsidRPr="00041E20">
        <w:rPr>
          <w:b/>
          <w:sz w:val="26"/>
          <w:szCs w:val="26"/>
        </w:rPr>
        <w:t xml:space="preserve">. </w:t>
      </w:r>
      <w:r w:rsidR="00DF6FCB" w:rsidRPr="00041E20">
        <w:rPr>
          <w:b/>
          <w:sz w:val="26"/>
          <w:szCs w:val="26"/>
        </w:rPr>
        <w:t>Требования к х</w:t>
      </w:r>
      <w:r w:rsidR="00871835" w:rsidRPr="00041E20">
        <w:rPr>
          <w:b/>
          <w:sz w:val="26"/>
          <w:szCs w:val="26"/>
        </w:rPr>
        <w:t>арактеристик</w:t>
      </w:r>
      <w:r w:rsidR="00DF6FCB" w:rsidRPr="00041E20">
        <w:rPr>
          <w:b/>
          <w:sz w:val="26"/>
          <w:szCs w:val="26"/>
        </w:rPr>
        <w:t>ам</w:t>
      </w:r>
      <w:r w:rsidR="00871835" w:rsidRPr="00041E20">
        <w:rPr>
          <w:b/>
          <w:sz w:val="26"/>
          <w:szCs w:val="26"/>
        </w:rPr>
        <w:t xml:space="preserve"> Товара: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701"/>
        <w:gridCol w:w="992"/>
        <w:gridCol w:w="1134"/>
        <w:gridCol w:w="993"/>
      </w:tblGrid>
      <w:tr w:rsidR="001A3FEC" w:rsidRPr="00041E20" w14:paraId="7DC825AB" w14:textId="77777777" w:rsidTr="001A3FEC">
        <w:trPr>
          <w:trHeight w:val="93"/>
        </w:trPr>
        <w:tc>
          <w:tcPr>
            <w:tcW w:w="709" w:type="dxa"/>
            <w:vAlign w:val="center"/>
          </w:tcPr>
          <w:p w14:paraId="0627296B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76C9A75" w14:textId="2F2555AC" w:rsidR="00AC058B" w:rsidRPr="00041E20" w:rsidRDefault="00AC058B" w:rsidP="001A3FEC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2551" w:type="dxa"/>
            <w:vAlign w:val="center"/>
          </w:tcPr>
          <w:p w14:paraId="0C6E30E8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041E20">
              <w:rPr>
                <w:b/>
                <w:bCs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1701" w:type="dxa"/>
            <w:vAlign w:val="center"/>
          </w:tcPr>
          <w:p w14:paraId="7A56E2CF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041E20">
              <w:rPr>
                <w:b/>
                <w:bCs/>
                <w:sz w:val="26"/>
                <w:szCs w:val="26"/>
              </w:rPr>
              <w:t>Значение характеристики</w:t>
            </w:r>
          </w:p>
        </w:tc>
        <w:tc>
          <w:tcPr>
            <w:tcW w:w="992" w:type="dxa"/>
            <w:vAlign w:val="center"/>
          </w:tcPr>
          <w:p w14:paraId="724817AE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Кол-во и ед. изм.</w:t>
            </w:r>
          </w:p>
        </w:tc>
        <w:tc>
          <w:tcPr>
            <w:tcW w:w="1134" w:type="dxa"/>
            <w:vAlign w:val="center"/>
          </w:tcPr>
          <w:p w14:paraId="52C17169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Цена за 1 шт.</w:t>
            </w:r>
            <w:r w:rsidRPr="00041E20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(руб.)</w:t>
            </w:r>
            <w:r w:rsidRPr="00041E20">
              <w:rPr>
                <w:rFonts w:eastAsia="Calibri"/>
                <w:b/>
                <w:bCs/>
                <w:color w:val="000000"/>
                <w:sz w:val="26"/>
                <w:szCs w:val="26"/>
                <w:vertAlign w:val="superscript"/>
                <w:lang w:eastAsia="en-US"/>
              </w:rPr>
              <w:footnoteReference w:id="1"/>
            </w:r>
          </w:p>
        </w:tc>
        <w:tc>
          <w:tcPr>
            <w:tcW w:w="993" w:type="dxa"/>
            <w:vAlign w:val="center"/>
          </w:tcPr>
          <w:p w14:paraId="6228A514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Общая сумма</w:t>
            </w:r>
          </w:p>
          <w:p w14:paraId="4C51EB99" w14:textId="77777777" w:rsidR="00AC058B" w:rsidRPr="00041E20" w:rsidRDefault="00AC058B" w:rsidP="001A3FE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041E20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(руб.)</w:t>
            </w:r>
            <w:r w:rsidRPr="00041E20">
              <w:rPr>
                <w:rFonts w:eastAsia="Calibri"/>
                <w:b/>
                <w:color w:val="000000"/>
                <w:sz w:val="26"/>
                <w:szCs w:val="26"/>
                <w:vertAlign w:val="superscript"/>
                <w:lang w:eastAsia="en-US"/>
              </w:rPr>
              <w:footnoteReference w:id="2"/>
            </w:r>
          </w:p>
        </w:tc>
      </w:tr>
      <w:tr w:rsidR="004B4606" w:rsidRPr="00041E20" w14:paraId="5F5976EF" w14:textId="77777777" w:rsidTr="004B4606">
        <w:trPr>
          <w:trHeight w:val="135"/>
        </w:trPr>
        <w:tc>
          <w:tcPr>
            <w:tcW w:w="709" w:type="dxa"/>
            <w:vMerge w:val="restart"/>
            <w:shd w:val="clear" w:color="FFFFFF" w:fill="FFFFFF"/>
            <w:vAlign w:val="center"/>
          </w:tcPr>
          <w:p w14:paraId="025A1034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  <w:r w:rsidRPr="00041E20">
              <w:rPr>
                <w:rFonts w:eastAsia="PT Serif"/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FFFFFF" w:fill="FFFFFF"/>
            <w:vAlign w:val="center"/>
          </w:tcPr>
          <w:p w14:paraId="3968CE2F" w14:textId="5032A3B6" w:rsidR="004B4606" w:rsidRPr="00041E20" w:rsidRDefault="004B4606" w:rsidP="00052D44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  <w:r w:rsidRPr="00041E20">
              <w:rPr>
                <w:rFonts w:eastAsia="PT Serif"/>
                <w:color w:val="000000"/>
                <w:sz w:val="26"/>
                <w:szCs w:val="26"/>
              </w:rPr>
              <w:t>Вода питьевая негазированная «Деловой стандарт» или эквивалент</w:t>
            </w:r>
          </w:p>
        </w:tc>
        <w:tc>
          <w:tcPr>
            <w:tcW w:w="2551" w:type="dxa"/>
            <w:vAlign w:val="center"/>
          </w:tcPr>
          <w:p w14:paraId="48B5902B" w14:textId="0A9CFDC7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color w:val="000000"/>
                <w:sz w:val="26"/>
                <w:szCs w:val="26"/>
              </w:rPr>
              <w:t>Вид воды</w:t>
            </w:r>
          </w:p>
        </w:tc>
        <w:tc>
          <w:tcPr>
            <w:tcW w:w="1701" w:type="dxa"/>
            <w:vAlign w:val="center"/>
          </w:tcPr>
          <w:p w14:paraId="04BAB23A" w14:textId="2D0AC6A4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color w:val="000000"/>
                <w:sz w:val="26"/>
                <w:szCs w:val="26"/>
              </w:rPr>
              <w:t>Природная</w:t>
            </w:r>
          </w:p>
        </w:tc>
        <w:tc>
          <w:tcPr>
            <w:tcW w:w="992" w:type="dxa"/>
            <w:vMerge w:val="restart"/>
            <w:vAlign w:val="center"/>
          </w:tcPr>
          <w:p w14:paraId="095403AF" w14:textId="6FAC0514" w:rsidR="004B4606" w:rsidRPr="00041E20" w:rsidRDefault="00E412E7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  <w:r w:rsidRPr="00041E20">
              <w:rPr>
                <w:rFonts w:eastAsia="PT Serif"/>
                <w:color w:val="000000"/>
                <w:sz w:val="26"/>
                <w:szCs w:val="26"/>
                <w:lang w:val="en-US"/>
              </w:rPr>
              <w:t>12</w:t>
            </w:r>
            <w:r w:rsidR="0059045E" w:rsidRPr="00041E20">
              <w:rPr>
                <w:rFonts w:eastAsia="PT Serif"/>
                <w:color w:val="000000"/>
                <w:sz w:val="26"/>
                <w:szCs w:val="26"/>
              </w:rPr>
              <w:t>0</w:t>
            </w:r>
            <w:r w:rsidR="004B4606" w:rsidRPr="00041E20">
              <w:rPr>
                <w:rFonts w:eastAsia="PT Serif"/>
                <w:color w:val="000000"/>
                <w:sz w:val="26"/>
                <w:szCs w:val="26"/>
              </w:rPr>
              <w:t>0 шт.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771E1548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shd w:val="clear" w:color="FFFFFF" w:fill="FFFFFF"/>
            <w:vAlign w:val="center"/>
          </w:tcPr>
          <w:p w14:paraId="58235AA6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1AB6084B" w14:textId="77777777" w:rsidTr="001A3FEC">
        <w:trPr>
          <w:trHeight w:val="135"/>
        </w:trPr>
        <w:tc>
          <w:tcPr>
            <w:tcW w:w="709" w:type="dxa"/>
            <w:vMerge/>
            <w:shd w:val="clear" w:color="FFFFFF" w:fill="FFFFFF"/>
            <w:vAlign w:val="center"/>
          </w:tcPr>
          <w:p w14:paraId="0E75A843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52C4C537" w14:textId="77777777" w:rsidR="004B4606" w:rsidRPr="00041E20" w:rsidRDefault="004B4606" w:rsidP="00052D44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61CEB5A1" w14:textId="33B63026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Тип воды</w:t>
            </w:r>
          </w:p>
        </w:tc>
        <w:tc>
          <w:tcPr>
            <w:tcW w:w="1701" w:type="dxa"/>
            <w:vAlign w:val="center"/>
          </w:tcPr>
          <w:p w14:paraId="521ADBD8" w14:textId="2E8BC92C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Питьевая</w:t>
            </w:r>
          </w:p>
        </w:tc>
        <w:tc>
          <w:tcPr>
            <w:tcW w:w="992" w:type="dxa"/>
            <w:vMerge/>
            <w:vAlign w:val="center"/>
          </w:tcPr>
          <w:p w14:paraId="6B70DF0F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642A2A5F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40A87C51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20A82274" w14:textId="77777777" w:rsidTr="001A3FEC">
        <w:trPr>
          <w:trHeight w:val="350"/>
        </w:trPr>
        <w:tc>
          <w:tcPr>
            <w:tcW w:w="709" w:type="dxa"/>
            <w:vMerge/>
            <w:shd w:val="clear" w:color="FFFFFF" w:fill="FFFFFF"/>
            <w:vAlign w:val="center"/>
          </w:tcPr>
          <w:p w14:paraId="0634867F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2818572F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48D55D85" w14:textId="65BFA82B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color w:val="000000"/>
                <w:sz w:val="26"/>
                <w:szCs w:val="26"/>
              </w:rPr>
              <w:t>Степень газации воды</w:t>
            </w:r>
          </w:p>
        </w:tc>
        <w:tc>
          <w:tcPr>
            <w:tcW w:w="1701" w:type="dxa"/>
            <w:vAlign w:val="center"/>
          </w:tcPr>
          <w:p w14:paraId="3C71A10A" w14:textId="413BF264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Негазированная</w:t>
            </w:r>
          </w:p>
        </w:tc>
        <w:tc>
          <w:tcPr>
            <w:tcW w:w="992" w:type="dxa"/>
            <w:vMerge/>
            <w:vAlign w:val="center"/>
          </w:tcPr>
          <w:p w14:paraId="6E3BE1C9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0A51BE1B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7CF6BC70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731F4708" w14:textId="77777777" w:rsidTr="001A3FEC">
        <w:trPr>
          <w:trHeight w:val="257"/>
        </w:trPr>
        <w:tc>
          <w:tcPr>
            <w:tcW w:w="709" w:type="dxa"/>
            <w:vMerge/>
            <w:shd w:val="clear" w:color="FFFFFF" w:fill="FFFFFF"/>
            <w:vAlign w:val="center"/>
          </w:tcPr>
          <w:p w14:paraId="6D3E8917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131E261A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6A878E8" w14:textId="77777777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Объем</w:t>
            </w:r>
          </w:p>
        </w:tc>
        <w:tc>
          <w:tcPr>
            <w:tcW w:w="1701" w:type="dxa"/>
            <w:vAlign w:val="center"/>
          </w:tcPr>
          <w:p w14:paraId="08331E5F" w14:textId="0D4D53D9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0,33 л</w:t>
            </w:r>
          </w:p>
        </w:tc>
        <w:tc>
          <w:tcPr>
            <w:tcW w:w="992" w:type="dxa"/>
            <w:vMerge/>
            <w:vAlign w:val="center"/>
          </w:tcPr>
          <w:p w14:paraId="2C20DDEE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03EECEE1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7B8331ED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6CD9AC49" w14:textId="77777777" w:rsidTr="001A3FEC">
        <w:trPr>
          <w:trHeight w:val="257"/>
        </w:trPr>
        <w:tc>
          <w:tcPr>
            <w:tcW w:w="709" w:type="dxa"/>
            <w:vMerge/>
            <w:shd w:val="clear" w:color="FFFFFF" w:fill="FFFFFF"/>
            <w:vAlign w:val="center"/>
          </w:tcPr>
          <w:p w14:paraId="11F4FA84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7E3B501F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447DC1FA" w14:textId="4C06A38D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Категория воды</w:t>
            </w:r>
          </w:p>
        </w:tc>
        <w:tc>
          <w:tcPr>
            <w:tcW w:w="1701" w:type="dxa"/>
            <w:vAlign w:val="center"/>
          </w:tcPr>
          <w:p w14:paraId="27877275" w14:textId="2C1DD70B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rFonts w:eastAsia="Calibri"/>
                <w:color w:val="000000"/>
                <w:sz w:val="26"/>
                <w:szCs w:val="26"/>
              </w:rPr>
              <w:t>Первая</w:t>
            </w:r>
          </w:p>
        </w:tc>
        <w:tc>
          <w:tcPr>
            <w:tcW w:w="992" w:type="dxa"/>
            <w:vMerge/>
            <w:vAlign w:val="center"/>
          </w:tcPr>
          <w:p w14:paraId="123EB5CB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0AD0E492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0ADD74E2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33F6A978" w14:textId="77777777" w:rsidTr="001A3FEC">
        <w:trPr>
          <w:trHeight w:val="320"/>
        </w:trPr>
        <w:tc>
          <w:tcPr>
            <w:tcW w:w="709" w:type="dxa"/>
            <w:vMerge/>
            <w:shd w:val="clear" w:color="FFFFFF" w:fill="FFFFFF"/>
            <w:vAlign w:val="center"/>
          </w:tcPr>
          <w:p w14:paraId="75B35079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7B2317C8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EE9433B" w14:textId="5E3F31C3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Тип упаковки</w:t>
            </w:r>
          </w:p>
        </w:tc>
        <w:tc>
          <w:tcPr>
            <w:tcW w:w="1701" w:type="dxa"/>
            <w:vAlign w:val="center"/>
          </w:tcPr>
          <w:p w14:paraId="0C544E2B" w14:textId="26FE7D40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Пластиковая бутылка</w:t>
            </w:r>
          </w:p>
        </w:tc>
        <w:tc>
          <w:tcPr>
            <w:tcW w:w="992" w:type="dxa"/>
            <w:vMerge/>
            <w:vAlign w:val="center"/>
          </w:tcPr>
          <w:p w14:paraId="19477A80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663340C9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57495960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  <w:tr w:rsidR="004B4606" w:rsidRPr="00041E20" w14:paraId="23B65E6E" w14:textId="77777777" w:rsidTr="001A3FEC">
        <w:trPr>
          <w:trHeight w:val="221"/>
        </w:trPr>
        <w:tc>
          <w:tcPr>
            <w:tcW w:w="709" w:type="dxa"/>
            <w:vMerge/>
            <w:shd w:val="clear" w:color="FFFFFF" w:fill="FFFFFF"/>
            <w:vAlign w:val="center"/>
          </w:tcPr>
          <w:p w14:paraId="18D02229" w14:textId="77777777" w:rsidR="004B4606" w:rsidRPr="00041E20" w:rsidRDefault="004B4606" w:rsidP="001A3FEC">
            <w:pPr>
              <w:jc w:val="center"/>
              <w:rPr>
                <w:rFonts w:eastAsia="PT Serif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FFFFFF" w:fill="FFFFFF"/>
            <w:vAlign w:val="center"/>
          </w:tcPr>
          <w:p w14:paraId="03BB2FE7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F295C74" w14:textId="7AF5ED8F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Ароматизированная</w:t>
            </w:r>
          </w:p>
        </w:tc>
        <w:tc>
          <w:tcPr>
            <w:tcW w:w="1701" w:type="dxa"/>
          </w:tcPr>
          <w:p w14:paraId="30CC9613" w14:textId="4DC97C0D" w:rsidR="004B4606" w:rsidRPr="00041E20" w:rsidRDefault="004B4606" w:rsidP="001A3F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041E20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/>
            <w:vAlign w:val="center"/>
          </w:tcPr>
          <w:p w14:paraId="33A618C4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14:paraId="0610E415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FFFFFF" w:fill="FFFFFF"/>
            <w:vAlign w:val="center"/>
          </w:tcPr>
          <w:p w14:paraId="510ABB0A" w14:textId="77777777" w:rsidR="004B4606" w:rsidRPr="00041E20" w:rsidRDefault="004B4606" w:rsidP="001A3FEC">
            <w:pPr>
              <w:jc w:val="center"/>
              <w:rPr>
                <w:rFonts w:eastAsia="PT Serif"/>
                <w:color w:val="000000"/>
                <w:sz w:val="26"/>
                <w:szCs w:val="26"/>
              </w:rPr>
            </w:pPr>
          </w:p>
        </w:tc>
      </w:tr>
    </w:tbl>
    <w:p w14:paraId="5F19B1E4" w14:textId="71A1D4F5" w:rsidR="001A3FEC" w:rsidRPr="00041E20" w:rsidRDefault="001A3FEC" w:rsidP="001A3FEC">
      <w:pPr>
        <w:tabs>
          <w:tab w:val="left" w:pos="851"/>
        </w:tabs>
        <w:ind w:firstLine="709"/>
        <w:jc w:val="both"/>
        <w:rPr>
          <w:b/>
          <w:sz w:val="26"/>
          <w:szCs w:val="26"/>
        </w:rPr>
      </w:pPr>
      <w:r w:rsidRPr="00041E20">
        <w:rPr>
          <w:b/>
          <w:sz w:val="26"/>
          <w:szCs w:val="26"/>
        </w:rPr>
        <w:t>6. Требования к Товару и его упаковке:</w:t>
      </w:r>
    </w:p>
    <w:p w14:paraId="7364765E" w14:textId="7B3AF710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</w:t>
      </w:r>
      <w:r w:rsidR="001A3FEC" w:rsidRPr="00041E20">
        <w:rPr>
          <w:bCs/>
          <w:sz w:val="26"/>
          <w:szCs w:val="26"/>
        </w:rPr>
        <w:t xml:space="preserve">.1. </w:t>
      </w:r>
      <w:r w:rsidRPr="00041E20">
        <w:rPr>
          <w:bCs/>
          <w:sz w:val="26"/>
          <w:szCs w:val="26"/>
        </w:rPr>
        <w:t>Качество поставляемой воды должно соответствовать:</w:t>
      </w:r>
    </w:p>
    <w:p w14:paraId="701DDEC5" w14:textId="77777777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• СанПиН 2.1.4.1116-02. Санитарно-эпидемиологические правила и нормативы. Питьевая вода. Гигиенические требования к качеству воды, расфасованной в емкости. Контроль качества.</w:t>
      </w:r>
    </w:p>
    <w:p w14:paraId="44F817B0" w14:textId="77777777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• ГОСТ 32220-2013. Вода питьевая, расфасованная в емкости. Общие технические условия</w:t>
      </w:r>
    </w:p>
    <w:p w14:paraId="7CB198F8" w14:textId="495C4D2E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• Техническому регламенту Евразийского экономического союза «О безопасности упакованной питьевой воды, включая природную минеральную воду» (ТР ЕАЭС 044/2017).</w:t>
      </w:r>
    </w:p>
    <w:p w14:paraId="444660B9" w14:textId="77777777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• Техническому регламенту Таможенного союза ТР/ТС 021/2011 «О безопасности пищевой продукции».</w:t>
      </w:r>
    </w:p>
    <w:p w14:paraId="29FA8A9C" w14:textId="77777777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 xml:space="preserve">• Единым санитарно-эпидемиологическим и гигиеническим требованиям к товарам, подлежащим санитарно-эпидемиологическому надзору (контролю) в части требований к питьевой воде, расфасованной в емкости. </w:t>
      </w:r>
    </w:p>
    <w:p w14:paraId="753ADC1C" w14:textId="37A62910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6.</w:t>
      </w:r>
      <w:r w:rsidR="001A3FEC" w:rsidRPr="00041E20">
        <w:rPr>
          <w:bCs/>
          <w:sz w:val="26"/>
          <w:szCs w:val="26"/>
        </w:rPr>
        <w:t xml:space="preserve">2. </w:t>
      </w:r>
      <w:r w:rsidRPr="00041E20">
        <w:rPr>
          <w:bCs/>
          <w:sz w:val="26"/>
          <w:szCs w:val="26"/>
        </w:rPr>
        <w:t>Расфасованная вода должна быть безопасна для потребления человеком по микробиологическим, паразитологическим и радиологическим показателям; безвредна по химическому составу.</w:t>
      </w:r>
    </w:p>
    <w:p w14:paraId="3B5460C8" w14:textId="4BC3DD1F" w:rsidR="00DF6FCB" w:rsidRPr="00041E20" w:rsidRDefault="00DF6FCB" w:rsidP="00DF6FCB">
      <w:pPr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6.3. Вода должна сохранять питьевые свойства в течение всего срока годности.</w:t>
      </w:r>
    </w:p>
    <w:p w14:paraId="079BCCBF" w14:textId="25B79B5A" w:rsidR="00DF6FCB" w:rsidRPr="00041E20" w:rsidRDefault="00DF6FCB" w:rsidP="00DF6FCB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  <w:lang w:eastAsia="ar-SA"/>
        </w:rPr>
      </w:pPr>
      <w:r w:rsidRPr="00041E20">
        <w:rPr>
          <w:sz w:val="26"/>
          <w:szCs w:val="26"/>
          <w:lang w:eastAsia="ar-SA"/>
        </w:rPr>
        <w:t xml:space="preserve">6.4. Маркировка бутылок должна соответствовать Техническому регламенту Таможенного союза ТР/ТС 022/2011 «Пищевая продукция в части ее маркировки». На этикетке должны быть указаны: </w:t>
      </w:r>
    </w:p>
    <w:p w14:paraId="275B2532" w14:textId="123B4A3D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- наименование предприятия-изготовителя, его местонахождение;</w:t>
      </w:r>
    </w:p>
    <w:p w14:paraId="6EAEB046" w14:textId="77777777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- номинальный объем воды;</w:t>
      </w:r>
    </w:p>
    <w:p w14:paraId="3EAD67B7" w14:textId="4EE71EF9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- дат</w:t>
      </w:r>
      <w:r w:rsidR="00DF6FCB" w:rsidRPr="00041E20">
        <w:rPr>
          <w:bCs/>
          <w:sz w:val="26"/>
          <w:szCs w:val="26"/>
        </w:rPr>
        <w:t>а</w:t>
      </w:r>
      <w:r w:rsidRPr="00041E20">
        <w:rPr>
          <w:bCs/>
          <w:sz w:val="26"/>
          <w:szCs w:val="26"/>
        </w:rPr>
        <w:t xml:space="preserve"> изготовления (розлива);</w:t>
      </w:r>
    </w:p>
    <w:p w14:paraId="1D709BBE" w14:textId="77777777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lastRenderedPageBreak/>
        <w:t>- условия хранения;</w:t>
      </w:r>
    </w:p>
    <w:p w14:paraId="663DF8DD" w14:textId="5EFADF8E" w:rsidR="00DF6FCB" w:rsidRPr="00041E20" w:rsidRDefault="00DF6FCB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-категория качества воды;</w:t>
      </w:r>
    </w:p>
    <w:p w14:paraId="04138DB6" w14:textId="77777777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- срок годности.</w:t>
      </w:r>
    </w:p>
    <w:p w14:paraId="7D302FBE" w14:textId="403B5041" w:rsidR="001A3FEC" w:rsidRPr="00041E20" w:rsidRDefault="00DF6FCB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6.5.</w:t>
      </w:r>
      <w:r w:rsidR="001A3FEC" w:rsidRPr="00041E20">
        <w:rPr>
          <w:bCs/>
          <w:sz w:val="26"/>
          <w:szCs w:val="26"/>
        </w:rPr>
        <w:t xml:space="preserve"> Остаточный срок годности на дату поставки Заказчику должен составлять не менее 12 (Двенадцати) месяцев.</w:t>
      </w:r>
    </w:p>
    <w:p w14:paraId="3CA487CE" w14:textId="2F9131C0" w:rsidR="001A3FEC" w:rsidRPr="00041E20" w:rsidRDefault="00DF6FCB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6.6.</w:t>
      </w:r>
      <w:r w:rsidR="001A3FEC" w:rsidRPr="00041E20">
        <w:rPr>
          <w:bCs/>
          <w:sz w:val="26"/>
          <w:szCs w:val="26"/>
        </w:rPr>
        <w:t xml:space="preserve"> </w:t>
      </w:r>
      <w:r w:rsidRPr="00041E20">
        <w:rPr>
          <w:bCs/>
          <w:sz w:val="26"/>
          <w:szCs w:val="26"/>
        </w:rPr>
        <w:t>Вода должна быть в герметично запакованной таре без следов износа, потертостей, сколов, трещин и царапин</w:t>
      </w:r>
    </w:p>
    <w:p w14:paraId="0EFAC660" w14:textId="73CF856B" w:rsidR="001A3FEC" w:rsidRPr="00041E20" w:rsidRDefault="001A3FEC" w:rsidP="00DF6FCB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6.</w:t>
      </w:r>
      <w:r w:rsidR="00DF6FCB" w:rsidRPr="00041E20">
        <w:rPr>
          <w:bCs/>
          <w:sz w:val="26"/>
          <w:szCs w:val="26"/>
        </w:rPr>
        <w:t>7.</w:t>
      </w:r>
      <w:r w:rsidRPr="00041E20">
        <w:rPr>
          <w:bCs/>
          <w:sz w:val="26"/>
          <w:szCs w:val="26"/>
        </w:rPr>
        <w:t xml:space="preserve"> Тара и упаковка должны быть чистыми.</w:t>
      </w:r>
    </w:p>
    <w:p w14:paraId="459910DD" w14:textId="2E6DC2DB" w:rsidR="001A3FEC" w:rsidRPr="00041E20" w:rsidRDefault="00DF6FCB" w:rsidP="00DF6FCB">
      <w:pPr>
        <w:tabs>
          <w:tab w:val="left" w:pos="567"/>
          <w:tab w:val="left" w:pos="851"/>
        </w:tabs>
        <w:ind w:firstLine="709"/>
        <w:jc w:val="both"/>
        <w:rPr>
          <w:bCs/>
          <w:iCs/>
          <w:sz w:val="26"/>
          <w:szCs w:val="26"/>
        </w:rPr>
      </w:pPr>
      <w:r w:rsidRPr="00041E20">
        <w:rPr>
          <w:bCs/>
          <w:iCs/>
          <w:sz w:val="26"/>
          <w:szCs w:val="26"/>
        </w:rPr>
        <w:t xml:space="preserve">6.8. </w:t>
      </w:r>
      <w:r w:rsidR="001A3FEC" w:rsidRPr="00041E20">
        <w:rPr>
          <w:bCs/>
          <w:iCs/>
          <w:sz w:val="26"/>
          <w:szCs w:val="26"/>
        </w:rPr>
        <w:t>Товар на момент передачи Заказчику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14:paraId="56CAB683" w14:textId="36416749" w:rsidR="003D6E1A" w:rsidRPr="00041E20" w:rsidRDefault="001A3FEC" w:rsidP="001A3FEC">
      <w:pPr>
        <w:tabs>
          <w:tab w:val="left" w:pos="851"/>
        </w:tabs>
        <w:ind w:firstLine="709"/>
        <w:jc w:val="both"/>
        <w:rPr>
          <w:b/>
          <w:sz w:val="26"/>
          <w:szCs w:val="26"/>
        </w:rPr>
      </w:pPr>
      <w:r w:rsidRPr="00041E20">
        <w:rPr>
          <w:b/>
          <w:sz w:val="26"/>
          <w:szCs w:val="26"/>
        </w:rPr>
        <w:t>7</w:t>
      </w:r>
      <w:r w:rsidR="003D6E1A" w:rsidRPr="00041E20">
        <w:rPr>
          <w:b/>
          <w:sz w:val="26"/>
          <w:szCs w:val="26"/>
        </w:rPr>
        <w:t>. Требования к поставке Товара</w:t>
      </w:r>
      <w:r w:rsidR="00FD57FB" w:rsidRPr="00041E20">
        <w:rPr>
          <w:b/>
          <w:sz w:val="26"/>
          <w:szCs w:val="26"/>
        </w:rPr>
        <w:t>:</w:t>
      </w:r>
    </w:p>
    <w:p w14:paraId="77CC11E3" w14:textId="7B93B633" w:rsidR="00FD57FB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FD57FB" w:rsidRPr="00041E20">
        <w:rPr>
          <w:bCs/>
          <w:sz w:val="26"/>
          <w:szCs w:val="26"/>
        </w:rPr>
        <w:t xml:space="preserve">.1. </w:t>
      </w:r>
      <w:r w:rsidR="00BD5B53" w:rsidRPr="00041E20">
        <w:rPr>
          <w:bCs/>
          <w:sz w:val="26"/>
          <w:szCs w:val="26"/>
        </w:rPr>
        <w:t>Поставщик должен поставить все Товары единовременно в полном объеме. Частичная поставка Товара не допускается.</w:t>
      </w:r>
    </w:p>
    <w:p w14:paraId="003A1272" w14:textId="5E8F462B" w:rsidR="00100B90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100B90" w:rsidRPr="00041E20">
        <w:rPr>
          <w:bCs/>
          <w:sz w:val="26"/>
          <w:szCs w:val="26"/>
        </w:rPr>
        <w:t>.</w:t>
      </w:r>
      <w:r w:rsidR="001A3FEC" w:rsidRPr="00041E20">
        <w:rPr>
          <w:bCs/>
          <w:sz w:val="26"/>
          <w:szCs w:val="26"/>
        </w:rPr>
        <w:t>2</w:t>
      </w:r>
      <w:r w:rsidR="00100B90" w:rsidRPr="00041E20">
        <w:rPr>
          <w:bCs/>
          <w:sz w:val="26"/>
          <w:szCs w:val="26"/>
        </w:rPr>
        <w:t xml:space="preserve">. Поставка Товара, </w:t>
      </w:r>
      <w:bookmarkStart w:id="1" w:name="_Hlk32945262"/>
      <w:r w:rsidR="00100B90" w:rsidRPr="00041E20">
        <w:rPr>
          <w:bCs/>
          <w:sz w:val="26"/>
          <w:szCs w:val="26"/>
        </w:rPr>
        <w:t>погрузка-разгрузка, подъем на этаж осуществляется силами и средствами Поставщика.</w:t>
      </w:r>
      <w:bookmarkEnd w:id="1"/>
      <w:r w:rsidR="00100B90" w:rsidRPr="00041E20">
        <w:rPr>
          <w:bCs/>
          <w:sz w:val="26"/>
          <w:szCs w:val="26"/>
        </w:rPr>
        <w:t xml:space="preserve"> </w:t>
      </w:r>
    </w:p>
    <w:p w14:paraId="1D9E88E5" w14:textId="1F6E3971" w:rsidR="007C250D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7C250D" w:rsidRPr="00041E20">
        <w:rPr>
          <w:bCs/>
          <w:sz w:val="26"/>
          <w:szCs w:val="26"/>
        </w:rPr>
        <w:t>.</w:t>
      </w:r>
      <w:r w:rsidR="001A3FEC" w:rsidRPr="00041E20">
        <w:rPr>
          <w:bCs/>
          <w:sz w:val="26"/>
          <w:szCs w:val="26"/>
        </w:rPr>
        <w:t>3</w:t>
      </w:r>
      <w:r w:rsidR="007C250D" w:rsidRPr="00041E20">
        <w:rPr>
          <w:bCs/>
          <w:sz w:val="26"/>
          <w:szCs w:val="26"/>
        </w:rPr>
        <w:t xml:space="preserve">. Поставщик </w:t>
      </w:r>
      <w:r w:rsidRPr="00041E20">
        <w:rPr>
          <w:bCs/>
          <w:sz w:val="26"/>
          <w:szCs w:val="26"/>
        </w:rPr>
        <w:t xml:space="preserve">вместе с Товаром </w:t>
      </w:r>
      <w:r w:rsidR="007C250D" w:rsidRPr="00041E20">
        <w:rPr>
          <w:bCs/>
          <w:sz w:val="26"/>
          <w:szCs w:val="26"/>
        </w:rPr>
        <w:t>должен передать Заказчику сертификат качества на Товар</w:t>
      </w:r>
      <w:r w:rsidR="00961280" w:rsidRPr="00041E20">
        <w:rPr>
          <w:bCs/>
          <w:sz w:val="26"/>
          <w:szCs w:val="26"/>
        </w:rPr>
        <w:t xml:space="preserve"> </w:t>
      </w:r>
      <w:r w:rsidR="007C250D" w:rsidRPr="00041E20">
        <w:rPr>
          <w:bCs/>
          <w:sz w:val="26"/>
          <w:szCs w:val="26"/>
        </w:rPr>
        <w:t>либо иные документы, предусмотренные законодательством Российской Федерации, подтверждающие качество Товара.</w:t>
      </w:r>
    </w:p>
    <w:p w14:paraId="4EE24BD9" w14:textId="4E7A8D6E" w:rsidR="00100B90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100B90" w:rsidRPr="00041E20">
        <w:rPr>
          <w:bCs/>
          <w:sz w:val="26"/>
          <w:szCs w:val="26"/>
        </w:rPr>
        <w:t>.</w:t>
      </w:r>
      <w:r w:rsidR="001A3FEC" w:rsidRPr="00041E20">
        <w:rPr>
          <w:bCs/>
          <w:sz w:val="26"/>
          <w:szCs w:val="26"/>
        </w:rPr>
        <w:t>4</w:t>
      </w:r>
      <w:r w:rsidR="00100B90" w:rsidRPr="00041E20">
        <w:rPr>
          <w:bCs/>
          <w:sz w:val="26"/>
          <w:szCs w:val="26"/>
        </w:rPr>
        <w:t>. В случае если конкретная дата и время поставки Товара предварительно не согласованы Заказчиком, Поставщик обязан уведомить Заказчика о дате и времени поставки Товара не позднее чем за 1 (Один) рабочий день.</w:t>
      </w:r>
    </w:p>
    <w:p w14:paraId="5A8492A8" w14:textId="18FFD474" w:rsidR="00100B90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100B90" w:rsidRPr="00041E20">
        <w:rPr>
          <w:bCs/>
          <w:sz w:val="26"/>
          <w:szCs w:val="26"/>
        </w:rPr>
        <w:t>.</w:t>
      </w:r>
      <w:r w:rsidR="001A3FEC" w:rsidRPr="00041E20">
        <w:rPr>
          <w:bCs/>
          <w:sz w:val="26"/>
          <w:szCs w:val="26"/>
        </w:rPr>
        <w:t>5</w:t>
      </w:r>
      <w:r w:rsidR="00100B90" w:rsidRPr="00041E20">
        <w:rPr>
          <w:bCs/>
          <w:sz w:val="26"/>
          <w:szCs w:val="26"/>
        </w:rPr>
        <w:t>. День поставки Товара: любой рабочий день с понедельника по пятницу.</w:t>
      </w:r>
    </w:p>
    <w:p w14:paraId="0EBD1462" w14:textId="55494A21" w:rsidR="006E5977" w:rsidRPr="00041E20" w:rsidRDefault="00DF6FCB" w:rsidP="00DF6FCB">
      <w:pPr>
        <w:ind w:firstLine="709"/>
        <w:jc w:val="both"/>
        <w:rPr>
          <w:bCs/>
          <w:sz w:val="26"/>
          <w:szCs w:val="26"/>
        </w:rPr>
      </w:pPr>
      <w:r w:rsidRPr="00041E20">
        <w:rPr>
          <w:bCs/>
          <w:sz w:val="26"/>
          <w:szCs w:val="26"/>
        </w:rPr>
        <w:t>7</w:t>
      </w:r>
      <w:r w:rsidR="00100B90" w:rsidRPr="00041E20">
        <w:rPr>
          <w:bCs/>
          <w:sz w:val="26"/>
          <w:szCs w:val="26"/>
        </w:rPr>
        <w:t>.</w:t>
      </w:r>
      <w:r w:rsidR="001A3FEC" w:rsidRPr="00041E20">
        <w:rPr>
          <w:bCs/>
          <w:sz w:val="26"/>
          <w:szCs w:val="26"/>
        </w:rPr>
        <w:t>6</w:t>
      </w:r>
      <w:r w:rsidR="00100B90" w:rsidRPr="00041E20">
        <w:rPr>
          <w:bCs/>
          <w:sz w:val="26"/>
          <w:szCs w:val="26"/>
        </w:rPr>
        <w:t xml:space="preserve">. Время поставки Товара: с </w:t>
      </w:r>
      <w:r w:rsidR="006031A2" w:rsidRPr="00041E20">
        <w:rPr>
          <w:bCs/>
          <w:sz w:val="26"/>
          <w:szCs w:val="26"/>
        </w:rPr>
        <w:t>09</w:t>
      </w:r>
      <w:r w:rsidR="00100B90" w:rsidRPr="00041E20">
        <w:rPr>
          <w:bCs/>
          <w:sz w:val="26"/>
          <w:szCs w:val="26"/>
        </w:rPr>
        <w:t xml:space="preserve"> час. 00 мин. до </w:t>
      </w:r>
      <w:r w:rsidR="006031A2" w:rsidRPr="00041E20">
        <w:rPr>
          <w:bCs/>
          <w:sz w:val="26"/>
          <w:szCs w:val="26"/>
        </w:rPr>
        <w:t>16</w:t>
      </w:r>
      <w:r w:rsidR="00100B90" w:rsidRPr="00041E20">
        <w:rPr>
          <w:bCs/>
          <w:sz w:val="26"/>
          <w:szCs w:val="26"/>
        </w:rPr>
        <w:t xml:space="preserve"> час. </w:t>
      </w:r>
      <w:r w:rsidR="00D55298" w:rsidRPr="00041E20">
        <w:rPr>
          <w:bCs/>
          <w:sz w:val="26"/>
          <w:szCs w:val="26"/>
        </w:rPr>
        <w:t>00</w:t>
      </w:r>
      <w:r w:rsidR="00100B90" w:rsidRPr="00041E20">
        <w:rPr>
          <w:bCs/>
          <w:sz w:val="26"/>
          <w:szCs w:val="26"/>
        </w:rPr>
        <w:t xml:space="preserve"> мин. московского времени.</w:t>
      </w:r>
    </w:p>
    <w:sectPr w:rsidR="006E5977" w:rsidRPr="00041E20" w:rsidSect="00BD5B53">
      <w:footerReference w:type="default" r:id="rId8"/>
      <w:pgSz w:w="11906" w:h="16838"/>
      <w:pgMar w:top="851" w:right="709" w:bottom="709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77AE" w14:textId="77777777" w:rsidR="004B094B" w:rsidRDefault="004B094B" w:rsidP="006F28DC">
      <w:r>
        <w:separator/>
      </w:r>
    </w:p>
  </w:endnote>
  <w:endnote w:type="continuationSeparator" w:id="0">
    <w:p w14:paraId="4832EC1F" w14:textId="77777777" w:rsidR="004B094B" w:rsidRDefault="004B094B" w:rsidP="006F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71066"/>
      <w:docPartObj>
        <w:docPartGallery w:val="Page Numbers (Bottom of Page)"/>
        <w:docPartUnique/>
      </w:docPartObj>
    </w:sdtPr>
    <w:sdtContent>
      <w:p w14:paraId="063C1EA1" w14:textId="77777777" w:rsidR="008B533B" w:rsidRPr="00C42617" w:rsidRDefault="00B3652A" w:rsidP="00B3652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2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AE31" w14:textId="77777777" w:rsidR="004B094B" w:rsidRDefault="004B094B" w:rsidP="006F28DC">
      <w:r>
        <w:separator/>
      </w:r>
    </w:p>
  </w:footnote>
  <w:footnote w:type="continuationSeparator" w:id="0">
    <w:p w14:paraId="5BA52C80" w14:textId="77777777" w:rsidR="004B094B" w:rsidRDefault="004B094B" w:rsidP="006F28DC">
      <w:r>
        <w:continuationSeparator/>
      </w:r>
    </w:p>
  </w:footnote>
  <w:footnote w:id="1">
    <w:p w14:paraId="4CAB970D" w14:textId="77777777" w:rsidR="00AC058B" w:rsidRPr="00E664DA" w:rsidRDefault="00AC058B" w:rsidP="00AC058B">
      <w:pPr>
        <w:pStyle w:val="af5"/>
        <w:rPr>
          <w:rFonts w:ascii="Times New Roman" w:hAnsi="Times New Roman" w:cs="Times New Roman"/>
        </w:rPr>
      </w:pPr>
      <w:r w:rsidRPr="00E664DA">
        <w:rPr>
          <w:rStyle w:val="af7"/>
          <w:rFonts w:ascii="Times New Roman" w:hAnsi="Times New Roman" w:cs="Times New Roman"/>
        </w:rPr>
        <w:footnoteRef/>
      </w:r>
      <w:r w:rsidRPr="00E664DA">
        <w:rPr>
          <w:rFonts w:ascii="Times New Roman" w:hAnsi="Times New Roman" w:cs="Times New Roman"/>
        </w:rPr>
        <w:t xml:space="preserve"> Указывается по итогам определения поставщика (подрядчика, исполнителя)</w:t>
      </w:r>
    </w:p>
  </w:footnote>
  <w:footnote w:id="2">
    <w:p w14:paraId="6DCEBE56" w14:textId="77777777" w:rsidR="00AC058B" w:rsidRDefault="00AC058B" w:rsidP="00AC058B">
      <w:pPr>
        <w:pStyle w:val="af5"/>
      </w:pPr>
      <w:r w:rsidRPr="00E664DA">
        <w:rPr>
          <w:rStyle w:val="af7"/>
          <w:rFonts w:ascii="Times New Roman" w:hAnsi="Times New Roman" w:cs="Times New Roman"/>
        </w:rPr>
        <w:footnoteRef/>
      </w:r>
      <w:r w:rsidRPr="00E664DA">
        <w:rPr>
          <w:rFonts w:ascii="Times New Roman" w:hAnsi="Times New Roman" w:cs="Times New Roman"/>
        </w:rPr>
        <w:t xml:space="preserve"> Указывается по итогам определения поставщика (подрядчика, исполнителя)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B33"/>
    <w:multiLevelType w:val="hybridMultilevel"/>
    <w:tmpl w:val="4DAC22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12D3F"/>
    <w:multiLevelType w:val="hybridMultilevel"/>
    <w:tmpl w:val="0358AE4C"/>
    <w:lvl w:ilvl="0" w:tplc="EC20062E">
      <w:start w:val="7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0FE48FB"/>
    <w:multiLevelType w:val="hybridMultilevel"/>
    <w:tmpl w:val="2CC00694"/>
    <w:lvl w:ilvl="0" w:tplc="EC2006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42654"/>
    <w:multiLevelType w:val="hybridMultilevel"/>
    <w:tmpl w:val="C54C8436"/>
    <w:lvl w:ilvl="0" w:tplc="2F206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210BFE"/>
    <w:multiLevelType w:val="hybridMultilevel"/>
    <w:tmpl w:val="7FEE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6209E0"/>
    <w:multiLevelType w:val="hybridMultilevel"/>
    <w:tmpl w:val="282EBA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13D7B66"/>
    <w:multiLevelType w:val="multilevel"/>
    <w:tmpl w:val="4FA627E4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A60A7"/>
    <w:multiLevelType w:val="hybridMultilevel"/>
    <w:tmpl w:val="9BA6A694"/>
    <w:lvl w:ilvl="0" w:tplc="B32C53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0826561">
    <w:abstractNumId w:val="5"/>
  </w:num>
  <w:num w:numId="2" w16cid:durableId="436411459">
    <w:abstractNumId w:val="1"/>
  </w:num>
  <w:num w:numId="3" w16cid:durableId="502546710">
    <w:abstractNumId w:val="2"/>
  </w:num>
  <w:num w:numId="4" w16cid:durableId="1346858236">
    <w:abstractNumId w:val="4"/>
  </w:num>
  <w:num w:numId="5" w16cid:durableId="544677040">
    <w:abstractNumId w:val="3"/>
  </w:num>
  <w:num w:numId="6" w16cid:durableId="1309632213">
    <w:abstractNumId w:val="0"/>
  </w:num>
  <w:num w:numId="7" w16cid:durableId="1474717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51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29"/>
    <w:rsid w:val="00002CB5"/>
    <w:rsid w:val="00010E20"/>
    <w:rsid w:val="00041E20"/>
    <w:rsid w:val="00047A50"/>
    <w:rsid w:val="00052D44"/>
    <w:rsid w:val="000565F7"/>
    <w:rsid w:val="00062105"/>
    <w:rsid w:val="00073E44"/>
    <w:rsid w:val="000835B7"/>
    <w:rsid w:val="00091368"/>
    <w:rsid w:val="00093252"/>
    <w:rsid w:val="00095395"/>
    <w:rsid w:val="000A620E"/>
    <w:rsid w:val="000B04A6"/>
    <w:rsid w:val="000B3F74"/>
    <w:rsid w:val="000D580E"/>
    <w:rsid w:val="000F7AFC"/>
    <w:rsid w:val="00100B90"/>
    <w:rsid w:val="00105F53"/>
    <w:rsid w:val="00107CF5"/>
    <w:rsid w:val="00124E70"/>
    <w:rsid w:val="00137C21"/>
    <w:rsid w:val="00145A51"/>
    <w:rsid w:val="001645D3"/>
    <w:rsid w:val="001657D6"/>
    <w:rsid w:val="00184093"/>
    <w:rsid w:val="00187242"/>
    <w:rsid w:val="00194A54"/>
    <w:rsid w:val="001964A1"/>
    <w:rsid w:val="001A3B47"/>
    <w:rsid w:val="001A3FEC"/>
    <w:rsid w:val="001B3704"/>
    <w:rsid w:val="001B4B99"/>
    <w:rsid w:val="001C1502"/>
    <w:rsid w:val="001D4625"/>
    <w:rsid w:val="001E0D8E"/>
    <w:rsid w:val="001E3383"/>
    <w:rsid w:val="00214602"/>
    <w:rsid w:val="00227E11"/>
    <w:rsid w:val="002379C2"/>
    <w:rsid w:val="002537F7"/>
    <w:rsid w:val="00257388"/>
    <w:rsid w:val="0026591F"/>
    <w:rsid w:val="002739B1"/>
    <w:rsid w:val="0029629C"/>
    <w:rsid w:val="002A795D"/>
    <w:rsid w:val="002D02A5"/>
    <w:rsid w:val="002E6BEB"/>
    <w:rsid w:val="003060BB"/>
    <w:rsid w:val="003113FF"/>
    <w:rsid w:val="00340A8F"/>
    <w:rsid w:val="00341A14"/>
    <w:rsid w:val="003442B8"/>
    <w:rsid w:val="00344FAA"/>
    <w:rsid w:val="00351939"/>
    <w:rsid w:val="00352FA0"/>
    <w:rsid w:val="00363A91"/>
    <w:rsid w:val="003769CA"/>
    <w:rsid w:val="003B3390"/>
    <w:rsid w:val="003B6F89"/>
    <w:rsid w:val="003D4183"/>
    <w:rsid w:val="003D6E1A"/>
    <w:rsid w:val="003E7E3F"/>
    <w:rsid w:val="003F3DDD"/>
    <w:rsid w:val="00402EF1"/>
    <w:rsid w:val="0041409C"/>
    <w:rsid w:val="00422172"/>
    <w:rsid w:val="00426E00"/>
    <w:rsid w:val="00440BD1"/>
    <w:rsid w:val="00457188"/>
    <w:rsid w:val="00467B34"/>
    <w:rsid w:val="00467D59"/>
    <w:rsid w:val="0048530C"/>
    <w:rsid w:val="004A7642"/>
    <w:rsid w:val="004A7B53"/>
    <w:rsid w:val="004B094B"/>
    <w:rsid w:val="004B4606"/>
    <w:rsid w:val="004F205C"/>
    <w:rsid w:val="004F74DA"/>
    <w:rsid w:val="00505E93"/>
    <w:rsid w:val="00521770"/>
    <w:rsid w:val="00524552"/>
    <w:rsid w:val="00527296"/>
    <w:rsid w:val="005277F9"/>
    <w:rsid w:val="005279A3"/>
    <w:rsid w:val="00531747"/>
    <w:rsid w:val="00542D60"/>
    <w:rsid w:val="00554395"/>
    <w:rsid w:val="00573FCF"/>
    <w:rsid w:val="0057407D"/>
    <w:rsid w:val="0059045E"/>
    <w:rsid w:val="005A53AF"/>
    <w:rsid w:val="005A79D1"/>
    <w:rsid w:val="005E1EE5"/>
    <w:rsid w:val="0060251C"/>
    <w:rsid w:val="006031A2"/>
    <w:rsid w:val="006136DC"/>
    <w:rsid w:val="00617DF3"/>
    <w:rsid w:val="0062195F"/>
    <w:rsid w:val="006247F1"/>
    <w:rsid w:val="00635280"/>
    <w:rsid w:val="006357CE"/>
    <w:rsid w:val="00637021"/>
    <w:rsid w:val="00683F99"/>
    <w:rsid w:val="00694435"/>
    <w:rsid w:val="00697993"/>
    <w:rsid w:val="006A1AD2"/>
    <w:rsid w:val="006B16F8"/>
    <w:rsid w:val="006C19C1"/>
    <w:rsid w:val="006C4EE8"/>
    <w:rsid w:val="006D12FB"/>
    <w:rsid w:val="006D1480"/>
    <w:rsid w:val="006D7E13"/>
    <w:rsid w:val="006E04B6"/>
    <w:rsid w:val="006E24FE"/>
    <w:rsid w:val="006E5977"/>
    <w:rsid w:val="006F0EB3"/>
    <w:rsid w:val="006F28DC"/>
    <w:rsid w:val="006F3265"/>
    <w:rsid w:val="00706DEB"/>
    <w:rsid w:val="00720D29"/>
    <w:rsid w:val="007302A6"/>
    <w:rsid w:val="007369AF"/>
    <w:rsid w:val="007444E2"/>
    <w:rsid w:val="00751994"/>
    <w:rsid w:val="007546C9"/>
    <w:rsid w:val="0076228A"/>
    <w:rsid w:val="00771BCE"/>
    <w:rsid w:val="00790733"/>
    <w:rsid w:val="007A323C"/>
    <w:rsid w:val="007C1CAC"/>
    <w:rsid w:val="007C250D"/>
    <w:rsid w:val="007D75B6"/>
    <w:rsid w:val="007E56E9"/>
    <w:rsid w:val="007F2570"/>
    <w:rsid w:val="00804799"/>
    <w:rsid w:val="00811677"/>
    <w:rsid w:val="00820C08"/>
    <w:rsid w:val="008237DA"/>
    <w:rsid w:val="008269EC"/>
    <w:rsid w:val="00847167"/>
    <w:rsid w:val="00851B90"/>
    <w:rsid w:val="0086602D"/>
    <w:rsid w:val="00867FA3"/>
    <w:rsid w:val="00871835"/>
    <w:rsid w:val="008853C5"/>
    <w:rsid w:val="008877E1"/>
    <w:rsid w:val="00896DD5"/>
    <w:rsid w:val="008A68B0"/>
    <w:rsid w:val="008A715B"/>
    <w:rsid w:val="008B041E"/>
    <w:rsid w:val="008B3A82"/>
    <w:rsid w:val="008B533B"/>
    <w:rsid w:val="008C14CB"/>
    <w:rsid w:val="008C1D06"/>
    <w:rsid w:val="008C2F50"/>
    <w:rsid w:val="008D2139"/>
    <w:rsid w:val="008D7FA0"/>
    <w:rsid w:val="008F436E"/>
    <w:rsid w:val="008F752C"/>
    <w:rsid w:val="0093350B"/>
    <w:rsid w:val="0094055D"/>
    <w:rsid w:val="009405C2"/>
    <w:rsid w:val="009467D5"/>
    <w:rsid w:val="00957928"/>
    <w:rsid w:val="00961280"/>
    <w:rsid w:val="0096562B"/>
    <w:rsid w:val="00977664"/>
    <w:rsid w:val="009A0821"/>
    <w:rsid w:val="009A49DD"/>
    <w:rsid w:val="009B0142"/>
    <w:rsid w:val="009C5982"/>
    <w:rsid w:val="009F3B3D"/>
    <w:rsid w:val="009F7A0C"/>
    <w:rsid w:val="00A22FD9"/>
    <w:rsid w:val="00A51482"/>
    <w:rsid w:val="00A62C2B"/>
    <w:rsid w:val="00A732F1"/>
    <w:rsid w:val="00A737ED"/>
    <w:rsid w:val="00A87BF1"/>
    <w:rsid w:val="00A95DA0"/>
    <w:rsid w:val="00A971D9"/>
    <w:rsid w:val="00AA63A5"/>
    <w:rsid w:val="00AA6825"/>
    <w:rsid w:val="00AC058B"/>
    <w:rsid w:val="00AE3601"/>
    <w:rsid w:val="00AF0A47"/>
    <w:rsid w:val="00AF597B"/>
    <w:rsid w:val="00B007A6"/>
    <w:rsid w:val="00B07581"/>
    <w:rsid w:val="00B07957"/>
    <w:rsid w:val="00B13937"/>
    <w:rsid w:val="00B1421E"/>
    <w:rsid w:val="00B24FBF"/>
    <w:rsid w:val="00B3652A"/>
    <w:rsid w:val="00B5091D"/>
    <w:rsid w:val="00B513C8"/>
    <w:rsid w:val="00B53B93"/>
    <w:rsid w:val="00B93D4E"/>
    <w:rsid w:val="00B93D5D"/>
    <w:rsid w:val="00B943EC"/>
    <w:rsid w:val="00BB0A0C"/>
    <w:rsid w:val="00BC0AB2"/>
    <w:rsid w:val="00BC149D"/>
    <w:rsid w:val="00BC7F62"/>
    <w:rsid w:val="00BD0788"/>
    <w:rsid w:val="00BD2082"/>
    <w:rsid w:val="00BD5B53"/>
    <w:rsid w:val="00BE0217"/>
    <w:rsid w:val="00BF17F5"/>
    <w:rsid w:val="00BF2DE5"/>
    <w:rsid w:val="00BF3021"/>
    <w:rsid w:val="00C0069D"/>
    <w:rsid w:val="00C16CA4"/>
    <w:rsid w:val="00C21FFE"/>
    <w:rsid w:val="00C2306A"/>
    <w:rsid w:val="00C30464"/>
    <w:rsid w:val="00C52D3A"/>
    <w:rsid w:val="00C568EA"/>
    <w:rsid w:val="00C60D47"/>
    <w:rsid w:val="00C660BD"/>
    <w:rsid w:val="00C81D82"/>
    <w:rsid w:val="00CA2350"/>
    <w:rsid w:val="00CC0A03"/>
    <w:rsid w:val="00CC2E28"/>
    <w:rsid w:val="00CC688A"/>
    <w:rsid w:val="00CD3201"/>
    <w:rsid w:val="00D07875"/>
    <w:rsid w:val="00D079DD"/>
    <w:rsid w:val="00D22015"/>
    <w:rsid w:val="00D2662C"/>
    <w:rsid w:val="00D3227A"/>
    <w:rsid w:val="00D324E3"/>
    <w:rsid w:val="00D35167"/>
    <w:rsid w:val="00D37631"/>
    <w:rsid w:val="00D4529E"/>
    <w:rsid w:val="00D54A20"/>
    <w:rsid w:val="00D55298"/>
    <w:rsid w:val="00D82AB6"/>
    <w:rsid w:val="00D94DCF"/>
    <w:rsid w:val="00DA457F"/>
    <w:rsid w:val="00DD3419"/>
    <w:rsid w:val="00DD53F1"/>
    <w:rsid w:val="00DF6FCB"/>
    <w:rsid w:val="00DF7339"/>
    <w:rsid w:val="00E0029D"/>
    <w:rsid w:val="00E01058"/>
    <w:rsid w:val="00E0208D"/>
    <w:rsid w:val="00E02364"/>
    <w:rsid w:val="00E06D59"/>
    <w:rsid w:val="00E11D32"/>
    <w:rsid w:val="00E179CC"/>
    <w:rsid w:val="00E412E7"/>
    <w:rsid w:val="00E434D0"/>
    <w:rsid w:val="00E504B1"/>
    <w:rsid w:val="00E63BFC"/>
    <w:rsid w:val="00E8116C"/>
    <w:rsid w:val="00E84531"/>
    <w:rsid w:val="00E86C98"/>
    <w:rsid w:val="00E948F0"/>
    <w:rsid w:val="00EA3704"/>
    <w:rsid w:val="00EB0E03"/>
    <w:rsid w:val="00EC134D"/>
    <w:rsid w:val="00EC3816"/>
    <w:rsid w:val="00EC41FB"/>
    <w:rsid w:val="00ED68CC"/>
    <w:rsid w:val="00EE599D"/>
    <w:rsid w:val="00EF3EFB"/>
    <w:rsid w:val="00EF5484"/>
    <w:rsid w:val="00F012F5"/>
    <w:rsid w:val="00F123BC"/>
    <w:rsid w:val="00F14C27"/>
    <w:rsid w:val="00F1553E"/>
    <w:rsid w:val="00F20D1A"/>
    <w:rsid w:val="00F21924"/>
    <w:rsid w:val="00F26547"/>
    <w:rsid w:val="00F32D06"/>
    <w:rsid w:val="00F3598F"/>
    <w:rsid w:val="00F53E5A"/>
    <w:rsid w:val="00F54473"/>
    <w:rsid w:val="00F57CC3"/>
    <w:rsid w:val="00F61C8A"/>
    <w:rsid w:val="00F63A5B"/>
    <w:rsid w:val="00F70661"/>
    <w:rsid w:val="00F708E9"/>
    <w:rsid w:val="00F73075"/>
    <w:rsid w:val="00F862AC"/>
    <w:rsid w:val="00F936DF"/>
    <w:rsid w:val="00FA149A"/>
    <w:rsid w:val="00FB2B94"/>
    <w:rsid w:val="00FD1680"/>
    <w:rsid w:val="00FD57FB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4E546"/>
  <w15:chartTrackingRefBased/>
  <w15:docId w15:val="{F7D20CD1-2FD2-4C03-B8D3-CCB004C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C660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Pr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Cs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FollowedHyperlink"/>
    <w:rPr>
      <w:color w:val="800080"/>
      <w:u w:val="single"/>
    </w:rPr>
  </w:style>
  <w:style w:type="paragraph" w:styleId="21">
    <w:name w:val="Body Text 2"/>
    <w:basedOn w:val="a"/>
    <w:pPr>
      <w:jc w:val="center"/>
    </w:pPr>
    <w:rPr>
      <w:b/>
      <w:sz w:val="16"/>
    </w:rPr>
  </w:style>
  <w:style w:type="paragraph" w:styleId="31">
    <w:name w:val="Body Text 3"/>
    <w:basedOn w:val="a"/>
    <w:rPr>
      <w:sz w:val="32"/>
    </w:rPr>
  </w:style>
  <w:style w:type="paragraph" w:customStyle="1" w:styleId="BodyText31">
    <w:name w:val="Body Text 31"/>
    <w:basedOn w:val="a"/>
    <w:pPr>
      <w:widowControl w:val="0"/>
      <w:tabs>
        <w:tab w:val="left" w:pos="1800"/>
        <w:tab w:val="left" w:pos="3060"/>
        <w:tab w:val="left" w:pos="3960"/>
        <w:tab w:val="left" w:pos="5040"/>
      </w:tabs>
    </w:pPr>
    <w:rPr>
      <w:szCs w:val="20"/>
    </w:rPr>
  </w:style>
  <w:style w:type="paragraph" w:styleId="a8">
    <w:name w:val="Plain Text"/>
    <w:basedOn w:val="a"/>
    <w:link w:val="a9"/>
    <w:rsid w:val="00DD53F1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DD53F1"/>
    <w:rPr>
      <w:rFonts w:ascii="Courier New" w:hAnsi="Courier New"/>
      <w:lang w:val="ru-RU" w:eastAsia="ru-RU"/>
    </w:rPr>
  </w:style>
  <w:style w:type="paragraph" w:customStyle="1" w:styleId="bodytext3">
    <w:name w:val="bodytext3"/>
    <w:basedOn w:val="a"/>
    <w:rsid w:val="00E948F0"/>
    <w:pPr>
      <w:spacing w:before="100" w:beforeAutospacing="1" w:after="100" w:afterAutospacing="1"/>
    </w:pPr>
    <w:rPr>
      <w:lang w:val="en-US" w:eastAsia="en-US"/>
    </w:rPr>
  </w:style>
  <w:style w:type="character" w:customStyle="1" w:styleId="50">
    <w:name w:val="Заголовок 5 Знак"/>
    <w:link w:val="5"/>
    <w:semiHidden/>
    <w:rsid w:val="00C660BD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a">
    <w:name w:val="Table Grid"/>
    <w:basedOn w:val="a1"/>
    <w:uiPriority w:val="59"/>
    <w:rsid w:val="008C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nhideWhenUsed/>
    <w:rsid w:val="008C1D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C1D06"/>
  </w:style>
  <w:style w:type="character" w:styleId="ad">
    <w:name w:val="annotation reference"/>
    <w:unhideWhenUsed/>
    <w:rsid w:val="008C1D06"/>
    <w:rPr>
      <w:sz w:val="16"/>
      <w:szCs w:val="16"/>
    </w:rPr>
  </w:style>
  <w:style w:type="paragraph" w:styleId="ae">
    <w:name w:val="Normal (Web)"/>
    <w:basedOn w:val="a"/>
    <w:uiPriority w:val="99"/>
    <w:unhideWhenUsed/>
    <w:rsid w:val="00AE3601"/>
    <w:pPr>
      <w:spacing w:after="200" w:line="276" w:lineRule="auto"/>
    </w:pPr>
    <w:rPr>
      <w:rFonts w:eastAsia="Calibri"/>
      <w:lang w:eastAsia="en-US"/>
    </w:rPr>
  </w:style>
  <w:style w:type="paragraph" w:customStyle="1" w:styleId="Default">
    <w:name w:val="Default"/>
    <w:rsid w:val="00AE36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header"/>
    <w:basedOn w:val="a"/>
    <w:link w:val="af0"/>
    <w:rsid w:val="006F28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6F28DC"/>
    <w:rPr>
      <w:sz w:val="24"/>
      <w:szCs w:val="24"/>
    </w:rPr>
  </w:style>
  <w:style w:type="paragraph" w:styleId="af1">
    <w:name w:val="footer"/>
    <w:basedOn w:val="a"/>
    <w:link w:val="af2"/>
    <w:uiPriority w:val="99"/>
    <w:rsid w:val="006F28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6F28DC"/>
    <w:rPr>
      <w:sz w:val="24"/>
      <w:szCs w:val="24"/>
    </w:rPr>
  </w:style>
  <w:style w:type="character" w:customStyle="1" w:styleId="af3">
    <w:name w:val="Абзац списка Знак"/>
    <w:link w:val="af4"/>
    <w:uiPriority w:val="34"/>
    <w:locked/>
    <w:rsid w:val="001D4625"/>
    <w:rPr>
      <w:lang w:val="x-none"/>
    </w:rPr>
  </w:style>
  <w:style w:type="paragraph" w:styleId="af4">
    <w:name w:val="List Paragraph"/>
    <w:basedOn w:val="a"/>
    <w:link w:val="af3"/>
    <w:uiPriority w:val="34"/>
    <w:qFormat/>
    <w:rsid w:val="001D4625"/>
    <w:pPr>
      <w:spacing w:after="200" w:line="276" w:lineRule="auto"/>
      <w:ind w:left="720"/>
      <w:contextualSpacing/>
    </w:pPr>
    <w:rPr>
      <w:sz w:val="20"/>
      <w:szCs w:val="20"/>
      <w:lang w:val="x-none"/>
    </w:rPr>
  </w:style>
  <w:style w:type="paragraph" w:customStyle="1" w:styleId="Style3">
    <w:name w:val="Style3"/>
    <w:basedOn w:val="a"/>
    <w:uiPriority w:val="99"/>
    <w:semiHidden/>
    <w:qFormat/>
    <w:rsid w:val="001D4625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paragraph" w:customStyle="1" w:styleId="Style5">
    <w:name w:val="Style5"/>
    <w:basedOn w:val="a"/>
    <w:uiPriority w:val="99"/>
    <w:semiHidden/>
    <w:rsid w:val="001D4625"/>
    <w:pPr>
      <w:widowControl w:val="0"/>
      <w:autoSpaceDE w:val="0"/>
      <w:autoSpaceDN w:val="0"/>
      <w:adjustRightInd w:val="0"/>
      <w:spacing w:line="274" w:lineRule="exact"/>
      <w:ind w:firstLine="691"/>
      <w:jc w:val="both"/>
    </w:pPr>
  </w:style>
  <w:style w:type="paragraph" w:customStyle="1" w:styleId="Style6">
    <w:name w:val="Style6"/>
    <w:basedOn w:val="a"/>
    <w:uiPriority w:val="99"/>
    <w:semiHidden/>
    <w:rsid w:val="001D4625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a"/>
    <w:uiPriority w:val="99"/>
    <w:semiHidden/>
    <w:rsid w:val="001D4625"/>
    <w:pPr>
      <w:widowControl w:val="0"/>
      <w:autoSpaceDE w:val="0"/>
      <w:autoSpaceDN w:val="0"/>
      <w:adjustRightInd w:val="0"/>
      <w:spacing w:line="374" w:lineRule="exact"/>
      <w:jc w:val="both"/>
    </w:pPr>
  </w:style>
  <w:style w:type="character" w:customStyle="1" w:styleId="FontStyle14">
    <w:name w:val="Font Style14"/>
    <w:uiPriority w:val="99"/>
    <w:rsid w:val="001D462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uiPriority w:val="99"/>
    <w:rsid w:val="001D4625"/>
    <w:rPr>
      <w:rFonts w:ascii="Times New Roman" w:hAnsi="Times New Roman" w:cs="Times New Roman" w:hint="default"/>
      <w:b/>
      <w:bCs w:val="0"/>
      <w:sz w:val="26"/>
    </w:rPr>
  </w:style>
  <w:style w:type="paragraph" w:styleId="af5">
    <w:name w:val="footnote text"/>
    <w:basedOn w:val="a"/>
    <w:link w:val="af6"/>
    <w:uiPriority w:val="99"/>
    <w:unhideWhenUsed/>
    <w:rsid w:val="001D462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1D4625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unhideWhenUsed/>
    <w:rsid w:val="001D4625"/>
    <w:rPr>
      <w:vertAlign w:val="superscript"/>
    </w:rPr>
  </w:style>
  <w:style w:type="character" w:customStyle="1" w:styleId="key-valueitem-value">
    <w:name w:val="key-value__item-value"/>
    <w:basedOn w:val="a0"/>
    <w:rsid w:val="00F012F5"/>
  </w:style>
  <w:style w:type="character" w:customStyle="1" w:styleId="text16">
    <w:name w:val="text16"/>
    <w:basedOn w:val="a0"/>
    <w:rsid w:val="00F012F5"/>
  </w:style>
  <w:style w:type="character" w:customStyle="1" w:styleId="extended-textshort">
    <w:name w:val="extended-text__short"/>
    <w:basedOn w:val="a0"/>
    <w:rsid w:val="00697993"/>
  </w:style>
  <w:style w:type="character" w:customStyle="1" w:styleId="af8">
    <w:name w:val="Без интервала Знак"/>
    <w:link w:val="af9"/>
    <w:uiPriority w:val="1"/>
    <w:locked/>
    <w:rsid w:val="00D55298"/>
    <w:rPr>
      <w:rFonts w:ascii="Calibri" w:eastAsia="Calibri" w:hAnsi="Calibri"/>
    </w:rPr>
  </w:style>
  <w:style w:type="paragraph" w:styleId="af9">
    <w:name w:val="No Spacing"/>
    <w:link w:val="af8"/>
    <w:uiPriority w:val="1"/>
    <w:qFormat/>
    <w:rsid w:val="00D55298"/>
    <w:rPr>
      <w:rFonts w:ascii="Calibri" w:eastAsia="Calibri" w:hAnsi="Calibri"/>
    </w:rPr>
  </w:style>
  <w:style w:type="character" w:customStyle="1" w:styleId="ConsPlusNormal">
    <w:name w:val="ConsPlusNormal Знак"/>
    <w:link w:val="ConsPlusNormal0"/>
    <w:locked/>
    <w:rsid w:val="00D5529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552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ictionary-itemcode">
    <w:name w:val="dictionary-item__code"/>
    <w:basedOn w:val="a0"/>
    <w:rsid w:val="00D55298"/>
  </w:style>
  <w:style w:type="paragraph" w:styleId="afa">
    <w:name w:val="Revision"/>
    <w:hidden/>
    <w:uiPriority w:val="99"/>
    <w:semiHidden/>
    <w:rsid w:val="0042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96B8-096E-49C4-9084-FF9277A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ПРИРОДНЫХ РЕСУРСОВ</vt:lpstr>
      <vt:lpstr>   МИНИСТЕРСТВО ПРИРОДНЫХ РЕСУРСОВ                                                                                            </vt:lpstr>
    </vt:vector>
  </TitlesOfParts>
  <Company>МПР</Company>
  <LinksUpToDate>false</LinksUpToDate>
  <CharactersWithSpaces>3478</CharactersWithSpaces>
  <SharedDoc>false</SharedDoc>
  <HLinks>
    <vt:vector size="6" baseType="variant"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mailto:zakupki@vhkrf.ru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</dc:title>
  <dc:subject/>
  <dc:creator>Администратор</dc:creator>
  <cp:keywords/>
  <cp:lastModifiedBy>Сингх Ангелина Джарнаиловна</cp:lastModifiedBy>
  <cp:revision>11</cp:revision>
  <cp:lastPrinted>2020-02-03T09:54:00Z</cp:lastPrinted>
  <dcterms:created xsi:type="dcterms:W3CDTF">2025-07-30T08:42:00Z</dcterms:created>
  <dcterms:modified xsi:type="dcterms:W3CDTF">2026-03-16T11:45:00Z</dcterms:modified>
</cp:coreProperties>
</file>