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left="57" w:right="57"/>
        <w:rPr>
          <w:szCs w:val="24"/>
        </w:rPr>
      </w:pPr>
      <w:r>
        <w:rPr>
          <w:szCs w:val="24"/>
        </w:rPr>
        <w:t xml:space="preserve">Договор </w:t>
      </w:r>
    </w:p>
    <w:p>
      <w:pPr>
        <w:pStyle w:val="Title"/>
        <w:ind w:firstLine="567" w:left="57" w:right="57"/>
        <w:rPr>
          <w:szCs w:val="24"/>
        </w:rPr>
      </w:pPr>
      <w:r>
        <w:rPr>
          <w:szCs w:val="24"/>
        </w:rPr>
        <w:t xml:space="preserve">на поставку товара № </w:t>
      </w:r>
      <w:r>
        <w:rPr>
          <w:b w:val="false"/>
          <w:szCs w:val="24"/>
          <w:u w:val="single"/>
        </w:rPr>
        <w:t xml:space="preserve">     __ _  </w:t>
      </w:r>
      <w:r>
        <w:rPr>
          <w:szCs w:val="24"/>
        </w:rPr>
        <w:t>/26</w:t>
      </w:r>
    </w:p>
    <w:p>
      <w:pPr>
        <w:pStyle w:val="BodyText"/>
        <w:ind w:firstLine="567" w:left="57" w:right="57"/>
        <w:rPr>
          <w:szCs w:val="24"/>
        </w:rPr>
      </w:pPr>
      <w:r>
        <w:rPr>
          <w:szCs w:val="24"/>
        </w:rPr>
      </w:r>
    </w:p>
    <w:p>
      <w:pPr>
        <w:pStyle w:val="BodyText"/>
        <w:tabs>
          <w:tab w:val="clear" w:pos="709"/>
          <w:tab w:val="center" w:pos="9356" w:leader="none"/>
        </w:tabs>
        <w:ind w:firstLine="567" w:left="57" w:right="57"/>
        <w:rPr>
          <w:szCs w:val="24"/>
        </w:rPr>
      </w:pPr>
      <w:r>
        <w:rPr>
          <w:szCs w:val="24"/>
        </w:rPr>
        <w:t>г. Оренбург</w:t>
        <w:tab/>
        <w:t xml:space="preserve">              «_____» _________________ 2026 г.</w:t>
      </w:r>
    </w:p>
    <w:p>
      <w:pPr>
        <w:pStyle w:val="BodyTextIndent"/>
        <w:ind w:firstLine="567" w:left="57" w:right="57"/>
        <w:rPr>
          <w:szCs w:val="24"/>
        </w:rPr>
      </w:pPr>
      <w:r>
        <w:rPr>
          <w:szCs w:val="24"/>
        </w:rPr>
      </w:r>
    </w:p>
    <w:p>
      <w:pPr>
        <w:pStyle w:val="BodyTextIndent"/>
        <w:ind w:firstLine="567"/>
        <w:rPr>
          <w:szCs w:val="24"/>
        </w:rPr>
      </w:pPr>
      <w:r>
        <w:rPr>
          <w:b/>
          <w:bCs/>
          <w:color w:val="000000"/>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Оренбургской области» (ФКУ БМТиВС УФСИН России по Оренбургской области),</w:t>
      </w:r>
      <w:r>
        <w:rPr>
          <w:color w:val="000000"/>
          <w:szCs w:val="24"/>
        </w:rPr>
        <w:t xml:space="preserve"> </w:t>
      </w:r>
      <w:r>
        <w:rPr>
          <w:szCs w:val="24"/>
        </w:rPr>
        <w:t>именуемое в дальнейшем «Покупатель», в л</w:t>
      </w:r>
      <w:bookmarkStart w:id="0" w:name="OCRUncertain047"/>
      <w:r>
        <w:rPr>
          <w:szCs w:val="24"/>
        </w:rPr>
        <w:t>и</w:t>
      </w:r>
      <w:bookmarkEnd w:id="0"/>
      <w:r>
        <w:rPr>
          <w:szCs w:val="24"/>
        </w:rPr>
        <w:t xml:space="preserve">це </w:t>
      </w:r>
      <w:r>
        <w:rPr>
          <w:color w:val="000000"/>
          <w:szCs w:val="24"/>
        </w:rPr>
        <w:t>___________________, действующего на основании Устава</w:t>
      </w:r>
      <w:r>
        <w:rPr>
          <w:szCs w:val="24"/>
        </w:rPr>
        <w:t>, и</w:t>
      </w:r>
      <w:r>
        <w:rPr>
          <w:rStyle w:val="90pt"/>
          <w:spacing w:val="0"/>
          <w:sz w:val="24"/>
          <w:szCs w:val="24"/>
        </w:rPr>
        <w:t xml:space="preserve"> </w:t>
      </w:r>
      <w:r>
        <w:rPr>
          <w:b/>
          <w:szCs w:val="24"/>
        </w:rPr>
        <w:t>___________________</w:t>
      </w:r>
      <w:r>
        <w:rPr>
          <w:bCs/>
          <w:szCs w:val="24"/>
        </w:rPr>
        <w:t>,</w:t>
      </w:r>
      <w:r>
        <w:rPr>
          <w:szCs w:val="24"/>
        </w:rPr>
        <w:t xml:space="preserve"> именуемый в дальнейшем _____________________, с другой стороны, вместе именуемые «Стороны», </w:t>
      </w:r>
      <w:r>
        <w:rPr>
          <w:color w:val="000000"/>
          <w:szCs w:val="24"/>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BodyTextIndent"/>
        <w:ind w:firstLine="567" w:left="57" w:right="57"/>
        <w:rPr>
          <w:szCs w:val="24"/>
        </w:rPr>
      </w:pPr>
      <w:r>
        <w:rPr>
          <w:szCs w:val="24"/>
        </w:rPr>
      </w:r>
    </w:p>
    <w:p>
      <w:pPr>
        <w:pStyle w:val="Normal"/>
        <w:numPr>
          <w:ilvl w:val="0"/>
          <w:numId w:val="1"/>
        </w:numPr>
        <w:ind w:hanging="360" w:left="984" w:right="57"/>
        <w:jc w:val="center"/>
        <w:rPr>
          <w:b/>
          <w:sz w:val="24"/>
          <w:szCs w:val="24"/>
        </w:rPr>
      </w:pPr>
      <w:r>
        <w:rPr>
          <w:b/>
          <w:sz w:val="24"/>
          <w:szCs w:val="24"/>
        </w:rPr>
        <w:t>Предмет договора</w:t>
      </w:r>
    </w:p>
    <w:p>
      <w:pPr>
        <w:pStyle w:val="Normal"/>
        <w:ind w:firstLine="624"/>
        <w:jc w:val="both"/>
        <w:rPr>
          <w:sz w:val="24"/>
          <w:szCs w:val="24"/>
        </w:rPr>
      </w:pPr>
      <w:r>
        <w:rPr>
          <w:color w:val="000000"/>
          <w:sz w:val="24"/>
          <w:szCs w:val="24"/>
        </w:rPr>
        <w:t>1.1. «Поставщик» обязуется передать «Покупателю» качественную и безопасную продукцию –</w:t>
      </w:r>
      <w:r>
        <w:rPr>
          <w:b/>
          <w:color w:val="000000"/>
          <w:sz w:val="24"/>
          <w:szCs w:val="24"/>
        </w:rPr>
        <w:t xml:space="preserve"> </w:t>
      </w:r>
      <w:r>
        <w:rPr>
          <w:b/>
          <w:color w:val="000000"/>
          <w:sz w:val="24"/>
          <w:szCs w:val="24"/>
        </w:rPr>
        <w:t>Газ пропан-бутан технический (СПБТ)</w:t>
      </w:r>
      <w:r>
        <w:rPr>
          <w:b/>
          <w:color w:val="000000"/>
          <w:sz w:val="24"/>
          <w:szCs w:val="24"/>
        </w:rPr>
        <w:t xml:space="preserve"> </w:t>
      </w:r>
      <w:r>
        <w:rPr>
          <w:color w:val="000000"/>
          <w:sz w:val="24"/>
          <w:szCs w:val="24"/>
        </w:rPr>
        <w:t xml:space="preserve">(далее – </w:t>
      </w:r>
      <w:r>
        <w:rPr>
          <w:sz w:val="24"/>
          <w:szCs w:val="24"/>
        </w:rPr>
        <w:t>товар) согласно спецификации, прилагаемой к Договору, подписанной обеими Сторонами и являющейся неотъемлемой частью данного Договора (приложение № 1 к Контракту), техническими характеристиками и в комплектации в соответствии с техническим заданием (приложение № 2 к договору), а «Покупатель» обязуется обеспечить приемку и оплату товара.</w:t>
      </w:r>
    </w:p>
    <w:p>
      <w:pPr>
        <w:pStyle w:val="Normal"/>
        <w:ind w:firstLine="567" w:left="57" w:right="57"/>
        <w:jc w:val="center"/>
        <w:rPr>
          <w:b/>
          <w:sz w:val="24"/>
          <w:szCs w:val="24"/>
        </w:rPr>
      </w:pPr>
      <w:r>
        <w:rPr>
          <w:b/>
          <w:sz w:val="24"/>
          <w:szCs w:val="24"/>
        </w:rPr>
      </w:r>
    </w:p>
    <w:p>
      <w:pPr>
        <w:pStyle w:val="Normal"/>
        <w:ind w:firstLine="567" w:left="57" w:right="57"/>
        <w:jc w:val="center"/>
        <w:rPr>
          <w:b/>
          <w:sz w:val="24"/>
          <w:szCs w:val="24"/>
        </w:rPr>
      </w:pPr>
      <w:r>
        <w:rPr>
          <w:b/>
          <w:sz w:val="24"/>
          <w:szCs w:val="24"/>
        </w:rPr>
        <w:t>2. Сумма и порядок расчетов</w:t>
      </w:r>
    </w:p>
    <w:p>
      <w:pPr>
        <w:pStyle w:val="Normal"/>
        <w:ind w:firstLine="567" w:left="57" w:right="57"/>
        <w:jc w:val="both"/>
        <w:rPr>
          <w:sz w:val="24"/>
          <w:szCs w:val="24"/>
        </w:rPr>
      </w:pPr>
      <w:r>
        <w:rPr>
          <w:sz w:val="24"/>
          <w:szCs w:val="24"/>
        </w:rPr>
        <w:t>2.1.</w:t>
        <w:tab/>
        <w:t>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 ______ с НДС/НДС не облагается и включает в себя стоимость товара, стоимость тары и упаковки, транспортные расходы, расходы на страхование, погрузочно-разгрузочные работы, уплату таможенных пошлин, налогов, сборов и другие обязательные платежи, взимаемые с Поставщика в связи с исполнением обязательств по Договору.</w:t>
      </w:r>
    </w:p>
    <w:p>
      <w:pPr>
        <w:pStyle w:val="Normal"/>
        <w:ind w:firstLine="567" w:left="57" w:right="57"/>
        <w:jc w:val="both"/>
        <w:rPr>
          <w:sz w:val="24"/>
          <w:szCs w:val="24"/>
        </w:rPr>
      </w:pPr>
      <w:r>
        <w:rPr>
          <w:sz w:val="24"/>
          <w:szCs w:val="24"/>
        </w:rPr>
        <w:t>2.2.</w:t>
        <w:tab/>
        <w:t xml:space="preserve">Оплата за товар осуществляется путем перечисления денежных средств на расчетный счет Поставщика после поставки товара в срок, не превышающий </w:t>
      </w:r>
      <w:r>
        <w:rPr>
          <w:b/>
          <w:bCs/>
          <w:sz w:val="24"/>
          <w:szCs w:val="24"/>
        </w:rPr>
        <w:t>10</w:t>
      </w:r>
      <w:r>
        <w:rPr>
          <w:sz w:val="24"/>
          <w:szCs w:val="24"/>
        </w:rPr>
        <w:t xml:space="preserve"> </w:t>
      </w:r>
      <w:r>
        <w:rPr>
          <w:b/>
          <w:sz w:val="24"/>
          <w:szCs w:val="24"/>
        </w:rPr>
        <w:t>(</w:t>
      </w:r>
      <w:r>
        <w:rPr>
          <w:b/>
          <w:sz w:val="24"/>
          <w:szCs w:val="24"/>
        </w:rPr>
        <w:t>десяти)</w:t>
      </w:r>
      <w:r>
        <w:rPr>
          <w:b/>
          <w:sz w:val="24"/>
          <w:szCs w:val="24"/>
        </w:rPr>
        <w:t xml:space="preserve"> рабочих дней</w:t>
      </w:r>
      <w:r>
        <w:rPr>
          <w:sz w:val="24"/>
          <w:szCs w:val="24"/>
        </w:rPr>
        <w:t>, согласно счету на оплату, счету-фактуре, подписанной товарной накладной или УПД (универсального передаточного документа).</w:t>
      </w:r>
    </w:p>
    <w:p>
      <w:pPr>
        <w:pStyle w:val="Normal"/>
        <w:ind w:firstLine="709"/>
        <w:jc w:val="both"/>
        <w:rPr>
          <w:b/>
          <w:sz w:val="24"/>
          <w:szCs w:val="24"/>
        </w:rPr>
      </w:pPr>
      <w:r>
        <w:rPr>
          <w:sz w:val="24"/>
          <w:szCs w:val="24"/>
        </w:rPr>
        <w:t>Оплата осуществляется из лимитов бюджетных обязательств 2026 года.</w:t>
      </w:r>
    </w:p>
    <w:p>
      <w:pPr>
        <w:pStyle w:val="Normal"/>
        <w:shd w:val="clear" w:color="auto" w:fill="FFFFFF"/>
        <w:ind w:firstLine="567" w:left="57" w:right="57"/>
        <w:jc w:val="both"/>
        <w:rPr>
          <w:sz w:val="24"/>
          <w:szCs w:val="24"/>
        </w:rPr>
      </w:pPr>
      <w:r>
        <w:rPr>
          <w:sz w:val="24"/>
          <w:szCs w:val="24"/>
        </w:rPr>
        <w:t>2.3.</w:t>
        <w:tab/>
        <w:t>Обязательства по оплате поставленной продукции считаются выполненными в день списания денежных средств со счетов «Покупателя».</w:t>
      </w:r>
    </w:p>
    <w:p>
      <w:pPr>
        <w:pStyle w:val="Normal"/>
        <w:shd w:val="clear" w:color="auto" w:fill="FFFFFF"/>
        <w:ind w:firstLine="567" w:left="57" w:right="57"/>
        <w:jc w:val="both"/>
        <w:rPr>
          <w:sz w:val="24"/>
          <w:szCs w:val="24"/>
        </w:rPr>
      </w:pPr>
      <w:r>
        <w:rPr>
          <w:sz w:val="24"/>
          <w:szCs w:val="24"/>
        </w:rPr>
        <w:t>2.4.</w:t>
        <w:tab/>
        <w:t>Расходы «Поставщика» по страхованию поставляемой продукции не возмещаются.</w:t>
      </w:r>
    </w:p>
    <w:p>
      <w:pPr>
        <w:pStyle w:val="Normal"/>
        <w:shd w:val="clear" w:color="auto" w:fill="FFFFFF"/>
        <w:ind w:firstLine="567" w:left="57" w:right="57"/>
        <w:jc w:val="both"/>
        <w:rPr>
          <w:sz w:val="24"/>
          <w:szCs w:val="24"/>
        </w:rPr>
      </w:pPr>
      <w:r>
        <w:rPr>
          <w:sz w:val="24"/>
          <w:szCs w:val="24"/>
        </w:rPr>
        <w:t>2.5.</w:t>
        <w:tab/>
        <w:t>«Покупатель» имеет право произвести полный отказ от оплаты за расходы, не предусмотренные в данном Договоре.</w:t>
      </w:r>
    </w:p>
    <w:p>
      <w:pPr>
        <w:pStyle w:val="Normal"/>
        <w:shd w:val="clear" w:color="auto" w:fill="FFFFFF"/>
        <w:ind w:firstLine="567" w:left="57" w:right="57"/>
        <w:jc w:val="both"/>
        <w:rPr>
          <w:sz w:val="24"/>
          <w:szCs w:val="24"/>
        </w:rPr>
      </w:pPr>
      <w:r>
        <w:rPr>
          <w:sz w:val="24"/>
          <w:szCs w:val="24"/>
        </w:rPr>
      </w:r>
    </w:p>
    <w:p>
      <w:pPr>
        <w:pStyle w:val="Normal"/>
        <w:ind w:firstLine="567" w:left="57" w:right="57"/>
        <w:jc w:val="center"/>
        <w:rPr>
          <w:b/>
          <w:sz w:val="24"/>
          <w:szCs w:val="24"/>
        </w:rPr>
      </w:pPr>
      <w:r>
        <w:rPr>
          <w:b/>
          <w:sz w:val="24"/>
          <w:szCs w:val="24"/>
        </w:rPr>
        <w:t>3. Качество и порядок приемки товара</w:t>
      </w:r>
    </w:p>
    <w:p>
      <w:pPr>
        <w:pStyle w:val="Normal"/>
        <w:ind w:firstLine="567" w:left="57" w:right="57"/>
        <w:jc w:val="both"/>
        <w:rPr>
          <w:sz w:val="24"/>
          <w:szCs w:val="24"/>
        </w:rPr>
      </w:pPr>
      <w:r>
        <w:rPr>
          <w:sz w:val="24"/>
          <w:szCs w:val="24"/>
        </w:rPr>
        <w:t>3.1.</w:t>
        <w:tab/>
        <w:t>Качество поставляемого товара должно соответствовать техническим требованиям,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pPr>
        <w:pStyle w:val="Normal"/>
        <w:ind w:firstLine="567" w:left="57" w:right="57"/>
        <w:jc w:val="both"/>
        <w:rPr>
          <w:sz w:val="24"/>
          <w:szCs w:val="24"/>
        </w:rPr>
      </w:pPr>
      <w:r>
        <w:rPr>
          <w:sz w:val="24"/>
          <w:szCs w:val="24"/>
        </w:rPr>
        <w:t>3.2.</w:t>
        <w:tab/>
        <w:t>Товар должен быть поставлен в ассортименте (наименовании) и объеме (количестве), предусмотренный настоящим Договором. Товар передается Покупателю вместе с комплектом сопроводительных документов.</w:t>
      </w:r>
    </w:p>
    <w:p>
      <w:pPr>
        <w:pStyle w:val="Normal"/>
        <w:ind w:firstLine="567" w:left="57" w:right="57"/>
        <w:jc w:val="both"/>
        <w:rPr>
          <w:sz w:val="24"/>
          <w:szCs w:val="24"/>
        </w:rPr>
      </w:pPr>
      <w:r>
        <w:rPr>
          <w:sz w:val="24"/>
          <w:szCs w:val="24"/>
        </w:rPr>
        <w:t>3.3.</w:t>
        <w:tab/>
        <w:t>Претензии по качеству товара принимаются в пятидневный срок с момента получения товара, при соблюдении условий хранения, устранение недостатков или замена товара производится в пределах 2 дней с момента получения заключения о наличии дефектов «Поставщиком». Замена товара производится «Поставщиком» за свой счет в установленные сроки.</w:t>
      </w:r>
    </w:p>
    <w:p>
      <w:pPr>
        <w:pStyle w:val="Normal"/>
        <w:ind w:firstLine="567" w:left="57" w:right="-2"/>
        <w:jc w:val="both"/>
        <w:rPr>
          <w:sz w:val="24"/>
          <w:szCs w:val="24"/>
        </w:rPr>
      </w:pPr>
      <w:r>
        <w:rPr>
          <w:sz w:val="24"/>
          <w:szCs w:val="24"/>
        </w:rPr>
        <w:t>3.4.</w:t>
        <w:tab/>
        <w:t xml:space="preserve">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Законодательством РФ, ГОСТ и Техническим заданием (Приложение №2). </w:t>
      </w:r>
    </w:p>
    <w:p>
      <w:pPr>
        <w:pStyle w:val="Normal"/>
        <w:ind w:firstLine="567" w:left="57" w:right="57"/>
        <w:jc w:val="both"/>
        <w:rPr>
          <w:sz w:val="24"/>
          <w:szCs w:val="24"/>
        </w:rPr>
      </w:pPr>
      <w:r>
        <w:rPr>
          <w:sz w:val="24"/>
          <w:szCs w:val="24"/>
        </w:rPr>
        <w:t xml:space="preserve">3.5.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2">
        <w:r>
          <w:rPr>
            <w:rStyle w:val="ListLabel165"/>
            <w:sz w:val="24"/>
            <w:szCs w:val="24"/>
          </w:rPr>
          <w:t>эксперты</w:t>
        </w:r>
      </w:hyperlink>
      <w:r>
        <w:rPr>
          <w:sz w:val="24"/>
          <w:szCs w:val="24"/>
        </w:rPr>
        <w:t>, экспертные организации на основании контрактов, заключенных в соответствии с Федеральным законом № 44-ФЗ.</w:t>
      </w:r>
    </w:p>
    <w:p>
      <w:pPr>
        <w:pStyle w:val="Normal"/>
        <w:ind w:firstLine="567" w:left="57" w:right="57"/>
        <w:jc w:val="center"/>
        <w:rPr>
          <w:b/>
          <w:sz w:val="24"/>
          <w:szCs w:val="24"/>
        </w:rPr>
      </w:pPr>
      <w:r>
        <w:rPr>
          <w:b/>
          <w:sz w:val="24"/>
          <w:szCs w:val="24"/>
        </w:rPr>
      </w:r>
    </w:p>
    <w:p>
      <w:pPr>
        <w:pStyle w:val="Normal"/>
        <w:ind w:firstLine="567" w:left="57" w:right="57"/>
        <w:jc w:val="center"/>
        <w:rPr>
          <w:b/>
          <w:sz w:val="24"/>
          <w:szCs w:val="24"/>
        </w:rPr>
      </w:pPr>
      <w:r>
        <w:rPr>
          <w:b/>
          <w:sz w:val="24"/>
          <w:szCs w:val="24"/>
        </w:rPr>
        <w:t>4. Сроки и порядок поставки товаров</w:t>
      </w:r>
    </w:p>
    <w:p>
      <w:pPr>
        <w:pStyle w:val="Normal"/>
        <w:ind w:firstLine="567" w:left="57" w:right="57"/>
        <w:jc w:val="both"/>
        <w:rPr>
          <w:sz w:val="24"/>
          <w:szCs w:val="24"/>
        </w:rPr>
      </w:pPr>
      <w:r>
        <w:rPr>
          <w:sz w:val="24"/>
          <w:szCs w:val="24"/>
        </w:rPr>
        <w:t>4.1.</w:t>
        <w:tab/>
        <w:t>«Поставщик» обязуется произвести поставку товара «Покупателю</w:t>
      </w:r>
      <w:r>
        <w:rPr>
          <w:b/>
          <w:sz w:val="24"/>
          <w:szCs w:val="24"/>
        </w:rPr>
        <w:t xml:space="preserve"> с момента заключения Договора </w:t>
      </w:r>
      <w:r>
        <w:rPr>
          <w:b/>
          <w:sz w:val="24"/>
          <w:szCs w:val="24"/>
        </w:rPr>
        <w:t>в течении 10 дней</w:t>
      </w:r>
      <w:r>
        <w:rPr>
          <w:sz w:val="24"/>
          <w:szCs w:val="24"/>
        </w:rPr>
        <w:t>, по адресам, указанным в Техническом задании (приложение № 2 к Договору).</w:t>
      </w:r>
    </w:p>
    <w:p>
      <w:pPr>
        <w:pStyle w:val="Normal"/>
        <w:ind w:firstLine="567" w:left="57" w:right="57"/>
        <w:jc w:val="both"/>
        <w:rPr>
          <w:sz w:val="24"/>
          <w:szCs w:val="24"/>
        </w:rPr>
      </w:pPr>
      <w:r>
        <w:rPr>
          <w:sz w:val="24"/>
          <w:szCs w:val="24"/>
        </w:rPr>
        <w:t>4.2.</w:t>
        <w:tab/>
        <w:t>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pPr>
        <w:pStyle w:val="Normal"/>
        <w:ind w:firstLine="567" w:left="57" w:right="57"/>
        <w:jc w:val="both"/>
        <w:rPr>
          <w:sz w:val="24"/>
          <w:szCs w:val="24"/>
        </w:rPr>
      </w:pPr>
      <w:r>
        <w:rPr>
          <w:sz w:val="24"/>
          <w:szCs w:val="24"/>
        </w:rPr>
        <w:t>4.3.</w:t>
        <w:tab/>
        <w:t>«Поставщик» обязуется передать «Покупателю» товар, не обремененный правами третьих лиц.</w:t>
      </w:r>
    </w:p>
    <w:p>
      <w:pPr>
        <w:pStyle w:val="Normal"/>
        <w:ind w:firstLine="567" w:left="57" w:right="57"/>
        <w:jc w:val="both"/>
        <w:rPr>
          <w:sz w:val="24"/>
          <w:szCs w:val="24"/>
        </w:rPr>
      </w:pPr>
      <w:r>
        <w:rPr>
          <w:sz w:val="24"/>
          <w:szCs w:val="24"/>
        </w:rPr>
        <w:t>4.4.</w:t>
        <w:tab/>
        <w:t>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pPr>
        <w:pStyle w:val="Normal"/>
        <w:ind w:firstLine="567" w:left="57" w:right="57"/>
        <w:jc w:val="both"/>
        <w:rPr>
          <w:sz w:val="24"/>
          <w:szCs w:val="24"/>
        </w:rPr>
      </w:pPr>
      <w:r>
        <w:rPr>
          <w:sz w:val="24"/>
          <w:szCs w:val="24"/>
        </w:rPr>
        <w:t>4.5.</w:t>
        <w:tab/>
        <w:t xml:space="preserve">При обоснованности отказа «Покупателю»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pPr>
        <w:pStyle w:val="Normal"/>
        <w:shd w:val="clear" w:color="auto" w:fill="FFFFFF"/>
        <w:ind w:firstLine="567" w:left="57" w:right="57"/>
        <w:jc w:val="center"/>
        <w:rPr>
          <w:b/>
          <w:bCs/>
          <w:color w:val="000000"/>
          <w:sz w:val="24"/>
          <w:szCs w:val="24"/>
        </w:rPr>
      </w:pPr>
      <w:r>
        <w:rPr>
          <w:b/>
          <w:bCs/>
          <w:color w:val="000000"/>
          <w:sz w:val="24"/>
          <w:szCs w:val="24"/>
        </w:rPr>
      </w:r>
    </w:p>
    <w:p>
      <w:pPr>
        <w:pStyle w:val="Normal"/>
        <w:shd w:val="clear" w:color="auto" w:fill="FFFFFF"/>
        <w:ind w:firstLine="567" w:left="57" w:right="57"/>
        <w:jc w:val="center"/>
        <w:rPr>
          <w:sz w:val="24"/>
          <w:szCs w:val="24"/>
        </w:rPr>
      </w:pPr>
      <w:r>
        <w:rPr>
          <w:b/>
          <w:bCs/>
          <w:color w:val="000000"/>
          <w:sz w:val="24"/>
          <w:szCs w:val="24"/>
        </w:rPr>
        <w:t>5. Имущественная ответственность</w:t>
      </w:r>
    </w:p>
    <w:p>
      <w:pPr>
        <w:pStyle w:val="Normal"/>
        <w:ind w:firstLine="567" w:left="57" w:right="57"/>
        <w:jc w:val="both"/>
        <w:rPr>
          <w:sz w:val="24"/>
          <w:szCs w:val="24"/>
        </w:rPr>
      </w:pPr>
      <w:r>
        <w:rPr>
          <w:color w:val="000000"/>
          <w:sz w:val="24"/>
          <w:szCs w:val="24"/>
        </w:rPr>
        <w:t>5.1.</w:t>
      </w:r>
      <w:r>
        <w:rPr>
          <w:sz w:val="24"/>
          <w:szCs w:val="24"/>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 1042 с действующими изменениями.</w:t>
      </w:r>
    </w:p>
    <w:p>
      <w:pPr>
        <w:pStyle w:val="Normal"/>
        <w:ind w:firstLine="567" w:left="57" w:right="57"/>
        <w:jc w:val="both"/>
        <w:rPr>
          <w:sz w:val="24"/>
          <w:szCs w:val="24"/>
        </w:rPr>
      </w:pPr>
      <w:r>
        <w:rPr>
          <w:sz w:val="24"/>
          <w:szCs w:val="24"/>
        </w:rPr>
        <w:t>5.2. Уплата неустойки не освобождает «Покупателя» от исполнения своих обязательств по настоящему договору.</w:t>
      </w:r>
    </w:p>
    <w:p>
      <w:pPr>
        <w:pStyle w:val="Normal"/>
        <w:ind w:firstLine="567" w:left="57" w:right="57"/>
        <w:jc w:val="both"/>
        <w:rPr>
          <w:sz w:val="24"/>
          <w:szCs w:val="24"/>
        </w:rPr>
      </w:pPr>
      <w:r>
        <w:rPr>
          <w:sz w:val="24"/>
          <w:szCs w:val="24"/>
        </w:rPr>
        <w:t>5.3. Стороны не несут ответственность, предусмотренную п. 5.1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pPr>
        <w:pStyle w:val="Normal"/>
        <w:ind w:firstLine="567" w:left="57" w:right="57"/>
        <w:jc w:val="both"/>
        <w:rPr>
          <w:sz w:val="24"/>
          <w:szCs w:val="24"/>
        </w:rPr>
      </w:pPr>
      <w:r>
        <w:rPr>
          <w:sz w:val="24"/>
          <w:szCs w:val="24"/>
        </w:rPr>
        <w:t>5.4. Претензии от «Покупателя» к «Поставщику» принимаются в течение двух календарных дней после принятия товара.</w:t>
      </w:r>
    </w:p>
    <w:p>
      <w:pPr>
        <w:pStyle w:val="Normal"/>
        <w:ind w:firstLine="567" w:left="57" w:right="57"/>
        <w:jc w:val="both"/>
        <w:rPr>
          <w:sz w:val="24"/>
          <w:szCs w:val="24"/>
        </w:rPr>
      </w:pPr>
      <w:r>
        <w:rPr>
          <w:sz w:val="24"/>
          <w:szCs w:val="24"/>
        </w:rPr>
      </w:r>
    </w:p>
    <w:p>
      <w:pPr>
        <w:pStyle w:val="Normal"/>
        <w:ind w:firstLine="567" w:left="57" w:right="57"/>
        <w:jc w:val="center"/>
        <w:rPr>
          <w:b/>
          <w:sz w:val="24"/>
          <w:szCs w:val="24"/>
        </w:rPr>
      </w:pPr>
      <w:r>
        <w:rPr>
          <w:b/>
          <w:sz w:val="24"/>
          <w:szCs w:val="24"/>
        </w:rPr>
        <w:t>6. Форс-мажорные обстоятельства</w:t>
      </w:r>
    </w:p>
    <w:p>
      <w:pPr>
        <w:pStyle w:val="Normal"/>
        <w:ind w:firstLine="567" w:left="57" w:right="57"/>
        <w:jc w:val="both"/>
        <w:rPr>
          <w:sz w:val="24"/>
          <w:szCs w:val="24"/>
        </w:rPr>
      </w:pPr>
      <w:r>
        <w:rPr>
          <w:sz w:val="24"/>
          <w:szCs w:val="24"/>
        </w:rPr>
        <w:t>6.1.</w:t>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w:t>
      </w:r>
      <w:r>
        <w:rPr>
          <w:color w:val="FFFFFF"/>
          <w:sz w:val="24"/>
          <w:szCs w:val="24"/>
        </w:rPr>
        <w:t>х</w:t>
      </w:r>
      <w:r>
        <w:rPr>
          <w:sz w:val="24"/>
          <w:szCs w:val="24"/>
        </w:rPr>
        <w:t>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Договора и не зависеть о воли Сторон.</w:t>
      </w:r>
    </w:p>
    <w:p>
      <w:pPr>
        <w:pStyle w:val="Normal"/>
        <w:ind w:firstLine="567" w:left="57" w:right="57"/>
        <w:jc w:val="both"/>
        <w:rPr>
          <w:sz w:val="24"/>
          <w:szCs w:val="24"/>
        </w:rPr>
      </w:pPr>
      <w:r>
        <w:rPr>
          <w:sz w:val="24"/>
          <w:szCs w:val="24"/>
        </w:rPr>
        <w:t>6.2.</w:t>
        <w:tab/>
        <w:t>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pPr>
        <w:pStyle w:val="Normal"/>
        <w:ind w:firstLine="567" w:left="57" w:right="57"/>
        <w:jc w:val="both"/>
        <w:rPr>
          <w:sz w:val="24"/>
          <w:szCs w:val="24"/>
        </w:rPr>
      </w:pPr>
      <w:r>
        <w:rPr>
          <w:sz w:val="24"/>
          <w:szCs w:val="24"/>
        </w:rPr>
        <w:t>6.3.</w:t>
        <w:tab/>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ind w:firstLine="567" w:left="57" w:right="57"/>
        <w:jc w:val="both"/>
        <w:rPr>
          <w:sz w:val="24"/>
          <w:szCs w:val="24"/>
        </w:rPr>
      </w:pPr>
      <w:r>
        <w:rPr>
          <w:sz w:val="24"/>
          <w:szCs w:val="24"/>
        </w:rPr>
        <w:t>6.4.</w:t>
        <w:tab/>
        <w:t>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pPr>
        <w:pStyle w:val="Normal"/>
        <w:ind w:firstLine="567" w:left="57" w:right="57"/>
        <w:jc w:val="both"/>
        <w:rPr>
          <w:sz w:val="24"/>
          <w:szCs w:val="24"/>
        </w:rPr>
      </w:pPr>
      <w:r>
        <w:rPr>
          <w:sz w:val="24"/>
          <w:szCs w:val="24"/>
        </w:rPr>
        <w:t>6.5.</w:t>
        <w:tab/>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pPr>
        <w:pStyle w:val="Normal"/>
        <w:ind w:firstLine="567" w:left="57" w:right="57"/>
        <w:jc w:val="both"/>
        <w:rPr>
          <w:sz w:val="24"/>
          <w:szCs w:val="24"/>
        </w:rPr>
      </w:pPr>
      <w:r>
        <w:rPr>
          <w:sz w:val="24"/>
          <w:szCs w:val="24"/>
        </w:rPr>
      </w:r>
    </w:p>
    <w:p>
      <w:pPr>
        <w:pStyle w:val="Normal"/>
        <w:ind w:firstLine="567" w:left="57" w:right="57"/>
        <w:jc w:val="center"/>
        <w:rPr>
          <w:sz w:val="24"/>
          <w:szCs w:val="24"/>
        </w:rPr>
      </w:pPr>
      <w:r>
        <w:rPr>
          <w:b/>
          <w:bCs/>
          <w:color w:val="000000"/>
          <w:sz w:val="24"/>
          <w:szCs w:val="24"/>
        </w:rPr>
        <w:t>7. Порядок разрешения споров</w:t>
      </w:r>
    </w:p>
    <w:p>
      <w:pPr>
        <w:pStyle w:val="Normal"/>
        <w:shd w:val="clear" w:color="auto" w:fill="FFFFFF"/>
        <w:ind w:firstLine="567" w:left="57" w:right="57"/>
        <w:jc w:val="both"/>
        <w:rPr>
          <w:sz w:val="24"/>
          <w:szCs w:val="24"/>
        </w:rPr>
      </w:pPr>
      <w:r>
        <w:rPr>
          <w:color w:val="000000"/>
          <w:sz w:val="24"/>
          <w:szCs w:val="24"/>
        </w:rPr>
        <w:t>7.1.</w:t>
        <w:tab/>
        <w:t>Все споры, возникающие из настоящего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pPr>
        <w:pStyle w:val="Normal"/>
        <w:shd w:val="clear" w:color="auto" w:fill="FFFFFF"/>
        <w:ind w:firstLine="567" w:left="57" w:right="57"/>
        <w:jc w:val="both"/>
        <w:rPr>
          <w:sz w:val="24"/>
          <w:szCs w:val="24"/>
        </w:rPr>
      </w:pPr>
      <w:r>
        <w:rPr>
          <w:color w:val="000000"/>
          <w:sz w:val="24"/>
          <w:szCs w:val="24"/>
        </w:rPr>
        <w:t>7.2.</w:t>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pPr>
        <w:pStyle w:val="Normal"/>
        <w:shd w:val="clear" w:color="auto" w:fill="FFFFFF"/>
        <w:ind w:firstLine="567" w:left="57" w:right="57"/>
        <w:jc w:val="both"/>
        <w:rPr>
          <w:sz w:val="24"/>
          <w:szCs w:val="24"/>
        </w:rPr>
      </w:pPr>
      <w:r>
        <w:rPr>
          <w:color w:val="000000"/>
          <w:sz w:val="24"/>
          <w:szCs w:val="24"/>
        </w:rPr>
        <w:t>7.3.</w:t>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pPr>
        <w:pStyle w:val="Normal"/>
        <w:shd w:val="clear" w:color="auto" w:fill="FFFFFF"/>
        <w:ind w:firstLine="567" w:left="57" w:right="57"/>
        <w:jc w:val="both"/>
        <w:rPr>
          <w:sz w:val="24"/>
          <w:szCs w:val="24"/>
        </w:rPr>
      </w:pPr>
      <w:r>
        <w:rPr>
          <w:color w:val="000000"/>
          <w:sz w:val="24"/>
          <w:szCs w:val="24"/>
        </w:rPr>
        <w:t>7.4.</w:t>
        <w:tab/>
        <w:t>«Покупатель» вправе в одностороннем порядке расторгнуть Договор в случаях, предусмотренных действующим законодательством.</w:t>
      </w:r>
    </w:p>
    <w:p>
      <w:pPr>
        <w:pStyle w:val="Normal"/>
        <w:shd w:val="clear" w:color="auto" w:fill="FFFFFF"/>
        <w:ind w:firstLine="567" w:left="57" w:right="57"/>
        <w:jc w:val="both"/>
        <w:rPr>
          <w:color w:val="000000"/>
          <w:sz w:val="24"/>
          <w:szCs w:val="24"/>
        </w:rPr>
      </w:pPr>
      <w:r>
        <w:rPr>
          <w:color w:val="000000"/>
          <w:sz w:val="24"/>
          <w:szCs w:val="24"/>
        </w:rPr>
        <w:t>7.5.</w:t>
        <w:tab/>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pPr>
        <w:pStyle w:val="Normal"/>
        <w:shd w:val="clear" w:color="auto" w:fill="FFFFFF"/>
        <w:ind w:firstLine="567" w:left="57" w:right="57"/>
        <w:jc w:val="both"/>
        <w:rPr>
          <w:color w:val="000000"/>
          <w:sz w:val="24"/>
          <w:szCs w:val="24"/>
        </w:rPr>
      </w:pPr>
      <w:r>
        <w:rPr>
          <w:color w:val="000000"/>
          <w:sz w:val="24"/>
          <w:szCs w:val="24"/>
        </w:rPr>
      </w:r>
    </w:p>
    <w:p>
      <w:pPr>
        <w:pStyle w:val="Normal"/>
        <w:shd w:val="clear" w:color="auto" w:fill="FFFFFF"/>
        <w:ind w:firstLine="567" w:left="57" w:right="57"/>
        <w:jc w:val="center"/>
        <w:rPr>
          <w:sz w:val="24"/>
          <w:szCs w:val="24"/>
        </w:rPr>
      </w:pPr>
      <w:r>
        <w:rPr>
          <w:b/>
          <w:bCs/>
          <w:color w:val="000000"/>
          <w:sz w:val="24"/>
          <w:szCs w:val="24"/>
        </w:rPr>
        <w:t>8. Расторжение договора</w:t>
      </w:r>
    </w:p>
    <w:p>
      <w:pPr>
        <w:pStyle w:val="Normal"/>
        <w:shd w:val="clear" w:color="auto" w:fill="FFFFFF"/>
        <w:ind w:firstLine="567" w:left="57" w:right="57"/>
        <w:rPr>
          <w:sz w:val="24"/>
          <w:szCs w:val="24"/>
        </w:rPr>
      </w:pPr>
      <w:r>
        <w:rPr>
          <w:color w:val="000000"/>
          <w:sz w:val="24"/>
          <w:szCs w:val="24"/>
        </w:rPr>
        <w:t>8.1.</w:t>
        <w:tab/>
        <w:t>Настоящий Договор может быть расторгнут по соглашению Сторон.</w:t>
      </w:r>
    </w:p>
    <w:p>
      <w:pPr>
        <w:pStyle w:val="Normal"/>
        <w:shd w:val="clear" w:color="auto" w:fill="FFFFFF"/>
        <w:ind w:firstLine="567" w:left="57" w:right="57"/>
        <w:jc w:val="both"/>
        <w:rPr>
          <w:sz w:val="24"/>
          <w:szCs w:val="24"/>
        </w:rPr>
      </w:pPr>
      <w:r>
        <w:rPr>
          <w:color w:val="000000"/>
          <w:sz w:val="24"/>
          <w:szCs w:val="24"/>
        </w:rPr>
        <w:t>8.2.</w:t>
        <w:tab/>
        <w:t>Договор может быть расторгнут судом по требованию одной из Сторон только при существенном нарушении условий Договора одной из сторон, а также в одностороннем порядке или в иных случаях, предусмотренных действующим законодательством.</w:t>
      </w:r>
    </w:p>
    <w:p>
      <w:pPr>
        <w:pStyle w:val="Normal"/>
        <w:shd w:val="clear" w:color="auto" w:fill="FFFFFF"/>
        <w:ind w:firstLine="567" w:left="57" w:right="57"/>
        <w:jc w:val="both"/>
        <w:rPr>
          <w:color w:val="000000"/>
          <w:sz w:val="24"/>
          <w:szCs w:val="24"/>
        </w:rPr>
      </w:pPr>
      <w:r>
        <w:rPr>
          <w:color w:val="000000"/>
          <w:sz w:val="24"/>
          <w:szCs w:val="24"/>
        </w:rPr>
        <w:t>8.3.</w:t>
        <w:tab/>
        <w:t>Последствия расторжения настоящего Договора определяются взаимным соглашением сторон его или судом по требованию любой из Сторон Договора.</w:t>
      </w:r>
    </w:p>
    <w:p>
      <w:pPr>
        <w:pStyle w:val="Normal"/>
        <w:shd w:val="clear" w:color="auto" w:fill="FFFFFF"/>
        <w:ind w:firstLine="567" w:left="57" w:right="57"/>
        <w:jc w:val="both"/>
        <w:rPr>
          <w:sz w:val="24"/>
          <w:szCs w:val="24"/>
        </w:rPr>
      </w:pPr>
      <w:r>
        <w:rPr>
          <w:sz w:val="24"/>
          <w:szCs w:val="24"/>
        </w:rPr>
      </w:r>
    </w:p>
    <w:p>
      <w:pPr>
        <w:pStyle w:val="Normal"/>
        <w:shd w:val="clear" w:color="auto" w:fill="FFFFFF"/>
        <w:ind w:firstLine="567" w:left="57" w:right="57"/>
        <w:jc w:val="center"/>
        <w:rPr>
          <w:sz w:val="24"/>
          <w:szCs w:val="24"/>
        </w:rPr>
      </w:pPr>
      <w:r>
        <w:rPr>
          <w:b/>
          <w:bCs/>
          <w:color w:val="000000"/>
          <w:sz w:val="24"/>
          <w:szCs w:val="24"/>
        </w:rPr>
        <w:t>9. Прочие условия</w:t>
      </w:r>
    </w:p>
    <w:p>
      <w:pPr>
        <w:pStyle w:val="Normal"/>
        <w:shd w:val="clear" w:color="auto" w:fill="FFFFFF"/>
        <w:ind w:firstLine="567" w:left="57" w:right="57"/>
        <w:jc w:val="both"/>
        <w:rPr>
          <w:sz w:val="24"/>
          <w:szCs w:val="24"/>
        </w:rPr>
      </w:pPr>
      <w:r>
        <w:rPr>
          <w:color w:val="000000"/>
          <w:sz w:val="24"/>
          <w:szCs w:val="24"/>
        </w:rPr>
        <w:t>9.1.</w:t>
        <w:tab/>
      </w:r>
      <w:r>
        <w:rPr>
          <w:color w:val="FF0000"/>
          <w:sz w:val="24"/>
          <w:szCs w:val="24"/>
        </w:rPr>
        <w:t>Настоящий Договор составлен в двух подлинных экземплярах по одному для каждой из Сторон.</w:t>
      </w:r>
    </w:p>
    <w:p>
      <w:pPr>
        <w:pStyle w:val="Normal"/>
        <w:shd w:val="clear" w:color="auto" w:fill="FFFFFF"/>
        <w:ind w:firstLine="567" w:left="57" w:right="57"/>
        <w:jc w:val="both"/>
        <w:rPr>
          <w:sz w:val="24"/>
          <w:szCs w:val="24"/>
        </w:rPr>
      </w:pPr>
      <w:r>
        <w:rPr>
          <w:color w:val="000000"/>
          <w:sz w:val="24"/>
          <w:szCs w:val="24"/>
        </w:rPr>
        <w:t>9.2.</w:t>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pPr>
        <w:pStyle w:val="Normal"/>
        <w:shd w:val="clear" w:color="auto" w:fill="FFFFFF"/>
        <w:ind w:firstLine="567" w:left="57" w:right="57"/>
        <w:jc w:val="both"/>
        <w:rPr>
          <w:color w:val="000000"/>
          <w:sz w:val="24"/>
          <w:szCs w:val="24"/>
        </w:rPr>
      </w:pPr>
      <w:r>
        <w:rPr>
          <w:color w:val="000000"/>
          <w:sz w:val="24"/>
          <w:szCs w:val="24"/>
        </w:rPr>
        <w:t>9.3.</w:t>
        <w:tab/>
        <w:t>В случае изменения юридических адресов, банковских и отгрузочных реквизитов Сторона обязана сообщить об этом другой Стороне в течение пятидневного срока в письменном виде.</w:t>
      </w:r>
    </w:p>
    <w:p>
      <w:pPr>
        <w:pStyle w:val="Normal"/>
        <w:shd w:val="clear" w:color="auto" w:fill="FFFFFF"/>
        <w:ind w:firstLine="567" w:left="57" w:right="57"/>
        <w:jc w:val="both"/>
        <w:rPr>
          <w:color w:val="000000"/>
          <w:sz w:val="24"/>
          <w:szCs w:val="24"/>
        </w:rPr>
      </w:pPr>
      <w:r>
        <w:rPr>
          <w:color w:val="000000"/>
          <w:sz w:val="24"/>
          <w:szCs w:val="24"/>
        </w:rPr>
      </w:r>
    </w:p>
    <w:p>
      <w:pPr>
        <w:pStyle w:val="Normal"/>
        <w:shd w:val="clear" w:color="auto" w:fill="FFFFFF"/>
        <w:ind w:firstLine="567" w:left="57" w:right="57"/>
        <w:jc w:val="center"/>
        <w:rPr>
          <w:sz w:val="24"/>
          <w:szCs w:val="24"/>
        </w:rPr>
      </w:pPr>
      <w:r>
        <w:rPr>
          <w:b/>
          <w:bCs/>
          <w:color w:val="000000"/>
          <w:sz w:val="24"/>
          <w:szCs w:val="24"/>
        </w:rPr>
        <w:t>10. Срок действия договора</w:t>
      </w:r>
    </w:p>
    <w:p>
      <w:pPr>
        <w:pStyle w:val="Normal"/>
        <w:shd w:val="clear" w:color="auto" w:fill="FFFFFF"/>
        <w:ind w:firstLine="567" w:left="57" w:right="57"/>
        <w:jc w:val="both"/>
        <w:rPr>
          <w:color w:val="000000"/>
          <w:sz w:val="24"/>
          <w:szCs w:val="24"/>
        </w:rPr>
      </w:pPr>
      <w:r>
        <w:rPr>
          <w:color w:val="000000"/>
          <w:sz w:val="24"/>
          <w:szCs w:val="24"/>
        </w:rPr>
        <w:t>10.1.</w:t>
        <w:tab/>
        <w:t xml:space="preserve">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pPr>
        <w:pStyle w:val="Normal"/>
        <w:shd w:val="clear" w:color="auto" w:fill="FFFFFF"/>
        <w:ind w:firstLine="567" w:left="57" w:right="57"/>
        <w:jc w:val="both"/>
        <w:rPr>
          <w:color w:val="000000"/>
          <w:sz w:val="24"/>
          <w:szCs w:val="24"/>
        </w:rPr>
      </w:pPr>
      <w:r>
        <w:rPr>
          <w:color w:val="000000"/>
          <w:sz w:val="24"/>
          <w:szCs w:val="24"/>
        </w:rPr>
        <w:t>10.2.</w:t>
        <w:tab/>
        <w:t>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pPr>
        <w:pStyle w:val="Normal"/>
        <w:shd w:val="clear" w:color="auto" w:fill="FFFFFF"/>
        <w:ind w:firstLine="567" w:left="57" w:right="57"/>
        <w:jc w:val="both"/>
        <w:rPr>
          <w:sz w:val="24"/>
          <w:szCs w:val="24"/>
        </w:rPr>
      </w:pPr>
      <w:r>
        <w:rPr>
          <w:color w:val="000000"/>
          <w:sz w:val="24"/>
          <w:szCs w:val="24"/>
        </w:rPr>
        <w:t>10.3.</w:t>
        <w:tab/>
      </w:r>
      <w:r>
        <w:rPr>
          <w:sz w:val="24"/>
          <w:szCs w:val="24"/>
        </w:rPr>
        <w:t xml:space="preserve">Настоящий Договор действует с момента подписания и до </w:t>
      </w:r>
      <w:r>
        <w:rPr>
          <w:sz w:val="24"/>
          <w:szCs w:val="24"/>
        </w:rPr>
        <w:t>25</w:t>
      </w:r>
      <w:r>
        <w:rPr>
          <w:sz w:val="24"/>
          <w:szCs w:val="24"/>
        </w:rPr>
        <w:t>.12.2026, а в части неисполненных обязательств – до их полного исполнения.</w:t>
      </w:r>
    </w:p>
    <w:p>
      <w:pPr>
        <w:pStyle w:val="Normal"/>
        <w:shd w:val="clear" w:color="auto" w:fill="FFFFFF"/>
        <w:ind w:firstLine="567" w:left="57" w:right="57"/>
        <w:jc w:val="center"/>
        <w:rPr>
          <w:b/>
          <w:bCs/>
          <w:color w:val="000000"/>
          <w:sz w:val="24"/>
          <w:szCs w:val="24"/>
        </w:rPr>
      </w:pPr>
      <w:r>
        <w:rPr>
          <w:b/>
          <w:bCs/>
          <w:color w:val="000000"/>
          <w:sz w:val="24"/>
          <w:szCs w:val="24"/>
        </w:rPr>
      </w:r>
    </w:p>
    <w:p>
      <w:pPr>
        <w:pStyle w:val="Normal"/>
        <w:jc w:val="center"/>
        <w:rPr>
          <w:b/>
          <w:sz w:val="24"/>
          <w:szCs w:val="24"/>
        </w:rPr>
      </w:pPr>
      <w:r>
        <w:rPr>
          <w:b/>
          <w:sz w:val="24"/>
          <w:szCs w:val="24"/>
        </w:rPr>
        <w:t>11. Перечень приложений</w:t>
      </w:r>
    </w:p>
    <w:p>
      <w:pPr>
        <w:pStyle w:val="Normal"/>
        <w:ind w:firstLine="709"/>
        <w:jc w:val="both"/>
        <w:rPr>
          <w:sz w:val="24"/>
          <w:szCs w:val="24"/>
        </w:rPr>
      </w:pPr>
      <w:r>
        <w:rPr>
          <w:sz w:val="24"/>
          <w:szCs w:val="24"/>
        </w:rPr>
        <w:t xml:space="preserve">11.1. Неотъемлемой частью настоящего Договора является следующее: </w:t>
      </w:r>
    </w:p>
    <w:p>
      <w:pPr>
        <w:pStyle w:val="Normal"/>
        <w:ind w:firstLine="709"/>
        <w:jc w:val="both"/>
        <w:rPr>
          <w:sz w:val="24"/>
          <w:szCs w:val="24"/>
        </w:rPr>
      </w:pPr>
      <w:r>
        <w:fldChar w:fldCharType="begin"/>
      </w:r>
      <w:r>
        <w:rPr>
          <w:rStyle w:val="ListLabel165"/>
          <w:sz w:val="24"/>
          <w:szCs w:val="24"/>
        </w:rPr>
        <w:instrText xml:space="preserve"> HYPERLINK "https://www.garant.ru/products/ipo/prime/doc/73933644/" \l "10000"</w:instrText>
      </w:r>
      <w:r>
        <w:rPr>
          <w:rStyle w:val="ListLabel165"/>
          <w:sz w:val="24"/>
          <w:szCs w:val="24"/>
        </w:rPr>
        <w:fldChar w:fldCharType="separate"/>
      </w:r>
      <w:r>
        <w:rPr>
          <w:rStyle w:val="ListLabel165"/>
          <w:sz w:val="24"/>
          <w:szCs w:val="24"/>
        </w:rPr>
        <w:t>Приложение № 1</w:t>
      </w:r>
      <w:r>
        <w:rPr>
          <w:rStyle w:val="ListLabel165"/>
          <w:sz w:val="24"/>
          <w:szCs w:val="24"/>
        </w:rPr>
        <w:fldChar w:fldCharType="end"/>
      </w:r>
      <w:r>
        <w:rPr>
          <w:sz w:val="24"/>
          <w:szCs w:val="24"/>
        </w:rPr>
        <w:t xml:space="preserve"> – Спецификация;</w:t>
      </w:r>
    </w:p>
    <w:p>
      <w:pPr>
        <w:pStyle w:val="Normal"/>
        <w:ind w:firstLine="709"/>
        <w:jc w:val="both"/>
        <w:rPr>
          <w:sz w:val="24"/>
          <w:szCs w:val="24"/>
        </w:rPr>
      </w:pPr>
      <w:r>
        <w:rPr>
          <w:sz w:val="24"/>
          <w:szCs w:val="24"/>
        </w:rPr>
        <w:t>Приложение № 2 – Техническое задание.</w:t>
      </w:r>
    </w:p>
    <w:p>
      <w:pPr>
        <w:pStyle w:val="Normal"/>
        <w:shd w:val="clear" w:color="auto" w:fill="FFFFFF"/>
        <w:ind w:firstLine="567" w:left="57" w:right="57"/>
        <w:jc w:val="center"/>
        <w:rPr>
          <w:b/>
          <w:bCs/>
          <w:color w:val="000000"/>
          <w:sz w:val="24"/>
          <w:szCs w:val="24"/>
        </w:rPr>
      </w:pPr>
      <w:r>
        <w:rPr>
          <w:b/>
          <w:bCs/>
          <w:color w:val="000000"/>
          <w:sz w:val="24"/>
          <w:szCs w:val="24"/>
        </w:rPr>
      </w:r>
    </w:p>
    <w:p>
      <w:pPr>
        <w:pStyle w:val="Normal"/>
        <w:shd w:val="clear" w:color="auto" w:fill="FFFFFF"/>
        <w:ind w:firstLine="567" w:left="57" w:right="57"/>
        <w:jc w:val="center"/>
        <w:rPr>
          <w:b/>
          <w:bCs/>
          <w:color w:val="000000"/>
          <w:sz w:val="24"/>
          <w:szCs w:val="24"/>
        </w:rPr>
      </w:pPr>
      <w:r>
        <w:rPr>
          <w:b/>
          <w:bCs/>
          <w:color w:val="000000"/>
          <w:sz w:val="24"/>
          <w:szCs w:val="24"/>
        </w:rPr>
        <w:t>12. Юридические адреса, банковские и отгрузочные реквизиты Сторон на момент заключения договора</w:t>
      </w:r>
    </w:p>
    <w:tbl>
      <w:tblPr>
        <w:tblW w:w="10348" w:type="dxa"/>
        <w:jc w:val="left"/>
        <w:tblInd w:w="216" w:type="dxa"/>
        <w:tblLayout w:type="fixed"/>
        <w:tblCellMar>
          <w:top w:w="0" w:type="dxa"/>
          <w:left w:w="108" w:type="dxa"/>
          <w:bottom w:w="0" w:type="dxa"/>
          <w:right w:w="108" w:type="dxa"/>
        </w:tblCellMar>
        <w:tblLook w:val="0000"/>
      </w:tblPr>
      <w:tblGrid>
        <w:gridCol w:w="5102"/>
        <w:gridCol w:w="5245"/>
      </w:tblGrid>
      <w:tr>
        <w:trPr>
          <w:trHeight w:val="432" w:hRule="atLeast"/>
        </w:trPr>
        <w:tc>
          <w:tcPr>
            <w:tcW w:w="5102" w:type="dxa"/>
            <w:tcBorders/>
          </w:tcPr>
          <w:p>
            <w:pPr>
              <w:pStyle w:val="Normal"/>
              <w:ind w:right="57"/>
              <w:rPr>
                <w:b/>
                <w:sz w:val="24"/>
                <w:szCs w:val="24"/>
              </w:rPr>
            </w:pPr>
            <w:r>
              <w:rPr>
                <w:b/>
                <w:sz w:val="24"/>
                <w:szCs w:val="24"/>
              </w:rPr>
              <w:t>«Покупатель»</w:t>
            </w:r>
          </w:p>
          <w:p>
            <w:pPr>
              <w:pStyle w:val="Normal"/>
              <w:ind w:left="34"/>
              <w:rPr>
                <w:b/>
                <w:color w:val="000000"/>
                <w:sz w:val="24"/>
                <w:szCs w:val="24"/>
              </w:rPr>
            </w:pPr>
            <w:r>
              <w:rPr>
                <w:b/>
                <w:color w:val="000000"/>
                <w:sz w:val="24"/>
                <w:szCs w:val="24"/>
              </w:rPr>
              <w:t>ФКУ БМТиВС УФСИН России по Оренбургской области</w:t>
            </w:r>
          </w:p>
          <w:p>
            <w:pPr>
              <w:pStyle w:val="Normal"/>
              <w:ind w:left="34"/>
              <w:rPr>
                <w:color w:val="000000"/>
                <w:sz w:val="24"/>
                <w:szCs w:val="24"/>
              </w:rPr>
            </w:pPr>
            <w:r>
              <w:rPr>
                <w:color w:val="000000"/>
                <w:sz w:val="24"/>
                <w:szCs w:val="24"/>
              </w:rPr>
              <w:t>460006, г. Оренбург, ул. Пролетарская, 66</w:t>
            </w:r>
          </w:p>
          <w:p>
            <w:pPr>
              <w:pStyle w:val="Normal"/>
              <w:ind w:left="34"/>
              <w:rPr>
                <w:color w:val="000000"/>
                <w:sz w:val="24"/>
                <w:szCs w:val="24"/>
              </w:rPr>
            </w:pPr>
            <w:r>
              <w:rPr>
                <w:color w:val="000000"/>
                <w:sz w:val="24"/>
                <w:szCs w:val="24"/>
              </w:rPr>
              <w:t>ИНН 5612029238 КПП 561201001</w:t>
            </w:r>
          </w:p>
          <w:p>
            <w:pPr>
              <w:pStyle w:val="Normal"/>
              <w:tabs>
                <w:tab w:val="clear" w:pos="709"/>
                <w:tab w:val="left" w:pos="2685" w:leader="none"/>
              </w:tabs>
              <w:ind w:left="34"/>
              <w:rPr>
                <w:color w:val="000000"/>
                <w:sz w:val="24"/>
                <w:szCs w:val="24"/>
              </w:rPr>
            </w:pPr>
            <w:r>
              <w:rPr>
                <w:color w:val="000000"/>
                <w:sz w:val="24"/>
                <w:szCs w:val="24"/>
              </w:rPr>
              <w:t>ОГРН 1025601812114</w:t>
              <w:tab/>
            </w:r>
          </w:p>
          <w:p>
            <w:pPr>
              <w:pStyle w:val="Normal"/>
              <w:ind w:left="34"/>
              <w:rPr>
                <w:sz w:val="24"/>
                <w:szCs w:val="24"/>
              </w:rPr>
            </w:pPr>
            <w:r>
              <w:rPr>
                <w:sz w:val="24"/>
                <w:szCs w:val="24"/>
              </w:rPr>
              <w:t xml:space="preserve">ОКЦ № 1 СибГУ Банка России//УФК по Новосибирской области, </w:t>
              <w:br/>
              <w:t>г Новосибирск</w:t>
            </w:r>
            <w:r>
              <w:rPr>
                <w:color w:val="000000"/>
                <w:sz w:val="24"/>
                <w:szCs w:val="24"/>
              </w:rPr>
              <w:t xml:space="preserve"> л/с 03531401800</w:t>
            </w:r>
          </w:p>
          <w:p>
            <w:pPr>
              <w:pStyle w:val="Normal"/>
              <w:ind w:left="34"/>
              <w:rPr>
                <w:color w:val="000000"/>
                <w:sz w:val="24"/>
                <w:szCs w:val="24"/>
              </w:rPr>
            </w:pPr>
            <w:r>
              <w:rPr>
                <w:color w:val="000000"/>
                <w:sz w:val="24"/>
                <w:szCs w:val="24"/>
              </w:rPr>
              <w:t>УФК по Новосибирской области</w:t>
            </w:r>
          </w:p>
          <w:p>
            <w:pPr>
              <w:pStyle w:val="Normal"/>
              <w:ind w:left="34"/>
              <w:rPr>
                <w:color w:val="000000"/>
                <w:sz w:val="24"/>
                <w:szCs w:val="24"/>
              </w:rPr>
            </w:pPr>
            <w:r>
              <w:rPr>
                <w:color w:val="000000"/>
                <w:sz w:val="24"/>
                <w:szCs w:val="24"/>
              </w:rPr>
              <w:t>ЕКС (Единый казначейский счет) №40102810445370000043</w:t>
            </w:r>
          </w:p>
          <w:p>
            <w:pPr>
              <w:pStyle w:val="Normal"/>
              <w:ind w:left="34"/>
              <w:rPr>
                <w:color w:val="000000"/>
                <w:sz w:val="24"/>
                <w:szCs w:val="24"/>
              </w:rPr>
            </w:pPr>
            <w:r>
              <w:rPr>
                <w:color w:val="000000"/>
                <w:sz w:val="24"/>
                <w:szCs w:val="24"/>
              </w:rPr>
              <w:t>Казначейский счет: № 03211643000000015112</w:t>
            </w:r>
          </w:p>
          <w:p>
            <w:pPr>
              <w:pStyle w:val="Normal"/>
              <w:ind w:left="34"/>
              <w:rPr>
                <w:color w:val="000000"/>
                <w:sz w:val="24"/>
                <w:szCs w:val="24"/>
              </w:rPr>
            </w:pPr>
            <w:r>
              <w:rPr>
                <w:color w:val="000000"/>
                <w:sz w:val="24"/>
                <w:szCs w:val="24"/>
              </w:rPr>
              <w:t>БИК (ТОФК): 015004950</w:t>
            </w:r>
          </w:p>
          <w:p>
            <w:pPr>
              <w:pStyle w:val="BodyText"/>
              <w:ind w:left="57" w:right="57"/>
              <w:rPr>
                <w:szCs w:val="24"/>
              </w:rPr>
            </w:pPr>
            <w:r>
              <w:rPr>
                <w:szCs w:val="24"/>
              </w:rPr>
            </w:r>
          </w:p>
          <w:p>
            <w:pPr>
              <w:pStyle w:val="BodyText"/>
              <w:ind w:left="57" w:right="57"/>
              <w:rPr>
                <w:szCs w:val="24"/>
              </w:rPr>
            </w:pPr>
            <w:r>
              <w:rPr>
                <w:szCs w:val="24"/>
              </w:rPr>
            </w:r>
          </w:p>
          <w:p>
            <w:pPr>
              <w:pStyle w:val="BodyText"/>
              <w:ind w:left="57" w:right="57"/>
              <w:rPr>
                <w:szCs w:val="24"/>
              </w:rPr>
            </w:pPr>
            <w:r>
              <w:rPr>
                <w:szCs w:val="24"/>
              </w:rPr>
            </w:r>
          </w:p>
          <w:p>
            <w:pPr>
              <w:pStyle w:val="BodyText"/>
              <w:ind w:hanging="108" w:left="57" w:right="57"/>
              <w:rPr>
                <w:szCs w:val="24"/>
              </w:rPr>
            </w:pPr>
            <w:r>
              <w:rPr>
                <w:szCs w:val="24"/>
              </w:rPr>
              <w:t xml:space="preserve">__________________ </w:t>
            </w:r>
          </w:p>
          <w:p>
            <w:pPr>
              <w:pStyle w:val="Normal"/>
              <w:ind w:left="57" w:right="57"/>
              <w:jc w:val="both"/>
              <w:rPr>
                <w:sz w:val="24"/>
                <w:szCs w:val="24"/>
              </w:rPr>
            </w:pPr>
            <w:r>
              <w:rPr>
                <w:sz w:val="24"/>
                <w:szCs w:val="24"/>
              </w:rPr>
              <w:t xml:space="preserve">                </w:t>
            </w:r>
            <w:r>
              <w:rPr>
                <w:sz w:val="24"/>
                <w:szCs w:val="24"/>
              </w:rPr>
              <w:t xml:space="preserve">м.п.                                                        </w:t>
            </w:r>
          </w:p>
        </w:tc>
        <w:tc>
          <w:tcPr>
            <w:tcW w:w="5245" w:type="dxa"/>
            <w:tcBorders/>
          </w:tcPr>
          <w:p>
            <w:pPr>
              <w:pStyle w:val="Normal"/>
              <w:ind w:left="57" w:right="57"/>
              <w:rPr>
                <w:b/>
                <w:sz w:val="24"/>
                <w:szCs w:val="24"/>
              </w:rPr>
            </w:pPr>
            <w:r>
              <w:rPr>
                <w:b/>
                <w:sz w:val="24"/>
                <w:szCs w:val="24"/>
              </w:rPr>
              <w:t>«Поставщик»</w:t>
            </w:r>
          </w:p>
          <w:p>
            <w:pPr>
              <w:pStyle w:val="NoSpacing"/>
              <w:ind w:left="57" w:right="57"/>
              <w:rPr>
                <w:sz w:val="24"/>
                <w:szCs w:val="24"/>
                <w:lang w:val="ru-RU"/>
              </w:rPr>
            </w:pPr>
            <w:r>
              <w:rPr>
                <w:sz w:val="24"/>
                <w:szCs w:val="24"/>
                <w:lang w:val="ru-RU"/>
              </w:rPr>
            </w:r>
          </w:p>
          <w:p>
            <w:pPr>
              <w:pStyle w:val="NoSpacing"/>
              <w:ind w:right="57"/>
              <w:rPr>
                <w:sz w:val="24"/>
                <w:szCs w:val="24"/>
                <w:lang w:val="ru-RU"/>
              </w:rPr>
            </w:pPr>
            <w:r>
              <w:rPr>
                <w:sz w:val="24"/>
                <w:szCs w:val="24"/>
                <w:lang w:val="ru-RU"/>
              </w:rPr>
            </w:r>
          </w:p>
          <w:p>
            <w:pPr>
              <w:pStyle w:val="NoSpacing"/>
              <w:ind w:right="57"/>
              <w:rPr>
                <w:sz w:val="24"/>
                <w:szCs w:val="24"/>
                <w:lang w:val="ru-RU"/>
              </w:rPr>
            </w:pPr>
            <w:r>
              <w:rPr>
                <w:sz w:val="24"/>
                <w:szCs w:val="24"/>
                <w:lang w:val="ru-RU"/>
              </w:rPr>
            </w:r>
          </w:p>
          <w:p>
            <w:pPr>
              <w:pStyle w:val="NoSpacing"/>
              <w:ind w:right="57"/>
              <w:rPr>
                <w:sz w:val="24"/>
                <w:szCs w:val="24"/>
                <w:lang w:val="ru-RU"/>
              </w:rPr>
            </w:pPr>
            <w:r>
              <w:rPr>
                <w:sz w:val="24"/>
                <w:szCs w:val="24"/>
                <w:lang w:val="ru-RU"/>
              </w:rPr>
            </w:r>
          </w:p>
          <w:p>
            <w:pPr>
              <w:pStyle w:val="NoSpacing"/>
              <w:ind w:right="57"/>
              <w:rPr>
                <w:sz w:val="24"/>
                <w:szCs w:val="24"/>
                <w:lang w:val="ru-RU"/>
              </w:rPr>
            </w:pPr>
            <w:r>
              <w:rPr>
                <w:sz w:val="24"/>
                <w:szCs w:val="24"/>
                <w:lang w:val="ru-RU"/>
              </w:rPr>
            </w:r>
          </w:p>
        </w:tc>
      </w:tr>
    </w:tbl>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right="57"/>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t>Приложение № 1</w:t>
      </w:r>
    </w:p>
    <w:p>
      <w:pPr>
        <w:pStyle w:val="Normal"/>
        <w:shd w:val="clear" w:color="auto" w:fill="FFFFFF"/>
        <w:ind w:firstLine="567" w:left="57" w:right="57"/>
        <w:jc w:val="right"/>
        <w:rPr>
          <w:sz w:val="24"/>
          <w:szCs w:val="24"/>
        </w:rPr>
      </w:pPr>
      <w:r>
        <w:rPr>
          <w:sz w:val="24"/>
          <w:szCs w:val="24"/>
        </w:rPr>
        <w:t xml:space="preserve">к договору №________  </w:t>
      </w:r>
    </w:p>
    <w:p>
      <w:pPr>
        <w:pStyle w:val="Normal"/>
        <w:shd w:val="clear" w:color="auto" w:fill="FFFFFF"/>
        <w:ind w:firstLine="567" w:left="57" w:right="57"/>
        <w:jc w:val="right"/>
        <w:rPr>
          <w:sz w:val="24"/>
          <w:szCs w:val="24"/>
        </w:rPr>
      </w:pPr>
      <w:r>
        <w:rPr>
          <w:sz w:val="24"/>
          <w:szCs w:val="24"/>
        </w:rPr>
        <w:t>от ______________________________</w:t>
      </w:r>
    </w:p>
    <w:p>
      <w:pPr>
        <w:pStyle w:val="Normal"/>
        <w:shd w:val="clear" w:color="auto" w:fill="FFFFFF"/>
        <w:ind w:firstLine="567" w:left="57" w:right="57"/>
        <w:jc w:val="right"/>
        <w:rPr>
          <w:sz w:val="24"/>
          <w:szCs w:val="24"/>
          <w:u w:val="single"/>
        </w:rPr>
      </w:pPr>
      <w:r>
        <w:rPr>
          <w:sz w:val="24"/>
          <w:szCs w:val="24"/>
          <w:u w:val="single"/>
        </w:rPr>
      </w:r>
    </w:p>
    <w:p>
      <w:pPr>
        <w:pStyle w:val="Normal"/>
        <w:shd w:val="clear" w:color="auto" w:fill="FFFFFF"/>
        <w:ind w:hanging="57" w:left="57" w:right="57"/>
        <w:jc w:val="right"/>
        <w:rPr>
          <w:sz w:val="24"/>
          <w:szCs w:val="24"/>
          <w:u w:val="single"/>
        </w:rPr>
      </w:pPr>
      <w:r>
        <w:rPr>
          <w:sz w:val="24"/>
          <w:szCs w:val="24"/>
          <w:u w:val="single"/>
        </w:rPr>
      </w:r>
    </w:p>
    <w:p>
      <w:pPr>
        <w:pStyle w:val="Normal"/>
        <w:shd w:val="clear" w:color="auto" w:fill="FFFFFF"/>
        <w:ind w:hanging="57" w:left="57" w:right="57"/>
        <w:jc w:val="center"/>
        <w:rPr>
          <w:sz w:val="24"/>
          <w:szCs w:val="24"/>
        </w:rPr>
      </w:pPr>
      <w:r>
        <w:rPr>
          <w:sz w:val="24"/>
          <w:szCs w:val="24"/>
        </w:rPr>
        <w:t>Спецификация</w:t>
      </w:r>
    </w:p>
    <w:p>
      <w:pPr>
        <w:pStyle w:val="Normal"/>
        <w:shd w:val="clear" w:color="auto" w:fill="FFFFFF"/>
        <w:ind w:hanging="57" w:left="57" w:right="57"/>
        <w:jc w:val="center"/>
        <w:rPr>
          <w:sz w:val="24"/>
          <w:szCs w:val="24"/>
        </w:rPr>
      </w:pPr>
      <w:r>
        <w:rPr>
          <w:sz w:val="24"/>
          <w:szCs w:val="24"/>
        </w:rPr>
        <w:t>к договору на поставку товара</w:t>
      </w:r>
    </w:p>
    <w:p>
      <w:pPr>
        <w:pStyle w:val="Normal"/>
        <w:shd w:val="clear" w:color="auto" w:fill="FFFFFF"/>
        <w:ind w:hanging="57" w:left="57" w:right="57"/>
        <w:jc w:val="center"/>
        <w:rPr>
          <w:sz w:val="24"/>
          <w:szCs w:val="24"/>
        </w:rPr>
      </w:pPr>
      <w:r>
        <w:rPr>
          <w:sz w:val="24"/>
          <w:szCs w:val="24"/>
        </w:rPr>
      </w:r>
    </w:p>
    <w:tbl>
      <w:tblPr>
        <w:tblW w:w="5000" w:type="pct"/>
        <w:jc w:val="left"/>
        <w:tblInd w:w="47" w:type="dxa"/>
        <w:tblLayout w:type="fixed"/>
        <w:tblCellMar>
          <w:top w:w="0" w:type="dxa"/>
          <w:left w:w="40" w:type="dxa"/>
          <w:bottom w:w="0" w:type="dxa"/>
          <w:right w:w="40" w:type="dxa"/>
        </w:tblCellMar>
        <w:tblLook w:val="0000"/>
      </w:tblPr>
      <w:tblGrid>
        <w:gridCol w:w="577"/>
        <w:gridCol w:w="2804"/>
        <w:gridCol w:w="1211"/>
        <w:gridCol w:w="1449"/>
        <w:gridCol w:w="1331"/>
        <w:gridCol w:w="972"/>
        <w:gridCol w:w="1718"/>
      </w:tblGrid>
      <w:tr>
        <w:trPr>
          <w:trHeight w:val="923" w:hRule="exact"/>
        </w:trPr>
        <w:tc>
          <w:tcPr>
            <w:tcW w:w="57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t xml:space="preserve">№ </w:t>
            </w:r>
            <w:r>
              <w:rPr>
                <w:sz w:val="24"/>
                <w:szCs w:val="24"/>
              </w:rPr>
              <w:br/>
              <w:t>п/п</w:t>
            </w:r>
          </w:p>
        </w:tc>
        <w:tc>
          <w:tcPr>
            <w:tcW w:w="280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t>Наименование товара</w:t>
            </w:r>
          </w:p>
        </w:tc>
        <w:tc>
          <w:tcPr>
            <w:tcW w:w="1211" w:type="dxa"/>
            <w:tcBorders>
              <w:top w:val="single" w:sz="6" w:space="0" w:color="000000"/>
              <w:left w:val="single" w:sz="4" w:space="0" w:color="000000"/>
              <w:bottom w:val="single" w:sz="6" w:space="0" w:color="000000"/>
              <w:right w:val="single" w:sz="6" w:space="0" w:color="000000"/>
            </w:tcBorders>
            <w:shd w:color="auto" w:fill="FFFFFF" w:val="clear"/>
            <w:vAlign w:val="center"/>
          </w:tcPr>
          <w:p>
            <w:pPr>
              <w:pStyle w:val="Normal"/>
              <w:shd w:val="clear" w:color="auto" w:fill="FFFFFF"/>
              <w:ind w:right="65"/>
              <w:jc w:val="center"/>
              <w:rPr>
                <w:sz w:val="24"/>
                <w:szCs w:val="24"/>
              </w:rPr>
            </w:pPr>
            <w:r>
              <w:rPr>
                <w:bCs/>
                <w:sz w:val="24"/>
                <w:szCs w:val="24"/>
              </w:rPr>
              <w:t>Ед. измер.</w:t>
            </w:r>
          </w:p>
        </w:tc>
        <w:tc>
          <w:tcPr>
            <w:tcW w:w="144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ind w:left="36"/>
              <w:jc w:val="center"/>
              <w:rPr>
                <w:sz w:val="24"/>
                <w:szCs w:val="24"/>
              </w:rPr>
            </w:pPr>
            <w:r>
              <w:rPr>
                <w:bCs/>
                <w:sz w:val="24"/>
                <w:szCs w:val="24"/>
              </w:rPr>
              <w:t>Кол</w:t>
              <w:softHyphen/>
              <w:t>-во</w:t>
            </w:r>
          </w:p>
        </w:tc>
        <w:tc>
          <w:tcPr>
            <w:tcW w:w="133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ind w:hanging="258" w:left="223"/>
              <w:jc w:val="center"/>
              <w:rPr>
                <w:sz w:val="24"/>
                <w:szCs w:val="24"/>
              </w:rPr>
            </w:pPr>
            <w:r>
              <w:rPr>
                <w:bCs/>
                <w:sz w:val="24"/>
                <w:szCs w:val="24"/>
              </w:rPr>
              <w:t>Цена за ед., руб.</w:t>
            </w:r>
          </w:p>
        </w:tc>
        <w:tc>
          <w:tcPr>
            <w:tcW w:w="97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ind w:left="36"/>
              <w:jc w:val="center"/>
              <w:rPr>
                <w:bCs/>
                <w:sz w:val="24"/>
                <w:szCs w:val="24"/>
              </w:rPr>
            </w:pPr>
            <w:r>
              <w:rPr>
                <w:bCs/>
                <w:sz w:val="24"/>
                <w:szCs w:val="24"/>
              </w:rPr>
              <w:t>Сумма, руб.</w:t>
            </w:r>
          </w:p>
          <w:p>
            <w:pPr>
              <w:pStyle w:val="Normal"/>
              <w:shd w:val="clear" w:color="auto" w:fill="FFFFFF"/>
              <w:ind w:left="36"/>
              <w:jc w:val="center"/>
              <w:rPr>
                <w:sz w:val="24"/>
                <w:szCs w:val="24"/>
              </w:rPr>
            </w:pPr>
            <w:r>
              <w:rPr>
                <w:sz w:val="24"/>
                <w:szCs w:val="24"/>
              </w:rPr>
            </w:r>
          </w:p>
        </w:tc>
        <w:tc>
          <w:tcPr>
            <w:tcW w:w="1718"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ind w:left="36"/>
              <w:jc w:val="center"/>
              <w:rPr>
                <w:bCs/>
                <w:sz w:val="24"/>
                <w:szCs w:val="24"/>
              </w:rPr>
            </w:pPr>
            <w:r>
              <w:rPr>
                <w:bCs/>
                <w:sz w:val="24"/>
                <w:szCs w:val="24"/>
              </w:rPr>
              <w:t>Страна происхождения товара</w:t>
            </w:r>
          </w:p>
        </w:tc>
      </w:tr>
      <w:tr>
        <w:trPr>
          <w:trHeight w:val="1019" w:hRule="exact"/>
        </w:trPr>
        <w:tc>
          <w:tcPr>
            <w:tcW w:w="57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ind w:left="382"/>
              <w:jc w:val="center"/>
              <w:rPr>
                <w:sz w:val="24"/>
                <w:szCs w:val="24"/>
              </w:rPr>
            </w:pPr>
            <w:r>
              <w:rPr>
                <w:sz w:val="24"/>
                <w:szCs w:val="24"/>
              </w:rPr>
              <w:t>1</w:t>
            </w:r>
          </w:p>
        </w:tc>
        <w:tc>
          <w:tcPr>
            <w:tcW w:w="280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jc w:val="left"/>
              <w:rPr/>
            </w:pPr>
            <w:r>
              <w:rPr>
                <w:bCs/>
                <w:color w:val="000000"/>
                <w:sz w:val="24"/>
                <w:szCs w:val="24"/>
              </w:rPr>
              <w:t>Газ пропан-бутан технический (СПБТ)</w:t>
            </w:r>
          </w:p>
        </w:tc>
        <w:tc>
          <w:tcPr>
            <w:tcW w:w="1211" w:type="dxa"/>
            <w:tcBorders>
              <w:top w:val="single" w:sz="6" w:space="0" w:color="000000"/>
              <w:left w:val="single" w:sz="4"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t>шт</w:t>
            </w:r>
          </w:p>
        </w:tc>
        <w:tc>
          <w:tcPr>
            <w:tcW w:w="144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ind w:left="-112"/>
              <w:jc w:val="center"/>
              <w:rPr>
                <w:bCs/>
                <w:color w:val="000000"/>
                <w:sz w:val="24"/>
                <w:szCs w:val="24"/>
              </w:rPr>
            </w:pPr>
            <w:r>
              <w:rPr>
                <w:bCs/>
                <w:color w:val="000000"/>
                <w:sz w:val="24"/>
                <w:szCs w:val="24"/>
              </w:rPr>
              <w:t>8</w:t>
            </w:r>
          </w:p>
        </w:tc>
        <w:tc>
          <w:tcPr>
            <w:tcW w:w="133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97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1718"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sz w:val="24"/>
                <w:szCs w:val="24"/>
              </w:rPr>
            </w:pPr>
            <w:r>
              <w:rPr>
                <w:sz w:val="24"/>
                <w:szCs w:val="24"/>
              </w:rPr>
            </w:r>
          </w:p>
        </w:tc>
      </w:tr>
      <w:tr>
        <w:trPr>
          <w:trHeight w:val="630" w:hRule="atLeast"/>
        </w:trPr>
        <w:tc>
          <w:tcPr>
            <w:tcW w:w="10062" w:type="dxa"/>
            <w:gridSpan w:val="7"/>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before="0" w:after="0"/>
              <w:ind w:left="57" w:right="57"/>
              <w:contextualSpacing/>
              <w:jc w:val="center"/>
              <w:rPr>
                <w:rFonts w:ascii="Times New Roman" w:hAnsi="Times New Roman"/>
                <w:b/>
                <w:sz w:val="24"/>
                <w:szCs w:val="24"/>
              </w:rPr>
            </w:pPr>
            <w:r>
              <w:rPr>
                <w:rFonts w:ascii="Times New Roman" w:hAnsi="Times New Roman"/>
                <w:b/>
                <w:sz w:val="24"/>
                <w:szCs w:val="24"/>
              </w:rPr>
              <w:t>Итого:</w:t>
            </w:r>
          </w:p>
        </w:tc>
      </w:tr>
    </w:tbl>
    <w:p>
      <w:pPr>
        <w:pStyle w:val="Normal"/>
        <w:shd w:val="clear" w:color="auto" w:fill="FFFFFF"/>
        <w:ind w:hanging="57" w:left="57" w:right="57"/>
        <w:jc w:val="center"/>
        <w:rPr>
          <w:sz w:val="24"/>
          <w:szCs w:val="24"/>
        </w:rPr>
      </w:pPr>
      <w:r>
        <w:rPr>
          <w:sz w:val="24"/>
          <w:szCs w:val="24"/>
        </w:rPr>
      </w:r>
    </w:p>
    <w:p>
      <w:pPr>
        <w:pStyle w:val="Normal"/>
        <w:shd w:val="clear" w:color="auto" w:fill="FFFFFF"/>
        <w:ind w:hanging="57" w:left="57" w:right="57"/>
        <w:jc w:val="center"/>
        <w:rPr>
          <w:sz w:val="24"/>
          <w:szCs w:val="24"/>
        </w:rPr>
      </w:pPr>
      <w:r>
        <w:rPr>
          <w:sz w:val="24"/>
          <w:szCs w:val="24"/>
        </w:rPr>
      </w:r>
    </w:p>
    <w:p>
      <w:pPr>
        <w:pStyle w:val="Normal"/>
        <w:widowControl w:val="false"/>
        <w:tabs>
          <w:tab w:val="clear" w:pos="709"/>
          <w:tab w:val="left" w:pos="540" w:leader="none"/>
          <w:tab w:val="left" w:pos="900" w:leader="none"/>
        </w:tabs>
        <w:snapToGrid w:val="false"/>
        <w:ind w:left="57" w:right="57"/>
        <w:rPr>
          <w:sz w:val="24"/>
          <w:szCs w:val="24"/>
        </w:rPr>
      </w:pPr>
      <w:r>
        <w:rPr>
          <w:sz w:val="24"/>
          <w:szCs w:val="24"/>
        </w:rPr>
        <w:t xml:space="preserve">      </w:t>
      </w:r>
      <w:r>
        <w:rPr>
          <w:sz w:val="24"/>
          <w:szCs w:val="24"/>
        </w:rPr>
        <w:tab/>
        <w:t xml:space="preserve">                                                     </w:t>
      </w:r>
    </w:p>
    <w:p>
      <w:pPr>
        <w:pStyle w:val="Normal"/>
        <w:widowControl w:val="false"/>
        <w:tabs>
          <w:tab w:val="clear" w:pos="709"/>
          <w:tab w:val="left" w:pos="540" w:leader="none"/>
          <w:tab w:val="left" w:pos="900" w:leader="none"/>
        </w:tabs>
        <w:snapToGrid w:val="false"/>
        <w:ind w:left="57" w:right="57"/>
        <w:rPr>
          <w:color w:val="FF0000"/>
          <w:sz w:val="24"/>
          <w:szCs w:val="24"/>
        </w:rPr>
      </w:pPr>
      <w:r>
        <w:rPr>
          <w:color w:val="FF0000"/>
          <w:sz w:val="24"/>
          <w:szCs w:val="24"/>
        </w:rPr>
      </w:r>
    </w:p>
    <w:p>
      <w:pPr>
        <w:pStyle w:val="Normal"/>
        <w:widowControl w:val="false"/>
        <w:tabs>
          <w:tab w:val="clear" w:pos="709"/>
          <w:tab w:val="left" w:pos="540" w:leader="none"/>
          <w:tab w:val="left" w:pos="900" w:leader="none"/>
        </w:tabs>
        <w:snapToGrid w:val="false"/>
        <w:ind w:left="57" w:right="57"/>
        <w:rPr>
          <w:sz w:val="24"/>
          <w:szCs w:val="24"/>
        </w:rPr>
      </w:pPr>
      <w:r>
        <w:rPr>
          <w:sz w:val="24"/>
          <w:szCs w:val="24"/>
        </w:rPr>
        <w:t>______________________                                                        ______________________</w:t>
      </w:r>
    </w:p>
    <w:p>
      <w:pPr>
        <w:pStyle w:val="Normal"/>
        <w:shd w:val="clear" w:color="auto" w:fill="FFFFFF"/>
        <w:ind w:firstLine="567" w:left="57" w:right="57"/>
        <w:jc w:val="both"/>
        <w:rPr>
          <w:sz w:val="24"/>
          <w:szCs w:val="24"/>
        </w:rPr>
      </w:pPr>
      <w:r>
        <w:rPr>
          <w:sz w:val="24"/>
          <w:szCs w:val="24"/>
        </w:rPr>
        <w:t xml:space="preserve">                </w:t>
      </w:r>
      <w:r>
        <w:rPr>
          <w:sz w:val="24"/>
          <w:szCs w:val="24"/>
        </w:rPr>
        <w:t>м.п.                                                                          м.п.</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sectPr>
          <w:type w:val="nextPage"/>
          <w:pgSz w:w="11906" w:h="16838"/>
          <w:pgMar w:left="1134" w:right="709" w:gutter="0" w:header="0" w:top="1134" w:footer="0" w:bottom="1134"/>
          <w:pgNumType w:fmt="decimal"/>
          <w:formProt w:val="false"/>
          <w:textDirection w:val="lrTb"/>
          <w:docGrid w:type="default" w:linePitch="272" w:charSpace="8192"/>
        </w:sectPr>
        <w:pStyle w:val="Normal"/>
        <w:rPr>
          <w:sz w:val="24"/>
          <w:szCs w:val="24"/>
        </w:rPr>
      </w:pPr>
      <w:r>
        <w:rPr>
          <w:sz w:val="24"/>
          <w:szCs w:val="24"/>
        </w:rPr>
      </w:r>
    </w:p>
    <w:p>
      <w:pPr>
        <w:pStyle w:val="Normal"/>
        <w:shd w:val="clear" w:color="auto" w:fill="FFFFFF"/>
        <w:ind w:firstLine="567" w:left="57" w:right="57"/>
        <w:jc w:val="right"/>
        <w:rPr>
          <w:sz w:val="24"/>
          <w:szCs w:val="24"/>
        </w:rPr>
      </w:pPr>
      <w:r>
        <w:rPr>
          <w:sz w:val="24"/>
          <w:szCs w:val="24"/>
        </w:rPr>
        <w:t>Приложение № 2</w:t>
      </w:r>
    </w:p>
    <w:p>
      <w:pPr>
        <w:pStyle w:val="Normal"/>
        <w:shd w:val="clear" w:color="auto" w:fill="FFFFFF"/>
        <w:ind w:firstLine="567" w:left="57" w:right="57"/>
        <w:jc w:val="right"/>
        <w:rPr>
          <w:sz w:val="24"/>
          <w:szCs w:val="24"/>
        </w:rPr>
      </w:pPr>
      <w:r>
        <w:rPr>
          <w:sz w:val="24"/>
          <w:szCs w:val="24"/>
        </w:rPr>
        <w:t xml:space="preserve">к договору №_______  </w:t>
      </w:r>
    </w:p>
    <w:p>
      <w:pPr>
        <w:pStyle w:val="Normal"/>
        <w:shd w:val="clear" w:color="auto" w:fill="FFFFFF"/>
        <w:ind w:firstLine="567" w:left="57" w:right="57"/>
        <w:jc w:val="right"/>
        <w:rPr>
          <w:sz w:val="24"/>
          <w:szCs w:val="24"/>
        </w:rPr>
      </w:pPr>
      <w:r>
        <w:rPr>
          <w:sz w:val="24"/>
          <w:szCs w:val="24"/>
        </w:rPr>
        <w:t>от ____________________________</w:t>
      </w:r>
    </w:p>
    <w:p>
      <w:pPr>
        <w:pStyle w:val="Normal"/>
        <w:rPr/>
      </w:pPr>
      <w:r>
        <w:rPr>
          <w:b/>
          <w:bCs/>
          <w:sz w:val="32"/>
          <w:szCs w:val="32"/>
          <w:lang w:val="ru-RU" w:eastAsia="ru-RU"/>
        </w:rPr>
        <w:t xml:space="preserve">Техническое задание </w:t>
      </w:r>
    </w:p>
    <w:p>
      <w:pPr>
        <w:pStyle w:val="Normal"/>
        <w:ind w:firstLine="708" w:right="0"/>
        <w:jc w:val="both"/>
        <w:rPr>
          <w:bCs/>
          <w:sz w:val="28"/>
          <w:szCs w:val="28"/>
          <w:lang w:val="ru-RU" w:eastAsia="ru-RU"/>
        </w:rPr>
      </w:pPr>
      <w:r>
        <w:rPr>
          <w:bCs/>
          <w:sz w:val="28"/>
          <w:szCs w:val="28"/>
          <w:lang w:val="ru-RU" w:eastAsia="ru-RU"/>
        </w:rPr>
      </w:r>
    </w:p>
    <w:tbl>
      <w:tblPr>
        <w:tblW w:w="10062" w:type="dxa"/>
        <w:jc w:val="center"/>
        <w:tblInd w:w="0" w:type="dxa"/>
        <w:tblLayout w:type="fixed"/>
        <w:tblCellMar>
          <w:top w:w="0" w:type="dxa"/>
          <w:left w:w="108" w:type="dxa"/>
          <w:bottom w:w="0" w:type="dxa"/>
          <w:right w:w="108" w:type="dxa"/>
        </w:tblCellMar>
      </w:tblPr>
      <w:tblGrid>
        <w:gridCol w:w="751"/>
        <w:gridCol w:w="2478"/>
        <w:gridCol w:w="1137"/>
        <w:gridCol w:w="1071"/>
        <w:gridCol w:w="4625"/>
      </w:tblGrid>
      <w:tr>
        <w:trPr>
          <w:trHeight w:val="906" w:hRule="atLeast"/>
        </w:trPr>
        <w:tc>
          <w:tcPr>
            <w:tcW w:w="751" w:type="dxa"/>
            <w:tcBorders>
              <w:top w:val="single" w:sz="4" w:space="0" w:color="000000"/>
              <w:left w:val="single" w:sz="4" w:space="0" w:color="000000"/>
              <w:bottom w:val="single" w:sz="4" w:space="0" w:color="000000"/>
            </w:tcBorders>
            <w:vAlign w:val="center"/>
          </w:tcPr>
          <w:p>
            <w:pPr>
              <w:pStyle w:val="NoSpacing"/>
              <w:snapToGrid w:val="false"/>
              <w:jc w:val="center"/>
              <w:rPr>
                <w:rFonts w:ascii="Tinos" w:hAnsi="Tinos" w:cs="Tinos"/>
                <w:color w:val="000000"/>
                <w:sz w:val="24"/>
                <w:szCs w:val="24"/>
              </w:rPr>
            </w:pPr>
            <w:r>
              <w:rPr>
                <w:rFonts w:cs="Tinos" w:ascii="Tinos" w:hAnsi="Tinos"/>
                <w:color w:val="000000"/>
                <w:sz w:val="24"/>
                <w:szCs w:val="24"/>
              </w:rPr>
            </w:r>
          </w:p>
          <w:p>
            <w:pPr>
              <w:pStyle w:val="NoSpacing"/>
              <w:jc w:val="center"/>
              <w:rPr>
                <w:rFonts w:ascii="Tinos" w:hAnsi="Tinos" w:cs="Tinos"/>
                <w:color w:val="000000"/>
                <w:sz w:val="24"/>
                <w:szCs w:val="24"/>
              </w:rPr>
            </w:pPr>
            <w:r>
              <w:rPr>
                <w:rFonts w:cs="Tinos" w:ascii="Tinos" w:hAnsi="Tinos"/>
                <w:color w:val="000000"/>
                <w:sz w:val="24"/>
                <w:szCs w:val="24"/>
              </w:rPr>
              <w:t>№</w:t>
            </w:r>
          </w:p>
        </w:tc>
        <w:tc>
          <w:tcPr>
            <w:tcW w:w="2478" w:type="dxa"/>
            <w:tcBorders>
              <w:top w:val="single" w:sz="4" w:space="0" w:color="000000"/>
              <w:left w:val="single" w:sz="4" w:space="0" w:color="000000"/>
              <w:bottom w:val="single" w:sz="4" w:space="0" w:color="000000"/>
            </w:tcBorders>
            <w:vAlign w:val="center"/>
          </w:tcPr>
          <w:p>
            <w:pPr>
              <w:pStyle w:val="NoSpacing"/>
              <w:jc w:val="center"/>
              <w:rPr>
                <w:rFonts w:ascii="Tinos" w:hAnsi="Tinos" w:cs="Tinos"/>
                <w:color w:val="000000"/>
                <w:sz w:val="24"/>
                <w:szCs w:val="24"/>
              </w:rPr>
            </w:pPr>
            <w:r>
              <w:rPr>
                <w:rFonts w:cs="Tinos" w:ascii="Tinos" w:hAnsi="Tinos"/>
                <w:color w:val="000000"/>
                <w:sz w:val="24"/>
                <w:szCs w:val="24"/>
              </w:rPr>
              <w:t>Наименование</w:t>
            </w:r>
          </w:p>
        </w:tc>
        <w:tc>
          <w:tcPr>
            <w:tcW w:w="1137" w:type="dxa"/>
            <w:tcBorders>
              <w:top w:val="single" w:sz="4" w:space="0" w:color="000000"/>
              <w:left w:val="single" w:sz="4" w:space="0" w:color="000000"/>
              <w:bottom w:val="single" w:sz="4" w:space="0" w:color="000000"/>
            </w:tcBorders>
          </w:tcPr>
          <w:p>
            <w:pPr>
              <w:pStyle w:val="NoSpacing"/>
              <w:snapToGrid w:val="false"/>
              <w:jc w:val="center"/>
              <w:rPr>
                <w:rFonts w:ascii="Tinos" w:hAnsi="Tinos" w:cs="Tinos"/>
                <w:color w:val="000000"/>
                <w:sz w:val="24"/>
                <w:szCs w:val="24"/>
              </w:rPr>
            </w:pPr>
            <w:r>
              <w:rPr>
                <w:rFonts w:cs="Tinos" w:ascii="Tinos" w:hAnsi="Tinos"/>
                <w:color w:val="000000"/>
                <w:sz w:val="24"/>
                <w:szCs w:val="24"/>
              </w:rPr>
            </w:r>
          </w:p>
          <w:p>
            <w:pPr>
              <w:pStyle w:val="NoSpacing"/>
              <w:jc w:val="center"/>
              <w:rPr>
                <w:rFonts w:ascii="Tinos" w:hAnsi="Tinos" w:cs="Tinos"/>
                <w:color w:val="000000"/>
                <w:sz w:val="24"/>
                <w:szCs w:val="24"/>
              </w:rPr>
            </w:pPr>
            <w:r>
              <w:rPr>
                <w:rFonts w:cs="Tinos" w:ascii="Tinos" w:hAnsi="Tinos"/>
                <w:color w:val="000000"/>
                <w:sz w:val="24"/>
                <w:szCs w:val="24"/>
              </w:rPr>
              <w:t>Ед. изм.</w:t>
            </w:r>
          </w:p>
        </w:tc>
        <w:tc>
          <w:tcPr>
            <w:tcW w:w="1071" w:type="dxa"/>
            <w:tcBorders>
              <w:top w:val="single" w:sz="4" w:space="0" w:color="000000"/>
              <w:left w:val="single" w:sz="4" w:space="0" w:color="000000"/>
              <w:bottom w:val="single" w:sz="4" w:space="0" w:color="000000"/>
            </w:tcBorders>
            <w:vAlign w:val="center"/>
          </w:tcPr>
          <w:p>
            <w:pPr>
              <w:pStyle w:val="NoSpacing"/>
              <w:tabs>
                <w:tab w:val="clear" w:pos="709"/>
                <w:tab w:val="left" w:pos="317" w:leader="none"/>
              </w:tabs>
              <w:jc w:val="center"/>
              <w:rPr>
                <w:rFonts w:ascii="Tinos" w:hAnsi="Tinos" w:cs="Tinos"/>
                <w:color w:val="000000"/>
                <w:sz w:val="24"/>
                <w:szCs w:val="24"/>
              </w:rPr>
            </w:pPr>
            <w:r>
              <w:rPr>
                <w:rFonts w:cs="Tinos" w:ascii="Tinos" w:hAnsi="Tinos"/>
                <w:color w:val="000000"/>
                <w:sz w:val="24"/>
                <w:szCs w:val="24"/>
              </w:rPr>
              <w:t>Кол-во</w:t>
            </w:r>
          </w:p>
        </w:tc>
        <w:tc>
          <w:tcPr>
            <w:tcW w:w="4625" w:type="dxa"/>
            <w:tcBorders>
              <w:top w:val="single" w:sz="4" w:space="0" w:color="000000"/>
              <w:left w:val="single" w:sz="4" w:space="0" w:color="000000"/>
              <w:bottom w:val="single" w:sz="4" w:space="0" w:color="000000"/>
              <w:right w:val="single" w:sz="4" w:space="0" w:color="000000"/>
            </w:tcBorders>
            <w:vAlign w:val="center"/>
          </w:tcPr>
          <w:p>
            <w:pPr>
              <w:pStyle w:val="NoSpacing"/>
              <w:tabs>
                <w:tab w:val="clear" w:pos="709"/>
                <w:tab w:val="left" w:pos="317" w:leader="none"/>
              </w:tabs>
              <w:jc w:val="center"/>
              <w:rPr>
                <w:rFonts w:ascii="Tinos" w:hAnsi="Tinos" w:cs="Tinos"/>
                <w:color w:val="000000"/>
                <w:sz w:val="24"/>
                <w:szCs w:val="24"/>
              </w:rPr>
            </w:pPr>
            <w:r>
              <w:rPr>
                <w:rFonts w:cs="Tinos" w:ascii="Tinos" w:hAnsi="Tinos"/>
                <w:color w:val="000000"/>
                <w:sz w:val="24"/>
                <w:szCs w:val="24"/>
              </w:rPr>
              <w:t>Описание</w:t>
            </w:r>
          </w:p>
        </w:tc>
      </w:tr>
      <w:tr>
        <w:trPr>
          <w:trHeight w:val="676" w:hRule="atLeast"/>
        </w:trPr>
        <w:tc>
          <w:tcPr>
            <w:tcW w:w="751" w:type="dxa"/>
            <w:tcBorders>
              <w:left w:val="single" w:sz="4" w:space="0" w:color="000000"/>
              <w:bottom w:val="single" w:sz="4" w:space="0" w:color="000000"/>
            </w:tcBorders>
            <w:vAlign w:val="center"/>
          </w:tcPr>
          <w:p>
            <w:pPr>
              <w:pStyle w:val="Style12"/>
              <w:jc w:val="center"/>
              <w:rPr>
                <w:rFonts w:ascii="Tinos" w:hAnsi="Tinos" w:cs="Tinos"/>
                <w:color w:val="000000"/>
                <w:sz w:val="24"/>
                <w:szCs w:val="24"/>
              </w:rPr>
            </w:pPr>
            <w:r>
              <w:rPr>
                <w:rFonts w:cs="Tinos" w:ascii="Tinos" w:hAnsi="Tinos"/>
                <w:color w:val="000000"/>
                <w:sz w:val="24"/>
                <w:szCs w:val="24"/>
              </w:rPr>
              <w:t>1</w:t>
            </w:r>
          </w:p>
        </w:tc>
        <w:tc>
          <w:tcPr>
            <w:tcW w:w="2478" w:type="dxa"/>
            <w:tcBorders>
              <w:left w:val="single" w:sz="4" w:space="0" w:color="000000"/>
              <w:bottom w:val="single" w:sz="4" w:space="0" w:color="000000"/>
            </w:tcBorders>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 xml:space="preserve">Газ пропан-бутан технический </w:t>
            </w:r>
          </w:p>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(СПБТ)</w:t>
            </w:r>
          </w:p>
        </w:tc>
        <w:tc>
          <w:tcPr>
            <w:tcW w:w="1137" w:type="dxa"/>
            <w:tcBorders>
              <w:left w:val="single" w:sz="4" w:space="0" w:color="000000"/>
              <w:bottom w:val="single" w:sz="4" w:space="0" w:color="000000"/>
            </w:tcBorders>
          </w:tcPr>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шт</w:t>
            </w:r>
          </w:p>
        </w:tc>
        <w:tc>
          <w:tcPr>
            <w:tcW w:w="1071" w:type="dxa"/>
            <w:tcBorders>
              <w:left w:val="single" w:sz="4" w:space="0" w:color="000000"/>
              <w:bottom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8</w:t>
            </w:r>
          </w:p>
        </w:tc>
        <w:tc>
          <w:tcPr>
            <w:tcW w:w="4625" w:type="dxa"/>
            <w:tcBorders>
              <w:left w:val="single" w:sz="4" w:space="0" w:color="000000"/>
              <w:bottom w:val="single" w:sz="4" w:space="0" w:color="000000"/>
              <w:right w:val="single" w:sz="4" w:space="0" w:color="000000"/>
            </w:tcBorders>
            <w:vAlign w:val="center"/>
          </w:tcPr>
          <w:p>
            <w:pPr>
              <w:pStyle w:val="Normal"/>
              <w:snapToGrid w:val="false"/>
              <w:jc w:val="left"/>
              <w:rPr>
                <w:rFonts w:ascii="Tinos" w:hAnsi="Tinos" w:eastAsia="Tinos;Times New Roman" w:cs="Tinos"/>
                <w:color w:val="000000"/>
                <w:sz w:val="24"/>
                <w:szCs w:val="24"/>
              </w:rPr>
            </w:pPr>
            <w:r>
              <w:rPr>
                <w:rFonts w:eastAsia="Tinos;Times New Roman" w:cs="Tinos" w:ascii="Tinos" w:hAnsi="Tinos"/>
                <w:color w:val="000000"/>
                <w:sz w:val="24"/>
                <w:szCs w:val="24"/>
              </w:rPr>
              <w:t>Масса газа 20-22 кг ГОСТ 15860-84</w:t>
            </w:r>
          </w:p>
          <w:p>
            <w:pPr>
              <w:pStyle w:val="Normal"/>
              <w:snapToGrid w:val="false"/>
              <w:jc w:val="left"/>
              <w:rPr>
                <w:rFonts w:ascii="Tinos" w:hAnsi="Tinos" w:eastAsia="Tinos;Times New Roman" w:cs="Tinos"/>
                <w:color w:val="000000"/>
                <w:sz w:val="24"/>
                <w:szCs w:val="24"/>
              </w:rPr>
            </w:pPr>
            <w:r>
              <w:rPr>
                <w:rFonts w:eastAsia="Tinos;Times New Roman" w:cs="Tinos" w:ascii="Tinos" w:hAnsi="Tinos"/>
                <w:color w:val="000000"/>
                <w:sz w:val="24"/>
                <w:szCs w:val="24"/>
              </w:rPr>
              <w:t>Вместимость (водяная): 50 л</w:t>
            </w:r>
          </w:p>
          <w:p>
            <w:pPr>
              <w:pStyle w:val="Normal"/>
              <w:snapToGrid w:val="false"/>
              <w:jc w:val="left"/>
              <w:rPr>
                <w:rFonts w:ascii="Tinos" w:hAnsi="Tinos" w:eastAsia="Tinos;Times New Roman" w:cs="Tinos"/>
                <w:color w:val="000000"/>
                <w:sz w:val="24"/>
                <w:szCs w:val="24"/>
              </w:rPr>
            </w:pPr>
            <w:r>
              <w:rPr>
                <w:rFonts w:eastAsia="Tinos;Times New Roman" w:cs="Tinos" w:ascii="Tinos" w:hAnsi="Tinos"/>
                <w:color w:val="000000"/>
                <w:sz w:val="24"/>
                <w:szCs w:val="24"/>
              </w:rPr>
              <w:t>Наружный диаметр: 299 мм</w:t>
            </w:r>
          </w:p>
          <w:p>
            <w:pPr>
              <w:pStyle w:val="Normal"/>
              <w:snapToGrid w:val="false"/>
              <w:jc w:val="left"/>
              <w:rPr>
                <w:rFonts w:ascii="Tinos" w:hAnsi="Tinos" w:eastAsia="Tinos;Times New Roman" w:cs="Tinos"/>
                <w:color w:val="000000"/>
                <w:sz w:val="24"/>
                <w:szCs w:val="24"/>
              </w:rPr>
            </w:pPr>
            <w:r>
              <w:rPr>
                <w:rFonts w:eastAsia="Tinos;Times New Roman" w:cs="Tinos" w:ascii="Tinos" w:hAnsi="Tinos"/>
                <w:color w:val="000000"/>
                <w:sz w:val="24"/>
                <w:szCs w:val="24"/>
              </w:rPr>
              <w:t>Общая высота: до 1015 мм</w:t>
            </w:r>
          </w:p>
          <w:p>
            <w:pPr>
              <w:pStyle w:val="Normal"/>
              <w:snapToGrid w:val="false"/>
              <w:jc w:val="left"/>
              <w:rPr/>
            </w:pPr>
            <w:r>
              <w:rPr>
                <w:rFonts w:eastAsia="Tinos;Times New Roman" w:cs="Tinos" w:ascii="Tinos" w:hAnsi="Tinos"/>
                <w:color w:val="000000"/>
                <w:sz w:val="24"/>
                <w:szCs w:val="24"/>
              </w:rPr>
              <w:t>Масса порожнего баллона: 22,0 кг (</w:t>
            </w:r>
            <w:r>
              <w:rPr>
                <w:rFonts w:eastAsia="Tinos;Times New Roman" w:cs="DejaVu Sans" w:ascii="DejaVu Sans" w:hAnsi="DejaVu Sans"/>
                <w:color w:val="000000"/>
                <w:sz w:val="24"/>
                <w:szCs w:val="24"/>
              </w:rPr>
              <w:t>±</w:t>
            </w:r>
            <w:r>
              <w:rPr>
                <w:rFonts w:eastAsia="Tinos;Times New Roman" w:cs="Tinos" w:ascii="Tinos" w:hAnsi="Tinos"/>
                <w:color w:val="000000"/>
                <w:sz w:val="24"/>
                <w:szCs w:val="24"/>
              </w:rPr>
              <w:t>2,2 кг)</w:t>
            </w:r>
          </w:p>
          <w:p>
            <w:pPr>
              <w:pStyle w:val="Normal"/>
              <w:snapToGrid w:val="false"/>
              <w:jc w:val="left"/>
              <w:rPr/>
            </w:pPr>
            <w:r>
              <w:rPr>
                <w:rFonts w:eastAsia="Tinos;Times New Roman" w:cs="Tinos" w:ascii="Tinos" w:hAnsi="Tinos"/>
                <w:color w:val="000000"/>
                <w:sz w:val="24"/>
                <w:szCs w:val="24"/>
              </w:rPr>
              <w:t xml:space="preserve">Масса с газом (полного): </w:t>
            </w:r>
            <w:r>
              <w:rPr>
                <w:rFonts w:eastAsia="Tinos;Times New Roman" w:cs="Tinos" w:ascii="Tinos" w:hAnsi="Tinos"/>
                <w:color w:val="000000"/>
                <w:sz w:val="24"/>
                <w:szCs w:val="24"/>
              </w:rPr>
              <w:t>~</w:t>
            </w:r>
            <w:r>
              <w:rPr>
                <w:rFonts w:eastAsia="Tinos;Times New Roman" w:cs="Tinos" w:ascii="Tinos" w:hAnsi="Tinos"/>
                <w:color w:val="000000"/>
                <w:sz w:val="24"/>
                <w:szCs w:val="24"/>
              </w:rPr>
              <w:t>43,2 кг (21,2 + 22,0)</w:t>
            </w:r>
          </w:p>
          <w:p>
            <w:pPr>
              <w:pStyle w:val="Normal"/>
              <w:snapToGrid w:val="false"/>
              <w:jc w:val="left"/>
              <w:rPr>
                <w:rFonts w:ascii="Tinos" w:hAnsi="Tinos" w:eastAsia="Tinos;Times New Roman" w:cs="Tinos"/>
                <w:color w:val="000000"/>
                <w:sz w:val="24"/>
                <w:szCs w:val="24"/>
              </w:rPr>
            </w:pPr>
            <w:r>
              <w:rPr>
                <w:rFonts w:eastAsia="Tinos;Times New Roman" w:cs="Tinos" w:ascii="Tinos" w:hAnsi="Tinos"/>
                <w:color w:val="000000"/>
                <w:sz w:val="24"/>
                <w:szCs w:val="24"/>
              </w:rPr>
              <w:t>Рабочее давление: 1,6 МПа (16 бар)</w:t>
            </w:r>
          </w:p>
          <w:p>
            <w:pPr>
              <w:pStyle w:val="Normal"/>
              <w:snapToGrid w:val="false"/>
              <w:jc w:val="left"/>
              <w:rPr>
                <w:rFonts w:ascii="Tinos" w:hAnsi="Tinos" w:eastAsia="Tinos;Times New Roman" w:cs="Tinos"/>
                <w:color w:val="000000"/>
                <w:sz w:val="24"/>
                <w:szCs w:val="24"/>
              </w:rPr>
            </w:pPr>
            <w:r>
              <w:rPr>
                <w:rFonts w:eastAsia="Tinos;Times New Roman" w:cs="Tinos" w:ascii="Tinos" w:hAnsi="Tinos"/>
                <w:color w:val="000000"/>
                <w:sz w:val="24"/>
                <w:szCs w:val="24"/>
              </w:rPr>
              <w:t>Материал: Сталь Ст3сп/пс</w:t>
            </w:r>
          </w:p>
          <w:p>
            <w:pPr>
              <w:pStyle w:val="Normal"/>
              <w:snapToGrid w:val="false"/>
              <w:jc w:val="left"/>
              <w:rPr>
                <w:rFonts w:ascii="Tinos" w:hAnsi="Tinos" w:eastAsia="Tinos;Times New Roman" w:cs="Tinos"/>
                <w:color w:val="000000"/>
                <w:sz w:val="24"/>
                <w:szCs w:val="24"/>
              </w:rPr>
            </w:pPr>
            <w:r>
              <w:rPr>
                <w:rFonts w:eastAsia="Tinos;Times New Roman" w:cs="Tinos" w:ascii="Tinos" w:hAnsi="Tinos"/>
                <w:color w:val="000000"/>
                <w:sz w:val="24"/>
                <w:szCs w:val="24"/>
              </w:rPr>
              <w:t>Резьба вентиля: W 27.8</w:t>
            </w:r>
          </w:p>
          <w:p>
            <w:pPr>
              <w:pStyle w:val="Normal"/>
              <w:snapToGrid w:val="false"/>
              <w:jc w:val="left"/>
              <w:rPr>
                <w:rFonts w:ascii="Tinos" w:hAnsi="Tinos" w:eastAsia="Tinos;Times New Roman" w:cs="Tinos"/>
                <w:color w:val="000000"/>
                <w:sz w:val="24"/>
                <w:szCs w:val="24"/>
              </w:rPr>
            </w:pPr>
            <w:r>
              <w:rPr>
                <w:rFonts w:eastAsia="Tinos;Times New Roman" w:cs="Tinos" w:ascii="Tinos" w:hAnsi="Tinos"/>
                <w:color w:val="000000"/>
                <w:sz w:val="24"/>
                <w:szCs w:val="24"/>
              </w:rPr>
              <w:t>ОКПД 2 19.20.31.000</w:t>
            </w:r>
          </w:p>
        </w:tc>
      </w:tr>
    </w:tbl>
    <w:p>
      <w:pPr>
        <w:pStyle w:val="Normal"/>
        <w:ind w:firstLine="709" w:right="0"/>
        <w:jc w:val="both"/>
        <w:rPr>
          <w:rFonts w:ascii="Tinos" w:hAnsi="Tinos" w:cs="Tinos"/>
          <w:b/>
          <w:bCs/>
          <w:i w:val="false"/>
          <w:i w:val="false"/>
          <w:caps w:val="false"/>
          <w:smallCaps w:val="false"/>
          <w:color w:val="000000"/>
          <w:spacing w:val="0"/>
          <w:sz w:val="18"/>
          <w:szCs w:val="18"/>
        </w:rPr>
      </w:pPr>
      <w:r>
        <w:rPr>
          <w:rFonts w:cs="Tinos" w:ascii="Tinos" w:hAnsi="Tinos"/>
          <w:b/>
          <w:bCs/>
          <w:i w:val="false"/>
          <w:caps w:val="false"/>
          <w:smallCaps w:val="false"/>
          <w:color w:val="000000"/>
          <w:spacing w:val="0"/>
          <w:sz w:val="18"/>
          <w:szCs w:val="18"/>
        </w:rPr>
        <w:t>Баллоны должны соответствовать обязательным требованиям законодательства Российской Федерации. На момент передачи баллоны технически должны быть исправны, не иметь дефектов, влияющих на безопасность эксплуатации, а также что на них нанесена вся обязательная маркировка (номер, дата изготовления, дата следующего технического освидетельствования, рабочее и пробное давление, вместимость, сведения о марке газа). Срок службы баллонов не истёк, срок очередного технического освидетельствования не просрочен.</w:t>
      </w:r>
    </w:p>
    <w:p>
      <w:pPr>
        <w:pStyle w:val="Normal"/>
        <w:tabs>
          <w:tab w:val="clear" w:pos="709"/>
          <w:tab w:val="left" w:pos="3780" w:leader="none"/>
          <w:tab w:val="left" w:pos="8415" w:leader="none"/>
        </w:tabs>
        <w:spacing w:lineRule="auto" w:line="240"/>
        <w:ind w:firstLine="709" w:right="0"/>
        <w:rPr>
          <w:b/>
          <w:bCs/>
          <w:sz w:val="18"/>
          <w:szCs w:val="18"/>
        </w:rPr>
      </w:pPr>
      <w:r>
        <w:rPr>
          <w:b/>
          <w:bCs/>
          <w:sz w:val="18"/>
          <w:szCs w:val="18"/>
        </w:rPr>
        <w:t>Требования к качеству товара:</w:t>
      </w:r>
    </w:p>
    <w:p>
      <w:pPr>
        <w:pStyle w:val="Normal"/>
        <w:widowControl/>
        <w:tabs>
          <w:tab w:val="clear" w:pos="709"/>
          <w:tab w:val="left" w:pos="3780" w:leader="none"/>
          <w:tab w:val="left" w:pos="8415" w:leader="none"/>
        </w:tabs>
        <w:suppressAutoHyphens w:val="true"/>
        <w:bidi w:val="0"/>
        <w:spacing w:lineRule="auto" w:line="240"/>
        <w:ind w:firstLine="680" w:right="0"/>
        <w:jc w:val="both"/>
        <w:rPr>
          <w:sz w:val="18"/>
          <w:szCs w:val="18"/>
        </w:rPr>
      </w:pPr>
      <w:r>
        <w:rPr>
          <w:sz w:val="18"/>
          <w:szCs w:val="18"/>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p>
      <w:pPr>
        <w:pStyle w:val="Normal"/>
        <w:widowControl/>
        <w:tabs>
          <w:tab w:val="clear" w:pos="709"/>
          <w:tab w:val="left" w:pos="3780" w:leader="none"/>
          <w:tab w:val="left" w:pos="8415" w:leader="none"/>
        </w:tabs>
        <w:suppressAutoHyphens w:val="true"/>
        <w:bidi w:val="0"/>
        <w:spacing w:lineRule="auto" w:line="240"/>
        <w:ind w:firstLine="680" w:left="57" w:right="0"/>
        <w:jc w:val="both"/>
        <w:rPr>
          <w:sz w:val="18"/>
          <w:szCs w:val="18"/>
        </w:rPr>
      </w:pPr>
      <w:r>
        <w:rPr>
          <w:sz w:val="18"/>
          <w:szCs w:val="18"/>
        </w:rPr>
        <w:t>Поставляемый товар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w:t>
      </w:r>
    </w:p>
    <w:p>
      <w:pPr>
        <w:pStyle w:val="Normal"/>
        <w:widowControl/>
        <w:tabs>
          <w:tab w:val="clear" w:pos="709"/>
          <w:tab w:val="left" w:pos="3780" w:leader="none"/>
          <w:tab w:val="left" w:pos="8415" w:leader="none"/>
        </w:tabs>
        <w:suppressAutoHyphens w:val="true"/>
        <w:bidi w:val="0"/>
        <w:spacing w:lineRule="auto" w:line="240"/>
        <w:ind w:firstLine="680" w:left="57" w:right="0"/>
        <w:jc w:val="both"/>
        <w:rPr>
          <w:sz w:val="18"/>
          <w:szCs w:val="18"/>
        </w:rPr>
      </w:pPr>
      <w:r>
        <w:rPr>
          <w:sz w:val="18"/>
          <w:szCs w:val="18"/>
        </w:rPr>
        <w:t>Товар должен поставляться в оригинальной заводской упаковке, обеспечивающей защиту товара от внешних воздействующих факторов (в том числе климатических, механических) при транспортировании, хранении и погрузочно-разгрузочных работах.</w:t>
      </w:r>
    </w:p>
    <w:p>
      <w:pPr>
        <w:pStyle w:val="Normal"/>
        <w:ind w:firstLine="709" w:right="0"/>
        <w:jc w:val="both"/>
        <w:rPr>
          <w:rFonts w:ascii="Tinos" w:hAnsi="Tinos" w:cs="Tinos"/>
          <w:b w:val="false"/>
          <w:i w:val="false"/>
          <w:i w:val="false"/>
          <w:caps w:val="false"/>
          <w:smallCaps w:val="false"/>
          <w:color w:val="000000"/>
          <w:spacing w:val="0"/>
          <w:sz w:val="18"/>
          <w:szCs w:val="18"/>
        </w:rPr>
      </w:pPr>
      <w:r>
        <w:rPr>
          <w:rFonts w:cs="Tinos" w:ascii="Tinos" w:hAnsi="Tinos"/>
          <w:b w:val="false"/>
          <w:i w:val="false"/>
          <w:caps w:val="false"/>
          <w:smallCaps w:val="false"/>
          <w:color w:val="000000"/>
          <w:spacing w:val="0"/>
          <w:sz w:val="18"/>
          <w:szCs w:val="18"/>
        </w:rPr>
      </w:r>
    </w:p>
    <w:p>
      <w:pPr>
        <w:pStyle w:val="Normal"/>
        <w:widowControl/>
        <w:tabs>
          <w:tab w:val="clear" w:pos="709"/>
          <w:tab w:val="left" w:pos="3780" w:leader="none"/>
          <w:tab w:val="left" w:pos="8415" w:leader="none"/>
        </w:tabs>
        <w:suppressAutoHyphens w:val="true"/>
        <w:bidi w:val="0"/>
        <w:spacing w:lineRule="auto" w:line="240"/>
        <w:ind w:firstLine="680" w:right="0"/>
        <w:jc w:val="both"/>
        <w:rPr>
          <w:b/>
          <w:bCs/>
          <w:sz w:val="18"/>
          <w:szCs w:val="18"/>
        </w:rPr>
      </w:pPr>
      <w:r>
        <w:rPr>
          <w:b/>
          <w:bCs/>
          <w:sz w:val="18"/>
          <w:szCs w:val="18"/>
        </w:rPr>
        <w:t>Условия поставки:</w:t>
      </w:r>
    </w:p>
    <w:p>
      <w:pPr>
        <w:pStyle w:val="Normal"/>
        <w:widowControl/>
        <w:tabs>
          <w:tab w:val="clear" w:pos="709"/>
          <w:tab w:val="left" w:pos="3780" w:leader="none"/>
          <w:tab w:val="left" w:pos="8415" w:leader="none"/>
        </w:tabs>
        <w:suppressAutoHyphens w:val="true"/>
        <w:bidi w:val="0"/>
        <w:spacing w:lineRule="auto" w:line="240"/>
        <w:ind w:firstLine="680" w:right="0"/>
        <w:jc w:val="both"/>
        <w:rPr>
          <w:rFonts w:ascii="Tinos" w:hAnsi="Tinos" w:cs="Tinos"/>
          <w:sz w:val="18"/>
          <w:szCs w:val="18"/>
        </w:rPr>
      </w:pPr>
      <w:r>
        <w:rPr>
          <w:rFonts w:cs="Tinos" w:ascii="Tinos" w:hAnsi="Tinos"/>
          <w:sz w:val="18"/>
          <w:szCs w:val="18"/>
        </w:rPr>
        <w:t>1. Срок поставки – в течение 10 рабочих дней с момента заключения договора.</w:t>
      </w:r>
    </w:p>
    <w:p>
      <w:pPr>
        <w:pStyle w:val="NoSpacing"/>
        <w:widowControl/>
        <w:suppressAutoHyphens w:val="true"/>
        <w:bidi w:val="0"/>
        <w:spacing w:lineRule="auto" w:line="240" w:before="0" w:after="0"/>
        <w:ind w:firstLine="680" w:right="0"/>
        <w:jc w:val="both"/>
        <w:rPr>
          <w:rFonts w:ascii="Tinos" w:hAnsi="Tinos" w:cs="Tinos"/>
          <w:sz w:val="18"/>
          <w:szCs w:val="18"/>
        </w:rPr>
      </w:pPr>
      <w:r>
        <w:rPr>
          <w:rFonts w:cs="Tinos" w:ascii="Tinos" w:hAnsi="Tinos"/>
          <w:sz w:val="18"/>
          <w:szCs w:val="18"/>
        </w:rPr>
        <w:t>2. Место поставки – г. Оренбург, ул. Байкальская, 5А.</w:t>
      </w:r>
    </w:p>
    <w:p>
      <w:pPr>
        <w:pStyle w:val="NoSpacing"/>
        <w:ind w:firstLine="709" w:right="0"/>
        <w:jc w:val="both"/>
        <w:rPr>
          <w:rFonts w:ascii="Tinos" w:hAnsi="Tinos"/>
          <w:b/>
        </w:rPr>
      </w:pPr>
      <w:r>
        <w:rPr>
          <w:rFonts w:cs="Tinos" w:ascii="Tinos" w:hAnsi="Tinos"/>
          <w:sz w:val="18"/>
          <w:szCs w:val="18"/>
        </w:rPr>
      </w:r>
    </w:p>
    <w:p>
      <w:pPr>
        <w:pStyle w:val="Normal"/>
        <w:ind w:firstLine="709"/>
        <w:rPr>
          <w:bCs/>
          <w:color w:val="000000"/>
          <w:sz w:val="18"/>
          <w:szCs w:val="18"/>
          <w:shd w:fill="FFFFFF" w:val="clear"/>
        </w:rPr>
      </w:pPr>
      <w:r>
        <w:rPr>
          <w:bCs/>
          <w:color w:val="000000"/>
          <w:sz w:val="18"/>
          <w:szCs w:val="18"/>
          <w:shd w:fill="FFFFFF" w:val="clear"/>
        </w:rPr>
      </w:r>
    </w:p>
    <w:p>
      <w:pPr>
        <w:pStyle w:val="Normal"/>
        <w:ind w:firstLine="709"/>
        <w:rPr>
          <w:bCs/>
          <w:color w:val="000000"/>
          <w:sz w:val="18"/>
          <w:szCs w:val="18"/>
          <w:shd w:fill="FFFFFF" w:val="clear"/>
        </w:rPr>
      </w:pPr>
      <w:r>
        <w:rPr>
          <w:bCs/>
          <w:color w:val="000000"/>
          <w:sz w:val="18"/>
          <w:szCs w:val="18"/>
          <w:shd w:fill="FFFFFF" w:val="clear"/>
        </w:rPr>
      </w:r>
    </w:p>
    <w:p>
      <w:pPr>
        <w:pStyle w:val="Normal"/>
        <w:widowControl w:val="false"/>
        <w:tabs>
          <w:tab w:val="clear" w:pos="709"/>
          <w:tab w:val="left" w:pos="540" w:leader="none"/>
          <w:tab w:val="left" w:pos="900" w:leader="none"/>
        </w:tabs>
        <w:snapToGrid w:val="false"/>
        <w:ind w:left="57" w:right="57"/>
        <w:rPr>
          <w:sz w:val="18"/>
          <w:szCs w:val="18"/>
        </w:rPr>
      </w:pPr>
      <w:r>
        <w:rPr>
          <w:sz w:val="18"/>
          <w:szCs w:val="18"/>
        </w:rPr>
        <w:t>______________________                                                                                                            ________________</w:t>
      </w:r>
    </w:p>
    <w:p>
      <w:pPr>
        <w:pStyle w:val="Normal"/>
        <w:shd w:val="clear" w:color="auto" w:fill="FFFFFF"/>
        <w:ind w:firstLine="567" w:left="57" w:right="57"/>
        <w:jc w:val="both"/>
        <w:rPr>
          <w:sz w:val="18"/>
          <w:szCs w:val="18"/>
        </w:rPr>
      </w:pPr>
      <w:r>
        <w:rPr>
          <w:sz w:val="18"/>
          <w:szCs w:val="18"/>
        </w:rPr>
        <w:t xml:space="preserve">                </w:t>
      </w:r>
      <w:r>
        <w:rPr>
          <w:sz w:val="18"/>
          <w:szCs w:val="18"/>
        </w:rPr>
        <w:t>м.п.                                                                                                                             м.п.</w:t>
      </w:r>
    </w:p>
    <w:sectPr>
      <w:type w:val="nextPage"/>
      <w:pgSz w:orient="landscape" w:w="16838" w:h="11906"/>
      <w:pgMar w:left="1134" w:right="1134" w:gutter="0" w:header="0" w:top="1134" w:footer="0" w:bottom="709"/>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roman"/>
    <w:pitch w:val="default"/>
  </w:font>
  <w:font w:name="Arial">
    <w:charset w:val="01"/>
    <w:family w:val="roman"/>
    <w:pitch w:val="default"/>
  </w:font>
  <w:font w:name="PT Astra Serif">
    <w:charset w:val="01"/>
    <w:family w:val="roman"/>
    <w:pitch w:val="default"/>
  </w:font>
  <w:font w:name="Calibri">
    <w:charset w:val="01"/>
    <w:family w:val="roman"/>
    <w:pitch w:val="default"/>
  </w:font>
  <w:font w:name="Times New Roman">
    <w:charset w:val="cc"/>
    <w:family w:val="roman"/>
    <w:pitch w:val="variable"/>
  </w:font>
  <w:font w:name="Tinos">
    <w:charset w:val="01"/>
    <w:family w:val="auto"/>
    <w:pitch w:val="variable"/>
  </w:font>
  <w:font w:name="DejaVu Sans">
    <w:charset w:val="01"/>
    <w:family w:val="swiss"/>
    <w:pitch w:val="default"/>
  </w:font>
  <w:font w:name="Tinos">
    <w:charset w:val="01"/>
    <w:family w:val="auto"/>
    <w:pitch w:val="default"/>
  </w:font>
  <w:font w:name="Tino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84" w:hanging="360"/>
      </w:pPr>
      <w:rPr/>
    </w:lvl>
    <w:lvl w:ilvl="1">
      <w:start w:val="1"/>
      <w:numFmt w:val="lowerLetter"/>
      <w:lvlText w:val="%2."/>
      <w:lvlJc w:val="left"/>
      <w:pPr>
        <w:tabs>
          <w:tab w:val="num" w:pos="0"/>
        </w:tabs>
        <w:ind w:left="1704" w:hanging="360"/>
      </w:pPr>
      <w:rPr/>
    </w:lvl>
    <w:lvl w:ilvl="2">
      <w:start w:val="1"/>
      <w:numFmt w:val="lowerRoman"/>
      <w:lvlText w:val="%3."/>
      <w:lvlJc w:val="right"/>
      <w:pPr>
        <w:tabs>
          <w:tab w:val="num" w:pos="0"/>
        </w:tabs>
        <w:ind w:left="2424" w:hanging="180"/>
      </w:pPr>
      <w:rPr/>
    </w:lvl>
    <w:lvl w:ilvl="3">
      <w:start w:val="1"/>
      <w:numFmt w:val="decimal"/>
      <w:lvlText w:val="%4."/>
      <w:lvlJc w:val="left"/>
      <w:pPr>
        <w:tabs>
          <w:tab w:val="num" w:pos="0"/>
        </w:tabs>
        <w:ind w:left="3144" w:hanging="360"/>
      </w:pPr>
      <w:rPr/>
    </w:lvl>
    <w:lvl w:ilvl="4">
      <w:start w:val="1"/>
      <w:numFmt w:val="lowerLetter"/>
      <w:lvlText w:val="%5."/>
      <w:lvlJc w:val="left"/>
      <w:pPr>
        <w:tabs>
          <w:tab w:val="num" w:pos="0"/>
        </w:tabs>
        <w:ind w:left="3864" w:hanging="360"/>
      </w:pPr>
      <w:rPr/>
    </w:lvl>
    <w:lvl w:ilvl="5">
      <w:start w:val="1"/>
      <w:numFmt w:val="lowerRoman"/>
      <w:lvlText w:val="%6."/>
      <w:lvlJc w:val="right"/>
      <w:pPr>
        <w:tabs>
          <w:tab w:val="num" w:pos="0"/>
        </w:tabs>
        <w:ind w:left="4584" w:hanging="180"/>
      </w:pPr>
      <w:rPr/>
    </w:lvl>
    <w:lvl w:ilvl="6">
      <w:start w:val="1"/>
      <w:numFmt w:val="decimal"/>
      <w:lvlText w:val="%7."/>
      <w:lvlJc w:val="left"/>
      <w:pPr>
        <w:tabs>
          <w:tab w:val="num" w:pos="0"/>
        </w:tabs>
        <w:ind w:left="5304" w:hanging="360"/>
      </w:pPr>
      <w:rPr/>
    </w:lvl>
    <w:lvl w:ilvl="7">
      <w:start w:val="1"/>
      <w:numFmt w:val="lowerLetter"/>
      <w:lvlText w:val="%8."/>
      <w:lvlJc w:val="left"/>
      <w:pPr>
        <w:tabs>
          <w:tab w:val="num" w:pos="0"/>
        </w:tabs>
        <w:ind w:left="6024" w:hanging="360"/>
      </w:pPr>
      <w:rPr/>
    </w:lvl>
    <w:lvl w:ilvl="8">
      <w:start w:val="1"/>
      <w:numFmt w:val="lowerRoman"/>
      <w:lvlText w:val="%9."/>
      <w:lvlJc w:val="right"/>
      <w:pPr>
        <w:tabs>
          <w:tab w:val="num" w:pos="0"/>
        </w:tabs>
        <w:ind w:left="6744"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672bd"/>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2"/>
    <w:qFormat/>
    <w:rsid w:val="007672bd"/>
    <w:pPr>
      <w:keepNext w:val="true"/>
      <w:jc w:val="both"/>
      <w:outlineLvl w:val="0"/>
    </w:pPr>
    <w:rPr>
      <w:b/>
      <w:sz w:val="28"/>
    </w:rPr>
  </w:style>
  <w:style w:type="paragraph" w:styleId="Heading2">
    <w:name w:val="Heading 2"/>
    <w:basedOn w:val="Normal"/>
    <w:next w:val="Normal"/>
    <w:qFormat/>
    <w:rsid w:val="007672bd"/>
    <w:pPr>
      <w:keepNext w:val="true"/>
      <w:jc w:val="center"/>
      <w:outlineLvl w:val="1"/>
    </w:pPr>
    <w:rPr>
      <w:sz w:val="24"/>
    </w:rPr>
  </w:style>
  <w:style w:type="paragraph" w:styleId="Heading3">
    <w:name w:val="Heading 3"/>
    <w:basedOn w:val="Normal"/>
    <w:next w:val="Normal"/>
    <w:qFormat/>
    <w:rsid w:val="007672bd"/>
    <w:pPr>
      <w:keepNext w:val="true"/>
      <w:jc w:val="both"/>
      <w:outlineLvl w:val="2"/>
    </w:pPr>
    <w:rPr>
      <w:sz w:val="24"/>
    </w:rPr>
  </w:style>
  <w:style w:type="paragraph" w:styleId="Heading4">
    <w:name w:val="Heading 4"/>
    <w:basedOn w:val="Normal"/>
    <w:next w:val="Normal"/>
    <w:qFormat/>
    <w:rsid w:val="007672bd"/>
    <w:pPr>
      <w:keepNext w:val="true"/>
      <w:outlineLvl w:val="3"/>
    </w:pPr>
    <w:rPr>
      <w:sz w:val="24"/>
    </w:rPr>
  </w:style>
  <w:style w:type="paragraph" w:styleId="Heading5">
    <w:name w:val="Heading 5"/>
    <w:basedOn w:val="Normal"/>
    <w:next w:val="Normal"/>
    <w:qFormat/>
    <w:rsid w:val="007672bd"/>
    <w:pPr>
      <w:keepNext w:val="true"/>
      <w:ind w:left="5387"/>
      <w:jc w:val="both"/>
      <w:outlineLvl w:val="4"/>
    </w:pPr>
    <w:rPr>
      <w:sz w:val="24"/>
    </w:rPr>
  </w:style>
  <w:style w:type="paragraph" w:styleId="Heading6">
    <w:name w:val="Heading 6"/>
    <w:basedOn w:val="Normal"/>
    <w:next w:val="Normal"/>
    <w:qFormat/>
    <w:rsid w:val="007672bd"/>
    <w:pPr>
      <w:keepNext w:val="true"/>
      <w:jc w:val="center"/>
      <w:outlineLvl w:val="5"/>
    </w:pPr>
    <w:rPr>
      <w:b/>
      <w:sz w:val="24"/>
    </w:rPr>
  </w:style>
  <w:style w:type="paragraph" w:styleId="Heading7">
    <w:name w:val="Heading 7"/>
    <w:basedOn w:val="Normal"/>
    <w:next w:val="Normal"/>
    <w:qFormat/>
    <w:rsid w:val="007672bd"/>
    <w:pPr>
      <w:keepNext w:val="true"/>
      <w:ind w:left="-284"/>
      <w:jc w:val="both"/>
      <w:outlineLvl w:val="6"/>
    </w:pPr>
    <w:rPr>
      <w:sz w:val="24"/>
    </w:rPr>
  </w:style>
  <w:style w:type="character" w:styleId="DefaultParagraphFont" w:default="1">
    <w:name w:val="Default Paragraph Font"/>
    <w:uiPriority w:val="1"/>
    <w:semiHidden/>
    <w:unhideWhenUsed/>
    <w:qFormat/>
    <w:rPr/>
  </w:style>
  <w:style w:type="character" w:styleId="Style7" w:customStyle="1">
    <w:name w:val="Текст выноски Знак"/>
    <w:link w:val="BalloonText"/>
    <w:uiPriority w:val="99"/>
    <w:semiHidden/>
    <w:qFormat/>
    <w:rsid w:val="00a461e8"/>
    <w:rPr>
      <w:rFonts w:ascii="Tahoma" w:hAnsi="Tahoma" w:cs="Tahoma"/>
      <w:sz w:val="16"/>
      <w:szCs w:val="16"/>
    </w:rPr>
  </w:style>
  <w:style w:type="character" w:styleId="Hyperlink">
    <w:name w:val="Hyperlink"/>
    <w:uiPriority w:val="99"/>
    <w:unhideWhenUsed/>
    <w:rsid w:val="00743468"/>
    <w:rPr>
      <w:color w:val="0000FF"/>
      <w:u w:val="single"/>
    </w:rPr>
  </w:style>
  <w:style w:type="character" w:styleId="1" w:customStyle="1">
    <w:name w:val="Стиль1 Знак"/>
    <w:link w:val="13"/>
    <w:qFormat/>
    <w:rsid w:val="00b5536f"/>
    <w:rPr>
      <w:sz w:val="24"/>
      <w:szCs w:val="24"/>
    </w:rPr>
  </w:style>
  <w:style w:type="character" w:styleId="Strong">
    <w:name w:val="Strong"/>
    <w:uiPriority w:val="22"/>
    <w:qFormat/>
    <w:rsid w:val="00e418ac"/>
    <w:rPr>
      <w:b/>
      <w:bCs/>
    </w:rPr>
  </w:style>
  <w:style w:type="character" w:styleId="Text" w:customStyle="1">
    <w:name w:val="text"/>
    <w:basedOn w:val="DefaultParagraphFont"/>
    <w:qFormat/>
    <w:rsid w:val="00a579f1"/>
    <w:rPr/>
  </w:style>
  <w:style w:type="character" w:styleId="CharChar" w:customStyle="1">
    <w:name w:val="Обычный Char Char"/>
    <w:link w:val="14"/>
    <w:qFormat/>
    <w:locked/>
    <w:rsid w:val="00411c8f"/>
    <w:rPr>
      <w:sz w:val="24"/>
      <w:lang w:bidi="ar-SA"/>
    </w:rPr>
  </w:style>
  <w:style w:type="character" w:styleId="11" w:customStyle="1">
    <w:name w:val="Основной текст1"/>
    <w:qFormat/>
    <w:rsid w:val="000a3983"/>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90pt" w:customStyle="1">
    <w:name w:val="Основной текст (9) + Интервал 0 pt"/>
    <w:qFormat/>
    <w:rsid w:val="000a3983"/>
    <w:rPr>
      <w:rFonts w:ascii="Times New Roman" w:hAnsi="Times New Roman" w:eastAsia="Times New Roman" w:cs="Times New Roman"/>
      <w:b w:val="false"/>
      <w:bCs w:val="false"/>
      <w:i w:val="false"/>
      <w:iCs w:val="false"/>
      <w:caps w:val="false"/>
      <w:smallCaps w:val="false"/>
      <w:strike w:val="false"/>
      <w:dstrike w:val="false"/>
      <w:spacing w:val="10"/>
      <w:sz w:val="22"/>
      <w:szCs w:val="22"/>
    </w:rPr>
  </w:style>
  <w:style w:type="character" w:styleId="9" w:customStyle="1">
    <w:name w:val="Основной текст (9)"/>
    <w:qFormat/>
    <w:rsid w:val="000a3983"/>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Style8" w:customStyle="1">
    <w:name w:val="Основной текст_"/>
    <w:qFormat/>
    <w:rsid w:val="00d45051"/>
    <w:rPr>
      <w:rFonts w:ascii="Times New Roman" w:hAnsi="Times New Roman"/>
      <w:sz w:val="21"/>
      <w:szCs w:val="21"/>
      <w:shd w:fill="FFFFFF" w:val="clear"/>
    </w:rPr>
  </w:style>
  <w:style w:type="character" w:styleId="2" w:customStyle="1">
    <w:name w:val="Основной текст (2)_"/>
    <w:link w:val="21"/>
    <w:qFormat/>
    <w:rsid w:val="00d45051"/>
    <w:rPr>
      <w:spacing w:val="10"/>
      <w:sz w:val="21"/>
      <w:szCs w:val="21"/>
      <w:shd w:fill="FFFFFF" w:val="clear"/>
    </w:rPr>
  </w:style>
  <w:style w:type="character" w:styleId="Style9" w:customStyle="1">
    <w:name w:val="Без интервала Знак"/>
    <w:link w:val="NoSpacing"/>
    <w:uiPriority w:val="1"/>
    <w:qFormat/>
    <w:locked/>
    <w:rsid w:val="00c95a42"/>
    <w:rPr>
      <w:lang w:eastAsia="ar-SA"/>
    </w:rPr>
  </w:style>
  <w:style w:type="character" w:styleId="611pt" w:customStyle="1">
    <w:name w:val="Основной текст (6) + 11 pt"/>
    <w:qFormat/>
    <w:rsid w:val="005b62eb"/>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12" w:customStyle="1">
    <w:name w:val="Заголовок 1 Знак"/>
    <w:qFormat/>
    <w:rsid w:val="00e92a29"/>
    <w:rPr>
      <w:b/>
      <w:sz w:val="28"/>
    </w:rPr>
  </w:style>
  <w:style w:type="character" w:styleId="ConsPlusNormal" w:customStyle="1">
    <w:name w:val="ConsPlusNormal Знак"/>
    <w:link w:val="ConsPlusNormal1"/>
    <w:uiPriority w:val="99"/>
    <w:qFormat/>
    <w:locked/>
    <w:rsid w:val="00e71d01"/>
    <w:rPr>
      <w:rFonts w:ascii="Arial" w:hAnsi="Arial" w:eastAsia="Arial" w:cs="Arial"/>
      <w:lang w:eastAsia="ar-SA" w:bidi="ar-SA"/>
    </w:rPr>
  </w:style>
  <w:style w:type="character" w:styleId="Cardmaininfotitle" w:customStyle="1">
    <w:name w:val="cardmaininfo__title"/>
    <w:qFormat/>
    <w:rsid w:val="006b51f2"/>
    <w:rPr/>
  </w:style>
  <w:style w:type="character" w:styleId="Lots-wrap-contentbodyval" w:customStyle="1">
    <w:name w:val="lots-wrap-content__body__val"/>
    <w:qFormat/>
    <w:rsid w:val="006b51f2"/>
    <w:rPr/>
  </w:style>
  <w:style w:type="paragraph" w:styleId="Style1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rsid w:val="007672bd"/>
    <w:pPr>
      <w:jc w:val="both"/>
    </w:pPr>
    <w:rPr>
      <w:sz w:val="24"/>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1">
    <w:name w:val="Указатель"/>
    <w:basedOn w:val="Normal"/>
    <w:qFormat/>
    <w:pPr>
      <w:suppressLineNumbers/>
    </w:pPr>
    <w:rPr>
      <w:rFonts w:ascii="PT Astra Serif" w:hAnsi="PT Astra Serif" w:cs="FreeSans"/>
    </w:rPr>
  </w:style>
  <w:style w:type="paragraph" w:styleId="Title">
    <w:name w:val="Title"/>
    <w:basedOn w:val="Normal"/>
    <w:qFormat/>
    <w:rsid w:val="007672bd"/>
    <w:pPr>
      <w:jc w:val="center"/>
    </w:pPr>
    <w:rPr>
      <w:b/>
      <w:sz w:val="24"/>
    </w:rPr>
  </w:style>
  <w:style w:type="paragraph" w:styleId="BodyTextIndent">
    <w:name w:val="Body Text Indent"/>
    <w:basedOn w:val="Normal"/>
    <w:rsid w:val="007672bd"/>
    <w:pPr>
      <w:ind w:firstLine="426"/>
      <w:jc w:val="both"/>
    </w:pPr>
    <w:rPr>
      <w:sz w:val="24"/>
    </w:rPr>
  </w:style>
  <w:style w:type="paragraph" w:styleId="BodyTextIndent3">
    <w:name w:val="Body Text Indent 3"/>
    <w:basedOn w:val="Normal"/>
    <w:qFormat/>
    <w:rsid w:val="007672bd"/>
    <w:pPr>
      <w:ind w:left="4536"/>
    </w:pPr>
    <w:rPr>
      <w:sz w:val="24"/>
    </w:rPr>
  </w:style>
  <w:style w:type="paragraph" w:styleId="BalloonText">
    <w:name w:val="Balloon Text"/>
    <w:basedOn w:val="Normal"/>
    <w:link w:val="Style7"/>
    <w:uiPriority w:val="99"/>
    <w:semiHidden/>
    <w:unhideWhenUsed/>
    <w:qFormat/>
    <w:rsid w:val="00a461e8"/>
    <w:pPr/>
    <w:rPr>
      <w:rFonts w:ascii="Tahoma" w:hAnsi="Tahoma"/>
      <w:sz w:val="16"/>
      <w:szCs w:val="16"/>
    </w:rPr>
  </w:style>
  <w:style w:type="paragraph" w:styleId="NoSpacing">
    <w:name w:val="No Spacing"/>
    <w:basedOn w:val="Normal"/>
    <w:link w:val="Style9"/>
    <w:uiPriority w:val="1"/>
    <w:qFormat/>
    <w:rsid w:val="00121f80"/>
    <w:pPr>
      <w:suppressAutoHyphens w:val="true"/>
    </w:pPr>
    <w:rPr>
      <w:lang w:eastAsia="ar-SA"/>
    </w:rPr>
  </w:style>
  <w:style w:type="paragraph" w:styleId="13" w:customStyle="1">
    <w:name w:val="Стиль1"/>
    <w:basedOn w:val="BodyText"/>
    <w:link w:val="1"/>
    <w:qFormat/>
    <w:rsid w:val="00b5536f"/>
    <w:pPr>
      <w:spacing w:before="0" w:after="120"/>
      <w:jc w:val="left"/>
    </w:pPr>
    <w:rPr>
      <w:szCs w:val="24"/>
    </w:rPr>
  </w:style>
  <w:style w:type="paragraph" w:styleId="NormalWeb">
    <w:name w:val="Normal (Web)"/>
    <w:basedOn w:val="Normal"/>
    <w:qFormat/>
    <w:rsid w:val="006d252f"/>
    <w:pPr>
      <w:spacing w:beforeAutospacing="1" w:afterAutospacing="1"/>
    </w:pPr>
    <w:rPr>
      <w:sz w:val="24"/>
      <w:szCs w:val="24"/>
    </w:rPr>
  </w:style>
  <w:style w:type="paragraph" w:styleId="14" w:customStyle="1">
    <w:name w:val="Обычный1"/>
    <w:link w:val="CharChar"/>
    <w:qFormat/>
    <w:rsid w:val="00411c8f"/>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ListParagraph">
    <w:name w:val="List Paragraph"/>
    <w:basedOn w:val="Normal"/>
    <w:uiPriority w:val="34"/>
    <w:qFormat/>
    <w:rsid w:val="004620a3"/>
    <w:pPr>
      <w:spacing w:lineRule="auto" w:line="276" w:before="0" w:after="200"/>
      <w:ind w:left="720"/>
      <w:contextualSpacing/>
    </w:pPr>
    <w:rPr>
      <w:rFonts w:ascii="Calibri" w:hAnsi="Calibri"/>
      <w:sz w:val="22"/>
      <w:szCs w:val="22"/>
    </w:rPr>
  </w:style>
  <w:style w:type="paragraph" w:styleId="21" w:customStyle="1">
    <w:name w:val="Основной текст (2)"/>
    <w:basedOn w:val="Normal"/>
    <w:link w:val="2"/>
    <w:qFormat/>
    <w:rsid w:val="00d45051"/>
    <w:pPr>
      <w:shd w:val="clear" w:color="auto" w:fill="FFFFFF"/>
      <w:spacing w:lineRule="exact" w:line="274"/>
    </w:pPr>
    <w:rPr>
      <w:spacing w:val="10"/>
      <w:sz w:val="21"/>
      <w:szCs w:val="21"/>
    </w:rPr>
  </w:style>
  <w:style w:type="paragraph" w:styleId="211" w:customStyle="1">
    <w:name w:val="Основной текст с отступом 21"/>
    <w:basedOn w:val="Normal"/>
    <w:qFormat/>
    <w:rsid w:val="007a1e6a"/>
    <w:pPr>
      <w:suppressAutoHyphens w:val="true"/>
      <w:ind w:firstLine="567"/>
    </w:pPr>
    <w:rPr>
      <w:sz w:val="28"/>
      <w:lang w:eastAsia="ar-SA"/>
    </w:rPr>
  </w:style>
  <w:style w:type="paragraph" w:styleId="ConsPlusNormal1" w:customStyle="1">
    <w:name w:val="ConsPlusNormal"/>
    <w:link w:val="ConsPlusNormal"/>
    <w:uiPriority w:val="99"/>
    <w:qFormat/>
    <w:rsid w:val="00e71d01"/>
    <w:pPr>
      <w:widowControl w:val="false"/>
      <w:suppressAutoHyphens w:val="true"/>
      <w:bidi w:val="0"/>
      <w:spacing w:before="0" w:after="0"/>
      <w:ind w:firstLine="720"/>
      <w:jc w:val="left"/>
    </w:pPr>
    <w:rPr>
      <w:rFonts w:ascii="Arial" w:hAnsi="Arial" w:eastAsia="Arial" w:cs="Arial"/>
      <w:color w:val="auto"/>
      <w:kern w:val="0"/>
      <w:sz w:val="20"/>
      <w:szCs w:val="20"/>
      <w:lang w:eastAsia="ar-SA" w:val="ru-RU" w:bidi="ar-SA"/>
    </w:rPr>
  </w:style>
  <w:style w:type="paragraph" w:styleId="Style1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6">
    <w:name w:val="Table Grid"/>
    <w:basedOn w:val="a1"/>
    <w:uiPriority w:val="39"/>
    <w:rsid w:val="00d01e0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59"/>
    <w:rsid w:val="00a579f1"/>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65972&amp;dst=100483"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386C5-C0E2-4B0B-B107-FCD00006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LibreOffice/24.2.3.2$Linux_X86_64 LibreOffice_project/420$Build-2</Application>
  <AppVersion>15.0000</AppVersion>
  <Pages>6</Pages>
  <Words>1651</Words>
  <Characters>11664</Characters>
  <CharactersWithSpaces>13753</CharactersWithSpaces>
  <Paragraphs>126</Paragraphs>
  <Company>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2026-08-12T05:45:00Z</dcterms:created>
  <dc:creator>1</dc:creator>
  <dc:description/>
  <dc:language>ru-RU</dc:language>
  <cp:lastModifiedBy/>
  <cp:lastPrinted>2021-02-19T07:39:00Z</cp:lastPrinted>
  <dcterms:modified xsi:type="dcterms:W3CDTF">2026-08-12T11:10:55Z</dcterms:modified>
  <cp:revision>3</cp:revision>
  <dc:subject/>
  <dc:title>договор поставки № ______/05</dc:title>
</cp:coreProperties>
</file>

<file path=docProps/custom.xml><?xml version="1.0" encoding="utf-8"?>
<Properties xmlns="http://schemas.openxmlformats.org/officeDocument/2006/custom-properties" xmlns:vt="http://schemas.openxmlformats.org/officeDocument/2006/docPropsVTypes"/>
</file>