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9" w:rsidRPr="00D35AC8" w:rsidRDefault="00254339" w:rsidP="00254339">
      <w:pPr>
        <w:pStyle w:val="23"/>
        <w:shd w:val="clear" w:color="auto" w:fill="auto"/>
        <w:spacing w:after="0" w:line="240" w:lineRule="auto"/>
        <w:ind w:right="23"/>
        <w:jc w:val="center"/>
        <w:rPr>
          <w:rStyle w:val="24"/>
          <w:rFonts w:ascii="XO Thames" w:hAnsi="XO Thames"/>
          <w:b/>
          <w:sz w:val="24"/>
          <w:szCs w:val="24"/>
        </w:rPr>
      </w:pPr>
      <w:r w:rsidRPr="00D35AC8">
        <w:rPr>
          <w:rStyle w:val="24"/>
          <w:rFonts w:ascii="XO Thames" w:hAnsi="XO Thames"/>
          <w:sz w:val="24"/>
          <w:szCs w:val="24"/>
        </w:rPr>
        <w:t>ТЕХНИЧЕСКОЕ ЗАДАНИЕ</w:t>
      </w:r>
    </w:p>
    <w:p w:rsidR="00254339" w:rsidRPr="00D35AC8" w:rsidRDefault="00254339" w:rsidP="00254339">
      <w:pPr>
        <w:pStyle w:val="23"/>
        <w:spacing w:after="0" w:line="240" w:lineRule="auto"/>
        <w:ind w:right="23"/>
        <w:jc w:val="center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на поставку тонер-картриджей</w:t>
      </w:r>
      <w:r w:rsidRPr="00D35AC8">
        <w:rPr>
          <w:rFonts w:ascii="XO Thames" w:hAnsi="XO Thames"/>
          <w:sz w:val="24"/>
          <w:szCs w:val="24"/>
        </w:rPr>
        <w:br/>
        <w:t>для полиграфического оборудования  ФКУ НИИИТ ФСИН России</w:t>
      </w:r>
      <w:r w:rsidRPr="00D35AC8">
        <w:rPr>
          <w:rFonts w:ascii="XO Thames" w:hAnsi="XO Thames"/>
          <w:sz w:val="24"/>
          <w:szCs w:val="24"/>
        </w:rPr>
        <w:br/>
      </w:r>
      <w:r w:rsidRPr="00D35AC8">
        <w:rPr>
          <w:rFonts w:ascii="XO Thames" w:hAnsi="XO Thames"/>
          <w:b w:val="0"/>
          <w:bCs w:val="0"/>
          <w:sz w:val="24"/>
          <w:szCs w:val="24"/>
        </w:rPr>
        <w:t>(для государственных нужд)</w:t>
      </w:r>
      <w:r w:rsidRPr="00D35AC8">
        <w:rPr>
          <w:rFonts w:ascii="XO Thames" w:hAnsi="XO Thames"/>
          <w:sz w:val="24"/>
          <w:szCs w:val="24"/>
        </w:rPr>
        <w:br/>
      </w:r>
    </w:p>
    <w:p w:rsidR="00254339" w:rsidRPr="00D35AC8" w:rsidRDefault="00254339" w:rsidP="00254339">
      <w:pPr>
        <w:pStyle w:val="23"/>
        <w:spacing w:after="0" w:line="240" w:lineRule="auto"/>
        <w:ind w:right="23"/>
        <w:jc w:val="center"/>
        <w:rPr>
          <w:rFonts w:ascii="XO Thames" w:hAnsi="XO Thames"/>
          <w:sz w:val="24"/>
          <w:szCs w:val="24"/>
        </w:rPr>
      </w:pPr>
    </w:p>
    <w:p w:rsidR="00254339" w:rsidRPr="00D35AC8" w:rsidRDefault="00254339" w:rsidP="00254339">
      <w:pPr>
        <w:pStyle w:val="23"/>
        <w:shd w:val="clear" w:color="auto" w:fill="auto"/>
        <w:tabs>
          <w:tab w:val="left" w:pos="630"/>
        </w:tabs>
        <w:spacing w:after="0" w:line="240" w:lineRule="auto"/>
        <w:ind w:left="709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 Наименование и описание объекта закупки:</w:t>
      </w:r>
    </w:p>
    <w:p w:rsidR="00254339" w:rsidRPr="00D35AC8" w:rsidRDefault="00254339" w:rsidP="00C358E9">
      <w:pPr>
        <w:pStyle w:val="30"/>
        <w:tabs>
          <w:tab w:val="left" w:pos="0"/>
        </w:tabs>
        <w:spacing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1.1. Поставка тонер-картриджей для полиграфического оборудования  </w:t>
      </w:r>
      <w:r w:rsidR="00C358E9">
        <w:rPr>
          <w:rFonts w:ascii="XO Thames" w:hAnsi="XO Thames"/>
          <w:sz w:val="24"/>
          <w:szCs w:val="24"/>
        </w:rPr>
        <w:t xml:space="preserve">                         </w:t>
      </w:r>
      <w:r w:rsidRPr="00D35AC8">
        <w:rPr>
          <w:rFonts w:ascii="XO Thames" w:hAnsi="XO Thames"/>
          <w:sz w:val="24"/>
          <w:szCs w:val="24"/>
        </w:rPr>
        <w:t>ФКУ НИИИТ  ФСИН России (далее - товар):</w:t>
      </w: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5126"/>
        <w:gridCol w:w="1614"/>
        <w:gridCol w:w="1368"/>
        <w:gridCol w:w="1025"/>
      </w:tblGrid>
      <w:tr w:rsidR="00254339" w:rsidRPr="00D35AC8" w:rsidTr="00B26885">
        <w:tc>
          <w:tcPr>
            <w:tcW w:w="461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№</w:t>
            </w:r>
          </w:p>
        </w:tc>
        <w:tc>
          <w:tcPr>
            <w:tcW w:w="5126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614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Ресурс не менее, страниц формата А</w:t>
            </w:r>
            <w:proofErr w:type="gramStart"/>
            <w:r w:rsidRPr="00D35AC8">
              <w:rPr>
                <w:rFonts w:ascii="XO Thames" w:hAnsi="XO Thames"/>
                <w:b/>
              </w:rPr>
              <w:t>4</w:t>
            </w:r>
            <w:proofErr w:type="gramEnd"/>
            <w:r w:rsidRPr="00D35AC8">
              <w:rPr>
                <w:rFonts w:ascii="XO Thames" w:hAnsi="XO Thames"/>
                <w:b/>
              </w:rPr>
              <w:t xml:space="preserve"> при стандартном 5 % заполнении</w:t>
            </w:r>
          </w:p>
        </w:tc>
        <w:tc>
          <w:tcPr>
            <w:tcW w:w="1368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Единица  измерения</w:t>
            </w:r>
          </w:p>
        </w:tc>
        <w:tc>
          <w:tcPr>
            <w:tcW w:w="1025" w:type="dxa"/>
            <w:vAlign w:val="center"/>
          </w:tcPr>
          <w:p w:rsidR="00254339" w:rsidRPr="00D35AC8" w:rsidRDefault="00254339" w:rsidP="00B26885">
            <w:pPr>
              <w:spacing w:line="216" w:lineRule="auto"/>
              <w:jc w:val="center"/>
              <w:rPr>
                <w:rFonts w:ascii="XO Thames" w:hAnsi="XO Thames"/>
                <w:b/>
              </w:rPr>
            </w:pPr>
            <w:r w:rsidRPr="00D35AC8">
              <w:rPr>
                <w:rFonts w:ascii="XO Thames" w:hAnsi="XO Thames"/>
                <w:b/>
              </w:rPr>
              <w:t>Кол-во</w:t>
            </w:r>
          </w:p>
        </w:tc>
      </w:tr>
      <w:tr w:rsidR="00254339" w:rsidRPr="00D35AC8" w:rsidTr="00E50860">
        <w:trPr>
          <w:trHeight w:val="1134"/>
        </w:trPr>
        <w:tc>
          <w:tcPr>
            <w:tcW w:w="461" w:type="dxa"/>
            <w:vAlign w:val="center"/>
          </w:tcPr>
          <w:p w:rsidR="00254339" w:rsidRPr="00D35AC8" w:rsidRDefault="00E50860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5126" w:type="dxa"/>
            <w:vAlign w:val="center"/>
          </w:tcPr>
          <w:p w:rsidR="00254339" w:rsidRPr="00E50860" w:rsidRDefault="00254339" w:rsidP="00B26885">
            <w:pPr>
              <w:spacing w:line="216" w:lineRule="auto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 xml:space="preserve">Тонер-картридж для </w:t>
            </w:r>
            <w:r w:rsidRPr="00E50860">
              <w:rPr>
                <w:rFonts w:ascii="XO Thames" w:hAnsi="XO Thames"/>
                <w:lang w:val="en-US"/>
              </w:rPr>
              <w:t>Xerox</w:t>
            </w:r>
            <w:r w:rsidRPr="00E50860">
              <w:rPr>
                <w:rFonts w:ascii="XO Thames" w:hAnsi="XO Thames"/>
              </w:rPr>
              <w:t xml:space="preserve"> </w:t>
            </w:r>
            <w:r w:rsidRPr="00E50860">
              <w:rPr>
                <w:rFonts w:ascii="XO Thames" w:hAnsi="XO Thames"/>
                <w:lang w:val="en-US"/>
              </w:rPr>
              <w:t>Versant</w:t>
            </w:r>
            <w:r w:rsidRPr="00E50860">
              <w:rPr>
                <w:rFonts w:ascii="XO Thames" w:hAnsi="XO Thames"/>
              </w:rPr>
              <w:t xml:space="preserve"> 180 </w:t>
            </w:r>
            <w:r w:rsidRPr="00E50860">
              <w:rPr>
                <w:rFonts w:ascii="XO Thames" w:hAnsi="XO Thames"/>
                <w:lang w:val="en-US"/>
              </w:rPr>
              <w:t>Press</w:t>
            </w:r>
            <w:r w:rsidRPr="00E50860">
              <w:rPr>
                <w:rFonts w:ascii="XO Thames" w:hAnsi="XO Thames"/>
              </w:rPr>
              <w:t xml:space="preserve"> 006</w:t>
            </w:r>
            <w:r w:rsidRPr="00E50860">
              <w:rPr>
                <w:rFonts w:ascii="XO Thames" w:hAnsi="XO Thames"/>
                <w:lang w:val="en-US"/>
              </w:rPr>
              <w:t>R</w:t>
            </w:r>
            <w:r w:rsidRPr="00E50860">
              <w:rPr>
                <w:rFonts w:ascii="XO Thames" w:hAnsi="XO Thames"/>
              </w:rPr>
              <w:t>01647 (голубой)</w:t>
            </w:r>
          </w:p>
          <w:p w:rsidR="00F83384" w:rsidRPr="00E50860" w:rsidRDefault="00F83384" w:rsidP="00B26885">
            <w:pPr>
              <w:spacing w:line="216" w:lineRule="auto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  <w:sz w:val="20"/>
                <w:szCs w:val="20"/>
              </w:rPr>
              <w:t xml:space="preserve">КТРУ </w:t>
            </w:r>
            <w:r w:rsidRPr="00E5086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20.59.12.120-00000002</w:t>
            </w:r>
          </w:p>
        </w:tc>
        <w:tc>
          <w:tcPr>
            <w:tcW w:w="1614" w:type="dxa"/>
            <w:vAlign w:val="center"/>
          </w:tcPr>
          <w:p w:rsidR="00254339" w:rsidRPr="00E50860" w:rsidRDefault="00254339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15 000</w:t>
            </w:r>
          </w:p>
        </w:tc>
        <w:tc>
          <w:tcPr>
            <w:tcW w:w="1368" w:type="dxa"/>
            <w:vAlign w:val="center"/>
          </w:tcPr>
          <w:p w:rsidR="00254339" w:rsidRPr="00E50860" w:rsidRDefault="00254339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шт.</w:t>
            </w:r>
          </w:p>
        </w:tc>
        <w:tc>
          <w:tcPr>
            <w:tcW w:w="1025" w:type="dxa"/>
            <w:vAlign w:val="center"/>
          </w:tcPr>
          <w:p w:rsidR="00D35AC8" w:rsidRPr="00E50860" w:rsidRDefault="00D35AC8" w:rsidP="00B26885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</w:p>
          <w:p w:rsidR="00254339" w:rsidRPr="00E50860" w:rsidRDefault="00C949B2" w:rsidP="00B26885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11</w:t>
            </w:r>
          </w:p>
          <w:p w:rsidR="00D35AC8" w:rsidRPr="00E50860" w:rsidRDefault="00D35AC8" w:rsidP="00B26885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</w:p>
        </w:tc>
      </w:tr>
      <w:tr w:rsidR="00254339" w:rsidRPr="00D35AC8" w:rsidTr="00B26885">
        <w:tc>
          <w:tcPr>
            <w:tcW w:w="461" w:type="dxa"/>
            <w:vAlign w:val="center"/>
          </w:tcPr>
          <w:p w:rsidR="00254339" w:rsidRPr="00D35AC8" w:rsidRDefault="00B26885" w:rsidP="00E50860">
            <w:pPr>
              <w:spacing w:line="216" w:lineRule="auto"/>
              <w:rPr>
                <w:rFonts w:ascii="XO Thames" w:hAnsi="XO Thames"/>
              </w:rPr>
            </w:pPr>
            <w:r>
              <w:br w:type="page"/>
            </w:r>
            <w:r w:rsidR="00E50860">
              <w:rPr>
                <w:rFonts w:ascii="XO Thames" w:hAnsi="XO Thames"/>
              </w:rPr>
              <w:t>2</w:t>
            </w:r>
          </w:p>
        </w:tc>
        <w:tc>
          <w:tcPr>
            <w:tcW w:w="5126" w:type="dxa"/>
            <w:vAlign w:val="center"/>
          </w:tcPr>
          <w:p w:rsidR="00973665" w:rsidRDefault="00254339" w:rsidP="00973665">
            <w:pPr>
              <w:spacing w:line="216" w:lineRule="auto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 xml:space="preserve">Тонер-картридж для </w:t>
            </w:r>
            <w:r w:rsidRPr="00E50860">
              <w:rPr>
                <w:rFonts w:ascii="XO Thames" w:hAnsi="XO Thames"/>
                <w:lang w:val="en-US"/>
              </w:rPr>
              <w:t>Xerox</w:t>
            </w:r>
            <w:r w:rsidRPr="00E50860">
              <w:rPr>
                <w:rFonts w:ascii="XO Thames" w:hAnsi="XO Thames"/>
              </w:rPr>
              <w:t xml:space="preserve"> </w:t>
            </w:r>
            <w:r w:rsidRPr="00E50860">
              <w:rPr>
                <w:rFonts w:ascii="XO Thames" w:hAnsi="XO Thames"/>
                <w:lang w:val="en-US"/>
              </w:rPr>
              <w:t>Versant</w:t>
            </w:r>
            <w:r w:rsidRPr="00E50860">
              <w:rPr>
                <w:rFonts w:ascii="XO Thames" w:hAnsi="XO Thames"/>
              </w:rPr>
              <w:t xml:space="preserve"> 180 </w:t>
            </w:r>
            <w:r w:rsidRPr="00E50860">
              <w:rPr>
                <w:rFonts w:ascii="XO Thames" w:hAnsi="XO Thames"/>
                <w:lang w:val="en-US"/>
              </w:rPr>
              <w:t>Press</w:t>
            </w:r>
            <w:r w:rsidRPr="00E50860">
              <w:rPr>
                <w:rFonts w:ascii="XO Thames" w:hAnsi="XO Thames"/>
              </w:rPr>
              <w:t xml:space="preserve"> 006</w:t>
            </w:r>
            <w:r w:rsidRPr="00E50860">
              <w:rPr>
                <w:rFonts w:ascii="XO Thames" w:hAnsi="XO Thames"/>
                <w:lang w:val="en-US"/>
              </w:rPr>
              <w:t>R</w:t>
            </w:r>
            <w:r w:rsidRPr="00E50860">
              <w:rPr>
                <w:rFonts w:ascii="XO Thames" w:hAnsi="XO Thames"/>
              </w:rPr>
              <w:t>01648 (пурпурный)</w:t>
            </w:r>
          </w:p>
          <w:p w:rsidR="00F83384" w:rsidRPr="00E50860" w:rsidRDefault="00F83384" w:rsidP="00973665">
            <w:pPr>
              <w:spacing w:line="216" w:lineRule="auto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  <w:sz w:val="20"/>
                <w:szCs w:val="20"/>
              </w:rPr>
              <w:t xml:space="preserve">КТРУ </w:t>
            </w:r>
            <w:r w:rsidRPr="00E5086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20.59.12.120-00000002</w:t>
            </w:r>
          </w:p>
        </w:tc>
        <w:tc>
          <w:tcPr>
            <w:tcW w:w="1614" w:type="dxa"/>
            <w:vAlign w:val="center"/>
          </w:tcPr>
          <w:p w:rsidR="00254339" w:rsidRPr="00E50860" w:rsidRDefault="00254339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15</w:t>
            </w:r>
            <w:r w:rsidR="00B26885" w:rsidRPr="00E50860">
              <w:rPr>
                <w:rFonts w:ascii="XO Thames" w:hAnsi="XO Thames"/>
              </w:rPr>
              <w:t> </w:t>
            </w:r>
            <w:r w:rsidRPr="00E50860">
              <w:rPr>
                <w:rFonts w:ascii="XO Thames" w:hAnsi="XO Thames"/>
              </w:rPr>
              <w:t>000</w:t>
            </w:r>
          </w:p>
        </w:tc>
        <w:tc>
          <w:tcPr>
            <w:tcW w:w="1368" w:type="dxa"/>
            <w:vAlign w:val="center"/>
          </w:tcPr>
          <w:p w:rsidR="00254339" w:rsidRPr="00E50860" w:rsidRDefault="00254339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шт.</w:t>
            </w:r>
          </w:p>
        </w:tc>
        <w:tc>
          <w:tcPr>
            <w:tcW w:w="1025" w:type="dxa"/>
            <w:vAlign w:val="center"/>
          </w:tcPr>
          <w:p w:rsidR="00254339" w:rsidRPr="00E50860" w:rsidRDefault="00C949B2" w:rsidP="00B26885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7</w:t>
            </w:r>
          </w:p>
        </w:tc>
      </w:tr>
      <w:tr w:rsidR="00254339" w:rsidRPr="00D35AC8" w:rsidTr="00B26885">
        <w:tc>
          <w:tcPr>
            <w:tcW w:w="461" w:type="dxa"/>
            <w:vAlign w:val="center"/>
          </w:tcPr>
          <w:p w:rsidR="00254339" w:rsidRPr="00D35AC8" w:rsidRDefault="00E50860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5126" w:type="dxa"/>
            <w:vAlign w:val="center"/>
          </w:tcPr>
          <w:p w:rsidR="00973665" w:rsidRDefault="00254339" w:rsidP="00973665">
            <w:pPr>
              <w:spacing w:line="216" w:lineRule="auto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 xml:space="preserve">Тонер-картридж для </w:t>
            </w:r>
            <w:r w:rsidRPr="00E50860">
              <w:rPr>
                <w:rFonts w:ascii="XO Thames" w:hAnsi="XO Thames"/>
                <w:lang w:val="en-US"/>
              </w:rPr>
              <w:t>Xerox</w:t>
            </w:r>
            <w:r w:rsidRPr="00E50860">
              <w:rPr>
                <w:rFonts w:ascii="XO Thames" w:hAnsi="XO Thames"/>
              </w:rPr>
              <w:t xml:space="preserve"> </w:t>
            </w:r>
            <w:r w:rsidRPr="00E50860">
              <w:rPr>
                <w:rFonts w:ascii="XO Thames" w:hAnsi="XO Thames"/>
                <w:lang w:val="en-US"/>
              </w:rPr>
              <w:t>Versant</w:t>
            </w:r>
            <w:r w:rsidRPr="00E50860">
              <w:rPr>
                <w:rFonts w:ascii="XO Thames" w:hAnsi="XO Thames"/>
              </w:rPr>
              <w:t xml:space="preserve"> 180 </w:t>
            </w:r>
            <w:r w:rsidRPr="00E50860">
              <w:rPr>
                <w:rFonts w:ascii="XO Thames" w:hAnsi="XO Thames"/>
                <w:lang w:val="en-US"/>
              </w:rPr>
              <w:t>Press</w:t>
            </w:r>
            <w:r w:rsidRPr="00E50860">
              <w:rPr>
                <w:rFonts w:ascii="XO Thames" w:hAnsi="XO Thames"/>
              </w:rPr>
              <w:t xml:space="preserve"> 006</w:t>
            </w:r>
            <w:r w:rsidRPr="00E50860">
              <w:rPr>
                <w:rFonts w:ascii="XO Thames" w:hAnsi="XO Thames"/>
                <w:lang w:val="en-US"/>
              </w:rPr>
              <w:t>R</w:t>
            </w:r>
            <w:r w:rsidRPr="00E50860">
              <w:rPr>
                <w:rFonts w:ascii="XO Thames" w:hAnsi="XO Thames"/>
              </w:rPr>
              <w:t xml:space="preserve">01649 (желтый), </w:t>
            </w:r>
          </w:p>
          <w:p w:rsidR="00F83384" w:rsidRPr="00E50860" w:rsidRDefault="00F83384" w:rsidP="00973665">
            <w:pPr>
              <w:spacing w:line="216" w:lineRule="auto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  <w:sz w:val="20"/>
                <w:szCs w:val="20"/>
              </w:rPr>
              <w:t xml:space="preserve">КТРУ </w:t>
            </w:r>
            <w:r w:rsidRPr="00E5086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20.59.12.120-00000002</w:t>
            </w:r>
          </w:p>
        </w:tc>
        <w:tc>
          <w:tcPr>
            <w:tcW w:w="1614" w:type="dxa"/>
            <w:vAlign w:val="center"/>
          </w:tcPr>
          <w:p w:rsidR="00254339" w:rsidRPr="00E50860" w:rsidRDefault="00254339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15 000</w:t>
            </w:r>
          </w:p>
        </w:tc>
        <w:tc>
          <w:tcPr>
            <w:tcW w:w="1368" w:type="dxa"/>
            <w:vAlign w:val="center"/>
          </w:tcPr>
          <w:p w:rsidR="00254339" w:rsidRPr="00E50860" w:rsidRDefault="00254339" w:rsidP="00B26885">
            <w:pPr>
              <w:spacing w:line="216" w:lineRule="auto"/>
              <w:jc w:val="center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шт.</w:t>
            </w:r>
          </w:p>
        </w:tc>
        <w:tc>
          <w:tcPr>
            <w:tcW w:w="1025" w:type="dxa"/>
            <w:vAlign w:val="center"/>
          </w:tcPr>
          <w:p w:rsidR="00254339" w:rsidRPr="00E50860" w:rsidRDefault="00C949B2" w:rsidP="00B26885">
            <w:pPr>
              <w:spacing w:line="216" w:lineRule="auto"/>
              <w:jc w:val="center"/>
              <w:outlineLvl w:val="0"/>
              <w:rPr>
                <w:rFonts w:ascii="XO Thames" w:hAnsi="XO Thames"/>
              </w:rPr>
            </w:pPr>
            <w:r w:rsidRPr="00E50860">
              <w:rPr>
                <w:rFonts w:ascii="XO Thames" w:hAnsi="XO Thames"/>
              </w:rPr>
              <w:t>7</w:t>
            </w:r>
          </w:p>
        </w:tc>
      </w:tr>
    </w:tbl>
    <w:p w:rsidR="00254339" w:rsidRPr="00D35AC8" w:rsidRDefault="00254339" w:rsidP="00254339">
      <w:pPr>
        <w:pStyle w:val="30"/>
        <w:shd w:val="clear" w:color="auto" w:fill="auto"/>
        <w:spacing w:before="0" w:after="0" w:line="240" w:lineRule="auto"/>
        <w:ind w:firstLine="709"/>
        <w:rPr>
          <w:rFonts w:ascii="XO Thames" w:hAnsi="XO Thames"/>
          <w:b/>
          <w:sz w:val="24"/>
          <w:szCs w:val="24"/>
        </w:rPr>
      </w:pPr>
    </w:p>
    <w:p w:rsidR="00254339" w:rsidRPr="00D35AC8" w:rsidRDefault="00254339" w:rsidP="00254339">
      <w:pPr>
        <w:pStyle w:val="30"/>
        <w:shd w:val="clear" w:color="auto" w:fill="auto"/>
        <w:spacing w:before="0" w:after="0" w:line="240" w:lineRule="auto"/>
        <w:ind w:firstLine="709"/>
        <w:rPr>
          <w:rFonts w:ascii="XO Thames" w:hAnsi="XO Thames"/>
          <w:b/>
          <w:sz w:val="24"/>
          <w:szCs w:val="24"/>
        </w:rPr>
      </w:pPr>
      <w:r w:rsidRPr="00D35AC8">
        <w:rPr>
          <w:rFonts w:ascii="XO Thames" w:hAnsi="XO Thames"/>
          <w:b/>
          <w:sz w:val="24"/>
          <w:szCs w:val="24"/>
        </w:rPr>
        <w:t>1.2. Общие требования.</w:t>
      </w:r>
    </w:p>
    <w:p w:rsidR="00254339" w:rsidRPr="00D35AC8" w:rsidRDefault="00254339" w:rsidP="00254339">
      <w:pPr>
        <w:pStyle w:val="30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1.2.1. </w:t>
      </w:r>
      <w:proofErr w:type="gramStart"/>
      <w:r w:rsidRPr="00D35AC8">
        <w:rPr>
          <w:rFonts w:ascii="XO Thames" w:hAnsi="XO Thames"/>
          <w:sz w:val="24"/>
          <w:szCs w:val="24"/>
        </w:rPr>
        <w:t xml:space="preserve">Весь товар должен быть </w:t>
      </w:r>
      <w:r w:rsidRPr="00D35AC8">
        <w:rPr>
          <w:rFonts w:ascii="XO Thames" w:hAnsi="XO Thames"/>
          <w:b/>
          <w:sz w:val="24"/>
          <w:szCs w:val="24"/>
          <w:u w:val="single"/>
        </w:rPr>
        <w:t>новым</w:t>
      </w:r>
      <w:r w:rsidRPr="00D35AC8">
        <w:rPr>
          <w:rFonts w:ascii="XO Thames" w:hAnsi="XO Thames"/>
          <w:sz w:val="24"/>
          <w:szCs w:val="24"/>
        </w:rPr>
        <w:t xml:space="preserve"> (товаром, который не был в употреблении, в ремонте, в том числе, который не был восстановлен (в т.ч. перезаправлен),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1.2.2. Товар должен соответствовать требованиям, предъявляемым производителями копировально-множительной техники к оборудованию, в котором они будут использованы, должен обеспечивать качественную работу оборудования Заказчика.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1.2.3. При наличии предусмотренного конструкцией картриджа чипа на корпусе картриджа, он должен правильно идентифицироваться печатающим устройством и не создавать проблем при работе.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1.2.4. Пластмассовые элементы и металлические детали товара не должны иметь трещин, вздутий, царапин, вмятин, следов вскрытий и других дефектов, ухудшающих их внешний вид и препятствующих использованию товара по назначению. Вытяжные ярлычки (где это предусмотрено) должны быть не поврежденными. Подвижные элементы (шторки, заслонки) должны легко перемещаться без перекосов и заеданий. </w:t>
      </w:r>
    </w:p>
    <w:p w:rsidR="00254339" w:rsidRPr="00D35AC8" w:rsidRDefault="00254339" w:rsidP="00254339">
      <w:pPr>
        <w:pStyle w:val="30"/>
        <w:tabs>
          <w:tab w:val="left" w:pos="1456"/>
        </w:tabs>
        <w:spacing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>1.2.5. На товаре не должны присутствовать следы чернил или мелкодисперсного тонера.</w:t>
      </w:r>
    </w:p>
    <w:p w:rsidR="00254339" w:rsidRPr="00D35AC8" w:rsidRDefault="00254339" w:rsidP="00254339">
      <w:pPr>
        <w:pStyle w:val="30"/>
        <w:shd w:val="clear" w:color="auto" w:fill="auto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1.2.6. </w:t>
      </w:r>
      <w:r w:rsidRPr="00D35AC8">
        <w:rPr>
          <w:rFonts w:ascii="XO Thames" w:eastAsia="Calibri" w:hAnsi="XO Thames"/>
        </w:rPr>
        <w:t>Поставка товара с истекшим сроком эксплуатации (годности) не допускается.</w:t>
      </w:r>
    </w:p>
    <w:p w:rsidR="00254339" w:rsidRPr="00D35AC8" w:rsidRDefault="00254339" w:rsidP="00254339">
      <w:pPr>
        <w:pStyle w:val="30"/>
        <w:shd w:val="clear" w:color="auto" w:fill="auto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1.2.7. Срок устранения выявленных при приемке недостатков поставленного </w:t>
      </w:r>
      <w:r w:rsidRPr="00D35AC8">
        <w:rPr>
          <w:rFonts w:ascii="XO Thames" w:hAnsi="XO Thames"/>
          <w:sz w:val="24"/>
          <w:szCs w:val="24"/>
        </w:rPr>
        <w:lastRenderedPageBreak/>
        <w:t>товара должен составлять не более 5 (пяти) календарных дней.</w:t>
      </w:r>
    </w:p>
    <w:p w:rsidR="00254339" w:rsidRPr="00D35AC8" w:rsidRDefault="00254339" w:rsidP="00254339">
      <w:pPr>
        <w:pStyle w:val="30"/>
        <w:shd w:val="clear" w:color="auto" w:fill="auto"/>
        <w:tabs>
          <w:tab w:val="left" w:pos="1456"/>
        </w:tabs>
        <w:spacing w:before="0" w:after="0" w:line="240" w:lineRule="auto"/>
        <w:ind w:right="40" w:firstLine="709"/>
        <w:jc w:val="both"/>
        <w:rPr>
          <w:rFonts w:ascii="XO Thames" w:hAnsi="XO Thames"/>
          <w:sz w:val="24"/>
          <w:szCs w:val="24"/>
        </w:rPr>
      </w:pPr>
    </w:p>
    <w:p w:rsidR="00254339" w:rsidRPr="00D35AC8" w:rsidRDefault="00254339" w:rsidP="00254339">
      <w:pPr>
        <w:pStyle w:val="30"/>
        <w:shd w:val="clear" w:color="auto" w:fill="auto"/>
        <w:spacing w:before="0" w:after="0" w:line="240" w:lineRule="auto"/>
        <w:ind w:firstLine="709"/>
        <w:rPr>
          <w:rFonts w:ascii="XO Thames" w:hAnsi="XO Thames"/>
          <w:b/>
          <w:sz w:val="24"/>
          <w:szCs w:val="24"/>
        </w:rPr>
      </w:pPr>
      <w:r w:rsidRPr="00D35AC8">
        <w:rPr>
          <w:rFonts w:ascii="XO Thames" w:hAnsi="XO Thames"/>
          <w:b/>
          <w:sz w:val="24"/>
          <w:szCs w:val="24"/>
        </w:rPr>
        <w:t>1.3. Порядок приемки товара.</w:t>
      </w:r>
    </w:p>
    <w:p w:rsidR="00254339" w:rsidRDefault="00254339" w:rsidP="00254339">
      <w:pPr>
        <w:pStyle w:val="30"/>
        <w:ind w:firstLine="709"/>
        <w:jc w:val="both"/>
        <w:rPr>
          <w:rFonts w:ascii="XO Thames" w:hAnsi="XO Thames"/>
          <w:sz w:val="24"/>
          <w:szCs w:val="24"/>
        </w:rPr>
      </w:pPr>
      <w:r w:rsidRPr="00D35AC8">
        <w:rPr>
          <w:rFonts w:ascii="XO Thames" w:hAnsi="XO Thames"/>
          <w:sz w:val="24"/>
          <w:szCs w:val="24"/>
        </w:rPr>
        <w:t xml:space="preserve">Приемка осуществляется уполномоченным представителем Заказчика (приемочной комиссией). </w:t>
      </w:r>
      <w:r w:rsidRPr="00D35AC8">
        <w:rPr>
          <w:rFonts w:ascii="XO Thames" w:hAnsi="XO Thames"/>
          <w:sz w:val="24"/>
          <w:szCs w:val="24"/>
          <w:u w:val="single"/>
        </w:rPr>
        <w:t>В приемке принимает участие представитель Поставщика</w:t>
      </w:r>
      <w:r w:rsidRPr="00D35AC8">
        <w:rPr>
          <w:rFonts w:ascii="XO Thames" w:hAnsi="XO Thames"/>
          <w:sz w:val="24"/>
          <w:szCs w:val="24"/>
        </w:rPr>
        <w:t xml:space="preserve"> на основании доверенности. Экспертиза результатов исполнения Контракта проводится силами Заказчика (приемочной комиссией), с возможным привлечением экспертов, экспертных организаций.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b/>
          <w:sz w:val="24"/>
          <w:szCs w:val="24"/>
        </w:rPr>
      </w:pPr>
      <w:r w:rsidRPr="00B26885">
        <w:rPr>
          <w:rFonts w:ascii="XO Thames" w:hAnsi="XO Thames"/>
          <w:b/>
          <w:sz w:val="24"/>
          <w:szCs w:val="24"/>
        </w:rPr>
        <w:t>1.4. Гарантийные обязательства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eastAsia="Times New Roman" w:hAnsi="XO Thames"/>
          <w:sz w:val="24"/>
          <w:szCs w:val="24"/>
        </w:rPr>
        <w:t>1.4.1. Поставщик гарантирует соответствие качества поставляемого товара</w:t>
      </w:r>
      <w:r w:rsidRPr="00B26885">
        <w:rPr>
          <w:rFonts w:ascii="XO Thames" w:hAnsi="XO Thames"/>
          <w:sz w:val="24"/>
          <w:szCs w:val="24"/>
        </w:rPr>
        <w:t xml:space="preserve"> требованиям законодательства Российской Федерации, нормативно-технической документации на поставляемый товар и условиям Контракта.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1.4.2. Гарантийный срок должен составлять не менее 12 месяцев </w:t>
      </w:r>
      <w:proofErr w:type="gramStart"/>
      <w:r w:rsidRPr="00B26885">
        <w:rPr>
          <w:rFonts w:ascii="XO Thames" w:hAnsi="XO Thames"/>
          <w:sz w:val="24"/>
          <w:szCs w:val="24"/>
        </w:rPr>
        <w:t>с даты подписания</w:t>
      </w:r>
      <w:proofErr w:type="gramEnd"/>
      <w:r w:rsidRPr="00B26885">
        <w:rPr>
          <w:rFonts w:ascii="XO Thames" w:hAnsi="XO Thames"/>
          <w:sz w:val="24"/>
          <w:szCs w:val="24"/>
        </w:rPr>
        <w:t xml:space="preserve"> документа о приемке товара либо количество отпечатков должно быть не менее обозначенного в техническом задании ресурса (в зависимости от того, что наступит раньше).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  <w:u w:val="single"/>
        </w:rPr>
      </w:pPr>
      <w:r w:rsidRPr="00B26885">
        <w:rPr>
          <w:rFonts w:ascii="XO Thames" w:hAnsi="XO Thames"/>
          <w:sz w:val="24"/>
          <w:szCs w:val="24"/>
        </w:rPr>
        <w:t xml:space="preserve">1.4.3. </w:t>
      </w:r>
      <w:proofErr w:type="gramStart"/>
      <w:r w:rsidRPr="00B26885">
        <w:rPr>
          <w:rFonts w:ascii="XO Thames" w:hAnsi="XO Thames"/>
          <w:sz w:val="24"/>
          <w:szCs w:val="24"/>
        </w:rPr>
        <w:t>Если в течение гарантийного периода будут выявлены дефекты или недостатки, которые являются следствием ненадлежащего исполнения Поставщиком взятых на себя обязательств, а также если в товаре будут обнаружены дефекты и/или недостатки, возникшие в результате некачественного исполнения, применения некачественных материалов, плохой обработки или несовершенной конструкции, а также если товар не достигает обусловленной Контрактом эффективности или утратит ее, то Поставщик устраняет эти</w:t>
      </w:r>
      <w:proofErr w:type="gramEnd"/>
      <w:r w:rsidRPr="00B26885">
        <w:rPr>
          <w:rFonts w:ascii="XO Thames" w:hAnsi="XO Thames"/>
          <w:sz w:val="24"/>
          <w:szCs w:val="24"/>
        </w:rPr>
        <w:t xml:space="preserve"> </w:t>
      </w:r>
      <w:proofErr w:type="gramStart"/>
      <w:r w:rsidRPr="00B26885">
        <w:rPr>
          <w:rFonts w:ascii="XO Thames" w:hAnsi="XO Thames"/>
          <w:sz w:val="24"/>
          <w:szCs w:val="24"/>
        </w:rPr>
        <w:t xml:space="preserve">недостатки за свой счет в возможно короткий срок (но не более 15 (пятнадцати) календарных дней от даты получения Поставщиком от Заказчика уведомления с соответствующим мотивированным требованием), или заменяет за свой счет некачественный товар или его части новыми, </w:t>
      </w:r>
      <w:r w:rsidRPr="00B26885">
        <w:rPr>
          <w:rFonts w:ascii="XO Thames" w:hAnsi="XO Thames"/>
          <w:sz w:val="24"/>
          <w:szCs w:val="24"/>
          <w:u w:val="single"/>
        </w:rPr>
        <w:t>независимо от того, что они не были обнаружены во время приемки (скрытые недостатки товара).</w:t>
      </w:r>
      <w:proofErr w:type="gramEnd"/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1.4.4. Уведомление о вызове представителя Поставщика направляется Поставщику посредством электронной почты, указанной в контракте (договоре), не позднее следующего рабочего дня, после обнаружения несоответствия качества установленного требованиями контракта. Направленные на электронный адрес Поставщика документы, оформленные Заказчиком, считаются полученными Поставщиком, что является надлежащим извещением Поставщика.  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1.4.5. В случае неполучения ответа от Поставщика на уведомление о вызове и неявки Поставщика (представителя Поставщика), в указанный в уведомлении срок,  риски неблагоприятных последствий несет Поставщик.  В таком случае Заказчик имеет право осуществить экспертизу (проверку) результата исполнения контракта (договора) в отсутствие Поставщика (представителя Поставщика).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1.4.6. Все транспортные, страховые и другие расходы, связанные с возвратом и/или заменой некачественного товара несет Поставщик.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1.4.7. Замена товара ненадлежащего качества осуществляется Поставщиком по акту возврата товаров.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b/>
          <w:sz w:val="24"/>
          <w:szCs w:val="24"/>
        </w:rPr>
      </w:pPr>
      <w:r w:rsidRPr="00B26885">
        <w:rPr>
          <w:rFonts w:ascii="XO Thames" w:hAnsi="XO Thames"/>
          <w:b/>
          <w:sz w:val="24"/>
          <w:szCs w:val="24"/>
        </w:rPr>
        <w:t>2. Упаковка и маркировка товара.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2.1. Поставщик осуществляет поставку товара в упакованном и маркированном виде. Упаковка, в которой отгружается товар, должна соответствовать действующим </w:t>
      </w:r>
      <w:r w:rsidRPr="00B26885">
        <w:rPr>
          <w:rFonts w:ascii="XO Thames" w:hAnsi="XO Thames"/>
          <w:sz w:val="24"/>
          <w:szCs w:val="24"/>
        </w:rPr>
        <w:lastRenderedPageBreak/>
        <w:t xml:space="preserve">стандартам, техническим условиям и обеспечивать сохранность товара во время его транспортировки.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2.2. Упаковка и маркировка товара должна содержать необходимые признаки оригинальности, включая не повреждённые защитные метки, нанесенные производителем: голографические наклейки, защитные пломбы, марки, содержащие все элементы защиты от подделок (микротекст, изменяемый под углом зрения цвет логотипа, серийный номер, штри</w:t>
      </w:r>
      <w:proofErr w:type="gramStart"/>
      <w:r w:rsidRPr="00B26885">
        <w:rPr>
          <w:rFonts w:ascii="XO Thames" w:hAnsi="XO Thames"/>
          <w:sz w:val="24"/>
          <w:szCs w:val="24"/>
        </w:rPr>
        <w:t>х-</w:t>
      </w:r>
      <w:proofErr w:type="gramEnd"/>
      <w:r w:rsidRPr="00B26885">
        <w:rPr>
          <w:rFonts w:ascii="XO Thames" w:hAnsi="XO Thames"/>
          <w:sz w:val="24"/>
          <w:szCs w:val="24"/>
        </w:rPr>
        <w:t xml:space="preserve"> или QR-код и другие характеристики, предусмотренные производителем).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На упаковку каждого товара должна быть нанесена типографическим способом или при помощи этикеток информация, содержащая следующие данные: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товарный знак ил</w:t>
      </w:r>
      <w:proofErr w:type="gramStart"/>
      <w:r w:rsidRPr="00B26885">
        <w:rPr>
          <w:rFonts w:ascii="XO Thames" w:hAnsi="XO Thames"/>
          <w:sz w:val="24"/>
          <w:szCs w:val="24"/>
        </w:rPr>
        <w:t>и(</w:t>
      </w:r>
      <w:proofErr w:type="gramEnd"/>
      <w:r w:rsidRPr="00B26885">
        <w:rPr>
          <w:rFonts w:ascii="XO Thames" w:hAnsi="XO Thames"/>
          <w:sz w:val="24"/>
          <w:szCs w:val="24"/>
        </w:rPr>
        <w:t>и) наименование предприятия-изготовителя;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наименование одной или более моделей, в которых может быть использован товар;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наименование страны происхождения товара; </w:t>
      </w:r>
    </w:p>
    <w:p w:rsidR="00254339" w:rsidRPr="00B26885" w:rsidRDefault="00254339" w:rsidP="00254339">
      <w:pPr>
        <w:spacing w:line="100" w:lineRule="atLeast"/>
        <w:ind w:right="24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каталожный номер оригинального товара. 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2.3. Упаковка не должна иметь механических повреждений, следов воздействия влаги. 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2.4. Тара и упаковка возврату не подлежат, их стоимость включена в цену Контракта.</w:t>
      </w:r>
    </w:p>
    <w:p w:rsidR="00254339" w:rsidRPr="00B26885" w:rsidRDefault="00254339" w:rsidP="00254339">
      <w:pPr>
        <w:spacing w:line="100" w:lineRule="atLeast"/>
        <w:ind w:left="14" w:right="24" w:firstLine="695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2.5. Поставщик должен </w:t>
      </w:r>
      <w:r w:rsidRPr="00B26885">
        <w:rPr>
          <w:rFonts w:ascii="XO Thames" w:hAnsi="XO Thames"/>
          <w:sz w:val="24"/>
          <w:szCs w:val="24"/>
          <w:u w:val="single"/>
        </w:rPr>
        <w:t>обеспечить возможность индивидуальной идентификации каждой единицы  товара</w:t>
      </w:r>
      <w:r w:rsidRPr="00B26885">
        <w:rPr>
          <w:rFonts w:ascii="XO Thames" w:hAnsi="XO Thames"/>
          <w:sz w:val="24"/>
          <w:szCs w:val="24"/>
        </w:rPr>
        <w:t xml:space="preserve"> (например, наличие непосредственно на товаре индивидуального номера нанесенного типографическим способом, при помощи этикеток или иной вид идентификации). </w:t>
      </w:r>
    </w:p>
    <w:p w:rsidR="00F83384" w:rsidRPr="00B26885" w:rsidRDefault="00F83384" w:rsidP="00F83384">
      <w:pPr>
        <w:spacing w:line="100" w:lineRule="atLeast"/>
        <w:ind w:right="110" w:firstLine="709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b/>
          <w:sz w:val="24"/>
          <w:szCs w:val="24"/>
        </w:rPr>
        <w:t>3. Срок и условия поставки.</w:t>
      </w:r>
    </w:p>
    <w:p w:rsidR="00F83384" w:rsidRPr="00B26885" w:rsidRDefault="00F83384" w:rsidP="00F83384">
      <w:pPr>
        <w:ind w:firstLine="708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 xml:space="preserve">3.1. Срок поставки: в течение </w:t>
      </w:r>
      <w:r w:rsidR="00E50860">
        <w:rPr>
          <w:rFonts w:ascii="XO Thames" w:hAnsi="XO Thames"/>
          <w:sz w:val="24"/>
          <w:szCs w:val="24"/>
        </w:rPr>
        <w:t>30</w:t>
      </w:r>
      <w:r w:rsidRPr="00B26885">
        <w:rPr>
          <w:rFonts w:ascii="XO Thames" w:hAnsi="XO Thames"/>
          <w:sz w:val="24"/>
          <w:szCs w:val="24"/>
        </w:rPr>
        <w:t xml:space="preserve"> календарных дней с момента заключения государственного контракта.</w:t>
      </w:r>
    </w:p>
    <w:p w:rsidR="00F83384" w:rsidRPr="00B26885" w:rsidRDefault="00F83384" w:rsidP="00F83384">
      <w:pPr>
        <w:ind w:firstLine="708"/>
        <w:jc w:val="both"/>
        <w:rPr>
          <w:rFonts w:ascii="XO Thames" w:hAnsi="XO Thames"/>
          <w:sz w:val="24"/>
          <w:szCs w:val="24"/>
        </w:rPr>
      </w:pPr>
      <w:r w:rsidRPr="00B26885">
        <w:rPr>
          <w:rFonts w:ascii="XO Thames" w:hAnsi="XO Thames"/>
          <w:sz w:val="24"/>
          <w:szCs w:val="24"/>
        </w:rPr>
        <w:t>3.2. В стоимость поставки товара входит его транспортировка, уплата НДС, таможенных пошлин, налогов, сборов и других обязательных платежей.</w:t>
      </w:r>
    </w:p>
    <w:p w:rsidR="00061B3D" w:rsidRDefault="00F83384" w:rsidP="00E50860">
      <w:pPr>
        <w:pStyle w:val="23"/>
        <w:shd w:val="clear" w:color="auto" w:fill="auto"/>
        <w:tabs>
          <w:tab w:val="left" w:pos="630"/>
        </w:tabs>
        <w:spacing w:after="0" w:line="216" w:lineRule="auto"/>
        <w:ind w:firstLine="629"/>
        <w:rPr>
          <w:rFonts w:ascii="XO Thames" w:hAnsi="XO Thames"/>
          <w:sz w:val="24"/>
          <w:szCs w:val="24"/>
        </w:rPr>
      </w:pPr>
      <w:r w:rsidRPr="002507E8">
        <w:rPr>
          <w:rFonts w:ascii="XO Thames" w:hAnsi="XO Thames"/>
          <w:b w:val="0"/>
          <w:sz w:val="24"/>
          <w:szCs w:val="24"/>
        </w:rPr>
        <w:t>3.3.</w:t>
      </w:r>
      <w:r w:rsidRPr="00B26885">
        <w:rPr>
          <w:rFonts w:ascii="XO Thames" w:hAnsi="XO Thames"/>
          <w:sz w:val="24"/>
          <w:szCs w:val="24"/>
        </w:rPr>
        <w:t xml:space="preserve"> </w:t>
      </w:r>
      <w:r w:rsidR="002507E8">
        <w:rPr>
          <w:rFonts w:ascii="XO Thames" w:hAnsi="XO Thames"/>
          <w:sz w:val="24"/>
          <w:szCs w:val="24"/>
        </w:rPr>
        <w:t xml:space="preserve"> </w:t>
      </w:r>
      <w:r w:rsidRPr="00B26885">
        <w:rPr>
          <w:rFonts w:ascii="XO Thames" w:hAnsi="XO Thames"/>
          <w:sz w:val="24"/>
          <w:szCs w:val="24"/>
        </w:rPr>
        <w:t xml:space="preserve">Место поставки: административное здание, расположенное по адресу: </w:t>
      </w:r>
      <w:r w:rsidR="00AA1119">
        <w:rPr>
          <w:rFonts w:ascii="XO Thames" w:hAnsi="XO Thames"/>
          <w:sz w:val="24"/>
          <w:szCs w:val="24"/>
        </w:rPr>
        <w:t xml:space="preserve"> </w:t>
      </w:r>
      <w:r w:rsidRPr="00B26885">
        <w:rPr>
          <w:rFonts w:ascii="XO Thames" w:hAnsi="XO Thames"/>
          <w:sz w:val="24"/>
          <w:szCs w:val="24"/>
        </w:rPr>
        <w:t>170100, Тверская обл., г. Тверь, ул. Вагжанова, д.17</w:t>
      </w:r>
    </w:p>
    <w:p w:rsidR="00F22DB6" w:rsidRDefault="00F22DB6" w:rsidP="00E50860">
      <w:pPr>
        <w:pStyle w:val="23"/>
        <w:shd w:val="clear" w:color="auto" w:fill="auto"/>
        <w:tabs>
          <w:tab w:val="left" w:pos="630"/>
        </w:tabs>
        <w:spacing w:after="0" w:line="216" w:lineRule="auto"/>
        <w:ind w:firstLine="629"/>
        <w:rPr>
          <w:rFonts w:ascii="XO Thames" w:hAnsi="XO Thames"/>
          <w:sz w:val="24"/>
          <w:szCs w:val="24"/>
        </w:rPr>
      </w:pPr>
    </w:p>
    <w:p w:rsidR="00F22DB6" w:rsidRDefault="00F22DB6" w:rsidP="00AA1119">
      <w:pPr>
        <w:pStyle w:val="23"/>
        <w:shd w:val="clear" w:color="auto" w:fill="auto"/>
        <w:tabs>
          <w:tab w:val="left" w:pos="630"/>
        </w:tabs>
        <w:spacing w:after="0" w:line="216" w:lineRule="auto"/>
        <w:ind w:left="709"/>
        <w:rPr>
          <w:rFonts w:ascii="XO Thames" w:hAnsi="XO Thames"/>
          <w:sz w:val="24"/>
          <w:szCs w:val="24"/>
        </w:rPr>
      </w:pPr>
    </w:p>
    <w:p w:rsidR="00F22DB6" w:rsidRDefault="00F22DB6" w:rsidP="00AA1119">
      <w:pPr>
        <w:pStyle w:val="23"/>
        <w:shd w:val="clear" w:color="auto" w:fill="auto"/>
        <w:tabs>
          <w:tab w:val="left" w:pos="630"/>
        </w:tabs>
        <w:spacing w:after="0" w:line="216" w:lineRule="auto"/>
        <w:ind w:left="709"/>
        <w:rPr>
          <w:rFonts w:ascii="XO Thames" w:hAnsi="XO Thames"/>
          <w:sz w:val="24"/>
          <w:szCs w:val="24"/>
        </w:rPr>
      </w:pPr>
    </w:p>
    <w:p w:rsidR="00E50860" w:rsidRPr="00F22DB6" w:rsidRDefault="00E50860" w:rsidP="00E50860">
      <w:pPr>
        <w:spacing w:after="0" w:line="240" w:lineRule="auto"/>
        <w:rPr>
          <w:rFonts w:ascii="XO Thames" w:eastAsia="Calibri" w:hAnsi="XO Thames" w:cs="Times New Roman"/>
          <w:sz w:val="24"/>
          <w:szCs w:val="24"/>
          <w:lang w:eastAsia="ru-RU"/>
        </w:rPr>
      </w:pPr>
      <w:r>
        <w:rPr>
          <w:rFonts w:ascii="XO Thames" w:eastAsia="Calibri" w:hAnsi="XO Thames" w:cs="Times New Roman"/>
          <w:sz w:val="24"/>
          <w:szCs w:val="24"/>
          <w:lang w:eastAsia="ru-RU"/>
        </w:rPr>
        <w:t>Н</w:t>
      </w:r>
      <w:r w:rsidR="00F22DB6" w:rsidRPr="00F22DB6">
        <w:rPr>
          <w:rFonts w:ascii="XO Thames" w:eastAsia="Calibri" w:hAnsi="XO Thames" w:cs="Times New Roman"/>
          <w:sz w:val="24"/>
          <w:szCs w:val="24"/>
          <w:lang w:eastAsia="ru-RU"/>
        </w:rPr>
        <w:t>ачальник</w:t>
      </w:r>
      <w:r>
        <w:rPr>
          <w:rFonts w:ascii="XO Thames" w:eastAsia="Calibri" w:hAnsi="XO Thames" w:cs="Times New Roman"/>
          <w:sz w:val="24"/>
          <w:szCs w:val="24"/>
          <w:lang w:eastAsia="ru-RU"/>
        </w:rPr>
        <w:t xml:space="preserve"> </w:t>
      </w:r>
      <w:r w:rsidR="00F22DB6"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 отдела </w:t>
      </w:r>
    </w:p>
    <w:p w:rsidR="00F22DB6" w:rsidRPr="00F22DB6" w:rsidRDefault="00F22DB6" w:rsidP="00F22DB6">
      <w:pPr>
        <w:spacing w:after="0" w:line="240" w:lineRule="auto"/>
        <w:rPr>
          <w:rFonts w:ascii="XO Thames" w:eastAsia="Calibri" w:hAnsi="XO Thames" w:cs="Times New Roman"/>
          <w:sz w:val="24"/>
          <w:szCs w:val="24"/>
          <w:lang w:eastAsia="ru-RU"/>
        </w:rPr>
      </w:pP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оперативной полиграфии </w:t>
      </w:r>
    </w:p>
    <w:p w:rsidR="00F22DB6" w:rsidRPr="00F22DB6" w:rsidRDefault="00F22DB6" w:rsidP="00F22DB6">
      <w:pPr>
        <w:spacing w:after="0" w:line="240" w:lineRule="auto"/>
        <w:rPr>
          <w:rFonts w:ascii="XO Thames" w:eastAsia="Calibri" w:hAnsi="XO Thames" w:cs="Times New Roman"/>
          <w:sz w:val="24"/>
          <w:szCs w:val="24"/>
          <w:lang w:eastAsia="ru-RU"/>
        </w:rPr>
      </w:pP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ФКУ НИИИТ ФСИН России, </w:t>
      </w:r>
    </w:p>
    <w:p w:rsidR="00F22DB6" w:rsidRPr="00F22DB6" w:rsidRDefault="00F22DB6" w:rsidP="00E50860">
      <w:pPr>
        <w:spacing w:after="0" w:line="240" w:lineRule="auto"/>
        <w:rPr>
          <w:rFonts w:ascii="XO Thames" w:hAnsi="XO Thames"/>
          <w:sz w:val="24"/>
          <w:szCs w:val="24"/>
        </w:rPr>
      </w:pP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полковник внутренней службы                       </w:t>
      </w:r>
      <w:r>
        <w:rPr>
          <w:rFonts w:ascii="XO Thames" w:eastAsia="Calibri" w:hAnsi="XO Thames" w:cs="Times New Roman"/>
          <w:sz w:val="24"/>
          <w:szCs w:val="24"/>
          <w:lang w:eastAsia="ru-RU"/>
        </w:rPr>
        <w:t xml:space="preserve"> </w:t>
      </w:r>
      <w:r w:rsidRPr="00F22DB6">
        <w:rPr>
          <w:rFonts w:ascii="XO Thames" w:eastAsia="Calibri" w:hAnsi="XO Thames" w:cs="Times New Roman"/>
          <w:sz w:val="24"/>
          <w:szCs w:val="24"/>
          <w:lang w:eastAsia="ru-RU"/>
        </w:rPr>
        <w:t xml:space="preserve">                                                 </w:t>
      </w:r>
      <w:r w:rsidR="00E50860">
        <w:rPr>
          <w:rFonts w:ascii="XO Thames" w:eastAsia="Calibri" w:hAnsi="XO Thames" w:cs="Times New Roman"/>
          <w:sz w:val="24"/>
          <w:szCs w:val="24"/>
          <w:lang w:eastAsia="ru-RU"/>
        </w:rPr>
        <w:t>Н.В. Ковшикова</w:t>
      </w:r>
    </w:p>
    <w:sectPr w:rsidR="00F22DB6" w:rsidRPr="00F22DB6" w:rsidSect="0025433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E98" w:rsidRDefault="00A72E98">
      <w:pPr>
        <w:spacing w:after="0" w:line="240" w:lineRule="auto"/>
      </w:pPr>
      <w:r>
        <w:separator/>
      </w:r>
    </w:p>
  </w:endnote>
  <w:endnote w:type="continuationSeparator" w:id="0">
    <w:p w:rsidR="00A72E98" w:rsidRDefault="00A7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E98" w:rsidRDefault="00A72E98">
      <w:pPr>
        <w:spacing w:after="0" w:line="240" w:lineRule="auto"/>
      </w:pPr>
      <w:r>
        <w:separator/>
      </w:r>
    </w:p>
  </w:footnote>
  <w:footnote w:type="continuationSeparator" w:id="0">
    <w:p w:rsidR="00A72E98" w:rsidRDefault="00A72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7593"/>
    <w:multiLevelType w:val="hybridMultilevel"/>
    <w:tmpl w:val="551C778A"/>
    <w:lvl w:ilvl="0" w:tplc="8B024296">
      <w:start w:val="1"/>
      <w:numFmt w:val="decimal"/>
      <w:lvlText w:val="%1."/>
      <w:lvlJc w:val="left"/>
      <w:pPr>
        <w:ind w:left="8370" w:firstLine="0"/>
      </w:pPr>
      <w:rPr>
        <w:vertAlign w:val="baseline"/>
      </w:rPr>
    </w:lvl>
    <w:lvl w:ilvl="1" w:tplc="DE6C7866">
      <w:numFmt w:val="none"/>
      <w:lvlText w:val=""/>
      <w:lvlJc w:val="left"/>
      <w:pPr>
        <w:tabs>
          <w:tab w:val="num" w:pos="360"/>
        </w:tabs>
      </w:pPr>
    </w:lvl>
    <w:lvl w:ilvl="2" w:tplc="7976273A">
      <w:numFmt w:val="none"/>
      <w:lvlText w:val=""/>
      <w:lvlJc w:val="left"/>
      <w:pPr>
        <w:tabs>
          <w:tab w:val="num" w:pos="360"/>
        </w:tabs>
      </w:pPr>
    </w:lvl>
    <w:lvl w:ilvl="3" w:tplc="4604738C">
      <w:numFmt w:val="none"/>
      <w:lvlText w:val=""/>
      <w:lvlJc w:val="left"/>
      <w:pPr>
        <w:tabs>
          <w:tab w:val="num" w:pos="360"/>
        </w:tabs>
      </w:pPr>
    </w:lvl>
    <w:lvl w:ilvl="4" w:tplc="66AEAF08">
      <w:numFmt w:val="none"/>
      <w:lvlText w:val=""/>
      <w:lvlJc w:val="left"/>
      <w:pPr>
        <w:tabs>
          <w:tab w:val="num" w:pos="360"/>
        </w:tabs>
      </w:pPr>
    </w:lvl>
    <w:lvl w:ilvl="5" w:tplc="6256FD06">
      <w:numFmt w:val="none"/>
      <w:lvlText w:val=""/>
      <w:lvlJc w:val="left"/>
      <w:pPr>
        <w:tabs>
          <w:tab w:val="num" w:pos="360"/>
        </w:tabs>
      </w:pPr>
    </w:lvl>
    <w:lvl w:ilvl="6" w:tplc="5B1A5FE4">
      <w:numFmt w:val="none"/>
      <w:lvlText w:val=""/>
      <w:lvlJc w:val="left"/>
      <w:pPr>
        <w:tabs>
          <w:tab w:val="num" w:pos="360"/>
        </w:tabs>
      </w:pPr>
    </w:lvl>
    <w:lvl w:ilvl="7" w:tplc="4BD807AE">
      <w:numFmt w:val="none"/>
      <w:lvlText w:val=""/>
      <w:lvlJc w:val="left"/>
      <w:pPr>
        <w:tabs>
          <w:tab w:val="num" w:pos="360"/>
        </w:tabs>
      </w:pPr>
    </w:lvl>
    <w:lvl w:ilvl="8" w:tplc="DC20515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91F3314"/>
    <w:multiLevelType w:val="hybridMultilevel"/>
    <w:tmpl w:val="A2AC39EC"/>
    <w:lvl w:ilvl="0" w:tplc="76503C1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4D48E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5B496A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243C9C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70E70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C6D45D8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D1EA9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3D0B9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D0A4D16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40D44209"/>
    <w:multiLevelType w:val="hybridMultilevel"/>
    <w:tmpl w:val="2EA02A5E"/>
    <w:lvl w:ilvl="0" w:tplc="D9D2C8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B3443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45039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40A56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F8DA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4342A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B1E6D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CADB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DD07AF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4A2E7F9B"/>
    <w:multiLevelType w:val="hybridMultilevel"/>
    <w:tmpl w:val="6194FE70"/>
    <w:lvl w:ilvl="0" w:tplc="9D5C4B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55E3D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C70CA6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AEAD6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FA76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90C65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8C6FA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9448A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02AB17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>
    <w:nsid w:val="541319F8"/>
    <w:multiLevelType w:val="hybridMultilevel"/>
    <w:tmpl w:val="F8742256"/>
    <w:lvl w:ilvl="0" w:tplc="85882D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E106D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5AE74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68A55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A0D4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692E9F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7C0C5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E507D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814E02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>
    <w:nsid w:val="6E2D06D8"/>
    <w:multiLevelType w:val="hybridMultilevel"/>
    <w:tmpl w:val="4CF2399C"/>
    <w:lvl w:ilvl="0" w:tplc="A7CE0F2C">
      <w:start w:val="1"/>
      <w:numFmt w:val="decimal"/>
      <w:lvlText w:val="%1."/>
      <w:lvlJc w:val="left"/>
      <w:pPr>
        <w:ind w:left="8370" w:firstLine="0"/>
      </w:pPr>
      <w:rPr>
        <w:vertAlign w:val="baseline"/>
      </w:rPr>
    </w:lvl>
    <w:lvl w:ilvl="1" w:tplc="82B84D1E">
      <w:numFmt w:val="none"/>
      <w:lvlText w:val=""/>
      <w:lvlJc w:val="left"/>
      <w:pPr>
        <w:tabs>
          <w:tab w:val="num" w:pos="360"/>
        </w:tabs>
      </w:pPr>
    </w:lvl>
    <w:lvl w:ilvl="2" w:tplc="EFCAA758">
      <w:numFmt w:val="none"/>
      <w:lvlText w:val=""/>
      <w:lvlJc w:val="left"/>
      <w:pPr>
        <w:tabs>
          <w:tab w:val="num" w:pos="360"/>
        </w:tabs>
      </w:pPr>
    </w:lvl>
    <w:lvl w:ilvl="3" w:tplc="4B2A1D34">
      <w:numFmt w:val="none"/>
      <w:lvlText w:val=""/>
      <w:lvlJc w:val="left"/>
      <w:pPr>
        <w:tabs>
          <w:tab w:val="num" w:pos="360"/>
        </w:tabs>
      </w:pPr>
    </w:lvl>
    <w:lvl w:ilvl="4" w:tplc="B21EB3E8">
      <w:numFmt w:val="none"/>
      <w:lvlText w:val=""/>
      <w:lvlJc w:val="left"/>
      <w:pPr>
        <w:tabs>
          <w:tab w:val="num" w:pos="360"/>
        </w:tabs>
      </w:pPr>
    </w:lvl>
    <w:lvl w:ilvl="5" w:tplc="60925574">
      <w:numFmt w:val="none"/>
      <w:lvlText w:val=""/>
      <w:lvlJc w:val="left"/>
      <w:pPr>
        <w:tabs>
          <w:tab w:val="num" w:pos="360"/>
        </w:tabs>
      </w:pPr>
    </w:lvl>
    <w:lvl w:ilvl="6" w:tplc="C3368CEC">
      <w:numFmt w:val="none"/>
      <w:lvlText w:val=""/>
      <w:lvlJc w:val="left"/>
      <w:pPr>
        <w:tabs>
          <w:tab w:val="num" w:pos="360"/>
        </w:tabs>
      </w:pPr>
    </w:lvl>
    <w:lvl w:ilvl="7" w:tplc="D32E2F52">
      <w:numFmt w:val="none"/>
      <w:lvlText w:val=""/>
      <w:lvlJc w:val="left"/>
      <w:pPr>
        <w:tabs>
          <w:tab w:val="num" w:pos="360"/>
        </w:tabs>
      </w:pPr>
    </w:lvl>
    <w:lvl w:ilvl="8" w:tplc="D7649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FA7"/>
    <w:rsid w:val="00061B3D"/>
    <w:rsid w:val="0007417A"/>
    <w:rsid w:val="00106185"/>
    <w:rsid w:val="00142F72"/>
    <w:rsid w:val="001D4023"/>
    <w:rsid w:val="001F6256"/>
    <w:rsid w:val="00244793"/>
    <w:rsid w:val="002507E8"/>
    <w:rsid w:val="00254339"/>
    <w:rsid w:val="00260A11"/>
    <w:rsid w:val="002F2FD6"/>
    <w:rsid w:val="00313B7C"/>
    <w:rsid w:val="00327951"/>
    <w:rsid w:val="003317F8"/>
    <w:rsid w:val="00347DAA"/>
    <w:rsid w:val="00386FA7"/>
    <w:rsid w:val="003B44CE"/>
    <w:rsid w:val="003C02BF"/>
    <w:rsid w:val="004A18BB"/>
    <w:rsid w:val="004C2C12"/>
    <w:rsid w:val="00516509"/>
    <w:rsid w:val="005C2A27"/>
    <w:rsid w:val="005D3669"/>
    <w:rsid w:val="00647DC5"/>
    <w:rsid w:val="006C6F84"/>
    <w:rsid w:val="00702697"/>
    <w:rsid w:val="00733F48"/>
    <w:rsid w:val="007A5145"/>
    <w:rsid w:val="007E4BF4"/>
    <w:rsid w:val="0083214F"/>
    <w:rsid w:val="00870706"/>
    <w:rsid w:val="00973665"/>
    <w:rsid w:val="00981CCA"/>
    <w:rsid w:val="009B395B"/>
    <w:rsid w:val="009E5BA8"/>
    <w:rsid w:val="00A60854"/>
    <w:rsid w:val="00A72E98"/>
    <w:rsid w:val="00AA1119"/>
    <w:rsid w:val="00B05A77"/>
    <w:rsid w:val="00B26885"/>
    <w:rsid w:val="00C10205"/>
    <w:rsid w:val="00C358E9"/>
    <w:rsid w:val="00C949B2"/>
    <w:rsid w:val="00CD7824"/>
    <w:rsid w:val="00CE3655"/>
    <w:rsid w:val="00CE4C92"/>
    <w:rsid w:val="00D35AC8"/>
    <w:rsid w:val="00D73C3E"/>
    <w:rsid w:val="00D95A20"/>
    <w:rsid w:val="00DA7E1C"/>
    <w:rsid w:val="00DB5CA7"/>
    <w:rsid w:val="00DE7B96"/>
    <w:rsid w:val="00E055FC"/>
    <w:rsid w:val="00E154DC"/>
    <w:rsid w:val="00E432C8"/>
    <w:rsid w:val="00E50860"/>
    <w:rsid w:val="00E7142A"/>
    <w:rsid w:val="00E71CA2"/>
    <w:rsid w:val="00E96583"/>
    <w:rsid w:val="00EB4C7B"/>
    <w:rsid w:val="00F22DB6"/>
    <w:rsid w:val="00F244EC"/>
    <w:rsid w:val="00F30518"/>
    <w:rsid w:val="00F3302F"/>
    <w:rsid w:val="00F7034E"/>
    <w:rsid w:val="00F73580"/>
    <w:rsid w:val="00F83384"/>
    <w:rsid w:val="00FC2AC2"/>
    <w:rsid w:val="00FC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86FA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86FA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86FA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86FA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86FA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86FA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86FA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86FA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86FA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86FA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86FA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86FA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86FA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86F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86FA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86FA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86FA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86FA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86FA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86FA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86FA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86FA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86FA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86FA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86F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86FA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86F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86FA7"/>
  </w:style>
  <w:style w:type="paragraph" w:customStyle="1" w:styleId="Footer">
    <w:name w:val="Footer"/>
    <w:basedOn w:val="a"/>
    <w:link w:val="CaptionChar"/>
    <w:uiPriority w:val="99"/>
    <w:unhideWhenUsed/>
    <w:rsid w:val="00386F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86FA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86FA7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386FA7"/>
  </w:style>
  <w:style w:type="table" w:styleId="a9">
    <w:name w:val="Table Grid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86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86F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6F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86FA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86FA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86FA7"/>
    <w:rPr>
      <w:sz w:val="18"/>
    </w:rPr>
  </w:style>
  <w:style w:type="character" w:styleId="ad">
    <w:name w:val="footnote reference"/>
    <w:uiPriority w:val="99"/>
    <w:unhideWhenUsed/>
    <w:rsid w:val="00386FA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86FA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86FA7"/>
    <w:rPr>
      <w:sz w:val="20"/>
    </w:rPr>
  </w:style>
  <w:style w:type="character" w:styleId="af0">
    <w:name w:val="endnote reference"/>
    <w:uiPriority w:val="99"/>
    <w:semiHidden/>
    <w:unhideWhenUsed/>
    <w:rsid w:val="00386FA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86FA7"/>
    <w:pPr>
      <w:spacing w:after="57"/>
    </w:pPr>
  </w:style>
  <w:style w:type="paragraph" w:styleId="21">
    <w:name w:val="toc 2"/>
    <w:basedOn w:val="a"/>
    <w:next w:val="a"/>
    <w:uiPriority w:val="39"/>
    <w:unhideWhenUsed/>
    <w:rsid w:val="00386F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6F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6F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6F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6F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6F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6F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6FA7"/>
    <w:pPr>
      <w:spacing w:after="57"/>
      <w:ind w:left="2268"/>
    </w:pPr>
  </w:style>
  <w:style w:type="paragraph" w:styleId="af1">
    <w:name w:val="TOC Heading"/>
    <w:uiPriority w:val="39"/>
    <w:unhideWhenUsed/>
    <w:rsid w:val="00386FA7"/>
  </w:style>
  <w:style w:type="paragraph" w:styleId="af2">
    <w:name w:val="table of figures"/>
    <w:basedOn w:val="a"/>
    <w:next w:val="a"/>
    <w:uiPriority w:val="99"/>
    <w:unhideWhenUsed/>
    <w:rsid w:val="00386FA7"/>
    <w:pPr>
      <w:spacing w:after="0"/>
    </w:pPr>
  </w:style>
  <w:style w:type="paragraph" w:styleId="af3">
    <w:name w:val="No Spacing"/>
    <w:basedOn w:val="a"/>
    <w:uiPriority w:val="1"/>
    <w:qFormat/>
    <w:rsid w:val="00386FA7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86FA7"/>
    <w:pPr>
      <w:ind w:left="720"/>
      <w:contextualSpacing/>
    </w:pPr>
  </w:style>
  <w:style w:type="character" w:customStyle="1" w:styleId="22">
    <w:name w:val="Основной текст (2)_"/>
    <w:link w:val="23"/>
    <w:rsid w:val="00142F7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42F72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5">
    <w:name w:val="Основной текст_"/>
    <w:link w:val="30"/>
    <w:rsid w:val="00F703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rsid w:val="00F703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0">
    <w:name w:val="Основной текст3"/>
    <w:basedOn w:val="a"/>
    <w:link w:val="af5"/>
    <w:rsid w:val="00F7034E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link w:val="ConsPlusNormal0"/>
    <w:rsid w:val="00F703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214F"/>
    <w:rPr>
      <w:rFonts w:ascii="Calibri" w:eastAsia="Times New Roman" w:hAnsi="Calibri" w:cs="Calibri"/>
      <w:szCs w:val="20"/>
      <w:lang w:eastAsia="ru-RU"/>
    </w:rPr>
  </w:style>
  <w:style w:type="character" w:customStyle="1" w:styleId="24">
    <w:name w:val="Основной текст (2) + Не полужирный"/>
    <w:rsid w:val="00254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Zubarev</dc:creator>
  <cp:lastModifiedBy>111</cp:lastModifiedBy>
  <cp:revision>4</cp:revision>
  <cp:lastPrinted>2026-04-27T08:16:00Z</cp:lastPrinted>
  <dcterms:created xsi:type="dcterms:W3CDTF">2026-04-27T08:12:00Z</dcterms:created>
  <dcterms:modified xsi:type="dcterms:W3CDTF">2026-05-22T07:38:00Z</dcterms:modified>
</cp:coreProperties>
</file>