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widowControl/>
        <w:ind w:firstLine="709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Контракт № __________</w:t>
      </w:r>
    </w:p>
    <w:p>
      <w:pPr>
        <w:pStyle w:val="ConsPlusNormal"/>
        <w:widowControl/>
        <w:ind w:firstLine="709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на оказание услуг по анализу кормов для тихоокеанских лососей на ЛРЗ Северо-Восточного филиала ФГБУ «Главрыбвод» в 2026 году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br/>
      </w:r>
    </w:p>
    <w:p>
      <w:pPr>
        <w:pStyle w:val="ConsPlusNonformat"/>
        <w:widowControl/>
        <w:suppressAutoHyphens w:val="true"/>
        <w:bidi w:val="0"/>
        <w:spacing w:before="0" w:after="0"/>
        <w:ind w:hanging="0" w:start="0" w:end="0"/>
        <w:jc w:val="star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г.                                                                                                                                  «__» _______ 2026 г.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709"/>
        <w:jc w:val="both"/>
        <w:rPr>
          <w:color w:val="1F497D"/>
        </w:rPr>
      </w:pPr>
      <w:r>
        <w:rPr>
          <w:color w:val="000000"/>
        </w:rPr>
        <w:t xml:space="preserve">_______________________________________________________________________________, именуемое в дальнейшем «Исполнитель», в лице д___________________________________________________________________, действующего на основании __________________________________________, с одной стороны </w:t>
      </w:r>
      <w:r>
        <w:rPr>
          <w:color w:val="000000"/>
          <w:sz w:val="23"/>
          <w:szCs w:val="23"/>
          <w:shd w:fill="auto" w:val="clear"/>
        </w:rPr>
        <w:t>и</w:t>
      </w:r>
      <w:r>
        <w:rPr>
          <w:bCs/>
          <w:iCs/>
          <w:color w:val="000000"/>
          <w:sz w:val="23"/>
          <w:szCs w:val="23"/>
          <w:shd w:fill="auto" w:val="clear"/>
        </w:rPr>
        <w:t xml:space="preserve"> Северо-Восточный филиал Федерального государственного бюджетного учреждения «Главное бассейновое управление по рыболовству и сохранению водных биологическ</w:t>
      </w:r>
      <w:r>
        <w:rPr>
          <w:bCs/>
          <w:iCs/>
          <w:color w:val="000000"/>
          <w:sz w:val="23"/>
          <w:szCs w:val="23"/>
        </w:rPr>
        <w:t xml:space="preserve">их ресурсов» (Северо-Восточный филиал ФГБУ «Главрыбвод»), действующий от имени Федерального государственного бюджетного учреждения «Главное бассейновое управление по рыболовству и сохранению водных биологических ресурсов», именуемое в дальнейшем «Заказчик», </w:t>
      </w:r>
      <w:r>
        <w:rPr>
          <w:rStyle w:val="Style18"/>
          <w:rFonts w:eastAsia="Times New Roman" w:cs="Times New Roman"/>
          <w:b w:val="false"/>
          <w:bCs/>
          <w:iCs/>
          <w:color w:val="000000"/>
          <w:sz w:val="22"/>
          <w:szCs w:val="22"/>
          <w:shd w:fill="auto" w:val="clear"/>
          <w:lang w:val="ru-RU" w:eastAsia="ru-RU" w:bidi="ar-SA"/>
        </w:rPr>
        <w:t>в лице исполняющего обязанности заместителя начальника учреждения – начальника</w:t>
      </w:r>
      <w:r>
        <w:rPr>
          <w:rStyle w:val="31"/>
          <w:rFonts w:eastAsia="Times New Roman" w:cs="Times New Roman"/>
          <w:b w:val="false"/>
          <w:bCs/>
          <w:iCs/>
          <w:color w:val="000000"/>
          <w:sz w:val="22"/>
          <w:szCs w:val="22"/>
          <w:shd w:fill="FFFFFF" w:val="clear"/>
          <w:lang w:val="ru-RU" w:eastAsia="ar-SA" w:bidi="ar-SA"/>
        </w:rPr>
        <w:t xml:space="preserve"> Северо-Восточного филиала Федерального государственного бюджетного учреждения «Главное бассейновое управление по рыболовству и сохранению водных биологических ресурсов» (Северо-Восточный филиал ФГБУ «Главрыбвод»)</w:t>
      </w:r>
      <w:r>
        <w:rPr>
          <w:rStyle w:val="31"/>
          <w:rFonts w:eastAsia="Times New Roman" w:cs="Times New Roman"/>
          <w:b/>
          <w:bCs/>
          <w:iCs/>
          <w:color w:val="000000"/>
          <w:sz w:val="22"/>
          <w:szCs w:val="22"/>
          <w:shd w:fill="FFFFFF" w:val="clear"/>
          <w:lang w:val="ru-RU" w:eastAsia="ar-SA" w:bidi="ar-SA"/>
        </w:rPr>
        <w:t xml:space="preserve"> </w:t>
      </w:r>
      <w:r>
        <w:rPr>
          <w:rStyle w:val="Style18"/>
          <w:rFonts w:eastAsia="Times New Roman" w:cs="Times New Roman"/>
          <w:b w:val="false"/>
          <w:bCs/>
          <w:iCs/>
          <w:color w:val="000000"/>
          <w:sz w:val="22"/>
          <w:szCs w:val="22"/>
          <w:shd w:fill="auto" w:val="clear"/>
          <w:lang w:val="ru-RU" w:eastAsia="ru-RU" w:bidi="ar-SA"/>
        </w:rPr>
        <w:t>Басова Александра Васильевич</w:t>
      </w:r>
      <w:r>
        <w:rPr>
          <w:rStyle w:val="Style18"/>
          <w:rFonts w:eastAsia="Times New Roman" w:cs="Times New Roman"/>
          <w:b w:val="false"/>
          <w:bCs w:val="false"/>
          <w:iCs/>
          <w:color w:val="000000"/>
          <w:sz w:val="22"/>
          <w:szCs w:val="22"/>
          <w:shd w:fill="auto" w:val="clear"/>
          <w:lang w:val="ru-RU" w:eastAsia="ru-RU" w:bidi="ar-SA"/>
        </w:rPr>
        <w:t>а</w:t>
      </w:r>
      <w:r>
        <w:rPr>
          <w:rStyle w:val="5"/>
          <w:rFonts w:eastAsia="Times New Roman" w:cs="Times New Roman"/>
          <w:b w:val="false"/>
          <w:bCs/>
          <w:iCs/>
          <w:color w:val="000000"/>
          <w:kern w:val="0"/>
          <w:sz w:val="22"/>
          <w:szCs w:val="22"/>
          <w:shd w:fill="FFFFFF" w:val="clear"/>
          <w:lang w:val="ru-RU" w:eastAsia="ru-RU" w:bidi="ru-RU"/>
        </w:rPr>
        <w:t xml:space="preserve">, </w:t>
      </w:r>
      <w:r>
        <w:rPr>
          <w:rStyle w:val="Style18"/>
          <w:rFonts w:eastAsia="Times New Roman" w:cs="Times New Roman"/>
          <w:b w:val="false"/>
          <w:bCs/>
          <w:iCs/>
          <w:color w:val="000000"/>
          <w:kern w:val="0"/>
          <w:sz w:val="22"/>
          <w:szCs w:val="22"/>
          <w:shd w:fill="auto" w:val="clear"/>
          <w:lang w:val="ru-RU" w:eastAsia="ru-RU" w:bidi="ar-SA"/>
        </w:rPr>
        <w:t xml:space="preserve">действующего на основании </w:t>
      </w:r>
      <w:r>
        <w:rPr>
          <w:rStyle w:val="Style18"/>
          <w:rFonts w:eastAsia="Times New Roman" w:cs="Times New Roman"/>
          <w:b w:val="false"/>
          <w:bCs/>
          <w:iCs/>
          <w:color w:val="000000"/>
          <w:spacing w:val="0"/>
          <w:w w:val="100"/>
          <w:kern w:val="0"/>
          <w:sz w:val="22"/>
          <w:szCs w:val="22"/>
          <w:shd w:fill="auto" w:val="clear"/>
          <w:lang w:val="ru-RU" w:eastAsia="ru-RU" w:bidi="ar-SA"/>
        </w:rPr>
        <w:t>Устава, Положения о Северо-Восточном филиале от 23.05.2025,</w:t>
      </w:r>
      <w:r>
        <w:rPr>
          <w:rStyle w:val="Style18"/>
          <w:rFonts w:eastAsia="Times New Roman" w:cs="Times New Roman"/>
          <w:b w:val="false"/>
          <w:bCs/>
          <w:iCs/>
          <w:color w:val="000000"/>
          <w:kern w:val="0"/>
          <w:sz w:val="22"/>
          <w:szCs w:val="22"/>
          <w:shd w:fill="auto" w:val="clear"/>
          <w:lang w:val="ru-RU" w:eastAsia="ru-RU" w:bidi="ar-SA"/>
        </w:rPr>
        <w:t xml:space="preserve"> Доверенности от 06.02.2026 года № 41/34-н-/41-2026-1-315, Приказа № 13-к от 20.07.2026</w:t>
      </w:r>
      <w:r>
        <w:rPr>
          <w:rStyle w:val="Style18"/>
          <w:rFonts w:eastAsia="Times New Roman" w:cs="Times New Roman"/>
          <w:b w:val="false"/>
          <w:bCs w:val="false"/>
          <w:iCs/>
          <w:color w:val="000000"/>
          <w:sz w:val="23"/>
          <w:szCs w:val="23"/>
          <w:shd w:fill="auto" w:val="clear"/>
          <w:lang w:eastAsia="ru-RU"/>
        </w:rPr>
        <w:t>,</w:t>
      </w:r>
      <w:r>
        <w:rPr>
          <w:rStyle w:val="Style18"/>
          <w:rFonts w:eastAsia="Calibri" w:cs="Times New Roman"/>
          <w:b w:val="false"/>
          <w:bCs w:val="false"/>
          <w:iCs/>
          <w:color w:val="000000"/>
          <w:sz w:val="23"/>
          <w:szCs w:val="23"/>
          <w:shd w:fill="auto" w:val="clear"/>
          <w:lang w:eastAsia="en-US"/>
        </w:rPr>
        <w:t xml:space="preserve"> </w:t>
      </w:r>
      <w:r>
        <w:rPr>
          <w:bCs/>
          <w:color w:val="000000"/>
          <w:sz w:val="23"/>
          <w:szCs w:val="23"/>
        </w:rPr>
        <w:t>с другой стороны, вместе именуемые в дальнейшем «Стороны», а каждый по отдельности «С</w:t>
      </w:r>
      <w:r>
        <w:rPr>
          <w:bCs/>
          <w:color w:val="000000"/>
          <w:sz w:val="23"/>
          <w:szCs w:val="23"/>
          <w:shd w:fill="auto" w:val="clear"/>
        </w:rPr>
        <w:t>торона»,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Контр</w:t>
      </w:r>
      <w:r>
        <w:rPr>
          <w:b w:val="false"/>
          <w:bCs w:val="false"/>
          <w:color w:val="000000"/>
          <w:sz w:val="23"/>
          <w:szCs w:val="23"/>
          <w:shd w:fill="auto" w:val="clear"/>
        </w:rPr>
        <w:t xml:space="preserve">акт </w:t>
      </w:r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</w:rPr>
        <w:t>на оказание услуг</w:t>
      </w:r>
      <w:r>
        <w:rPr>
          <w:rFonts w:cs="Times New Roman"/>
          <w:b/>
          <w:bCs/>
          <w:color w:val="000000"/>
          <w:sz w:val="24"/>
          <w:szCs w:val="24"/>
          <w:shd w:fill="auto" w:val="clear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</w:rPr>
        <w:t xml:space="preserve">по анализу кормов для тихоокеанских лососей на ЛРЗ Северо-Восточного филиала ФГБУ «Главрыбвод» в 2026 году </w:t>
      </w:r>
      <w:r>
        <w:rPr>
          <w:bCs/>
          <w:color w:val="000000"/>
          <w:sz w:val="23"/>
          <w:szCs w:val="23"/>
          <w:shd w:fill="auto" w:val="clear"/>
        </w:rPr>
        <w:t>(далее – Контракт) о нижеследующем:</w:t>
      </w:r>
    </w:p>
    <w:p>
      <w:pPr>
        <w:pStyle w:val="Normal"/>
        <w:ind w:firstLine="709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9"/>
        <w:jc w:val="center"/>
        <w:rPr>
          <w:color w:val="000000"/>
        </w:rPr>
      </w:pPr>
      <w:r>
        <w:rPr>
          <w:b/>
          <w:color w:val="000000"/>
        </w:rPr>
        <w:t>1. ПРЕДМЕТ КОНТРАКТА</w:t>
      </w:r>
    </w:p>
    <w:p>
      <w:pPr>
        <w:pStyle w:val="Normal"/>
        <w:suppressAutoHyphens w:val="true"/>
        <w:ind w:firstLine="709"/>
        <w:jc w:val="both"/>
        <w:rPr/>
      </w:pPr>
      <w:r>
        <w:rPr/>
        <w:t>1.1. Исполнитель обязуется в период действия настоящего Контракта по заявкам Заказчика оказать услуги, предусмотренные Уставом ____________ и Положением о филиале, согласно перечню, предусмотренному Приложением № 2 к настоящему Контракту, а Заказчик обязуется своевременно оплатить эти</w:t>
      </w:r>
      <w:r>
        <w:rPr>
          <w:shd w:fill="auto" w:val="clear"/>
        </w:rPr>
        <w:t xml:space="preserve"> услуги.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3"/>
          <w:szCs w:val="23"/>
          <w:shd w:fill="auto" w:val="clear"/>
        </w:rPr>
        <w:t>Срок оказания услуг: до 1 ноября 2026 года.</w:t>
      </w:r>
    </w:p>
    <w:p>
      <w:pPr>
        <w:pStyle w:val="Normal"/>
        <w:ind w:firstLine="709"/>
        <w:jc w:val="both"/>
        <w:rPr/>
      </w:pPr>
      <w:r>
        <w:rPr>
          <w:shd w:fill="auto" w:val="clear"/>
        </w:rPr>
        <w:t>1.2. Исполнитель подтверждает наличие разрешительных документов для оказания услуг, предусмотренных Приложением № 2 к настоящему Контракту</w:t>
      </w:r>
      <w:r>
        <w:rPr/>
        <w:t xml:space="preserve">. </w:t>
      </w:r>
    </w:p>
    <w:p>
      <w:pPr>
        <w:pStyle w:val="Normal"/>
        <w:ind w:firstLine="709"/>
        <w:jc w:val="both"/>
        <w:rPr/>
      </w:pPr>
      <w:r>
        <w:rPr/>
        <w:t>1.3. Качество оказания Исполнителем услуги должно соответствовать установленным соответствующими нормативными а</w:t>
      </w:r>
      <w:r>
        <w:rPr>
          <w:shd w:fill="auto" w:val="clear"/>
        </w:rPr>
        <w:t>ктами стандартам, обычно предъявляемым к результатам такого рода услуг.</w:t>
      </w:r>
    </w:p>
    <w:p>
      <w:pPr>
        <w:pStyle w:val="Normal"/>
        <w:tabs>
          <w:tab w:val="clear" w:pos="708"/>
          <w:tab w:val="left" w:pos="2410" w:leader="none"/>
        </w:tabs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  <w:t>1.4.</w:t>
      </w:r>
      <w:r>
        <w:rPr>
          <w:b/>
          <w:bCs/>
          <w:shd w:fill="auto" w:val="clear"/>
        </w:rPr>
        <w:t xml:space="preserve"> </w:t>
      </w:r>
      <w:r>
        <w:rPr>
          <w:shd w:fill="auto" w:val="clear"/>
        </w:rPr>
        <w:t>Место оказания услуг Российская федерация, Камчатский край по месту нахождения Исполнителя.</w:t>
      </w:r>
    </w:p>
    <w:p>
      <w:pPr>
        <w:pStyle w:val="Normal"/>
        <w:ind w:firstLine="709"/>
        <w:jc w:val="both"/>
        <w:rPr>
          <w:bCs/>
        </w:rPr>
      </w:pPr>
      <w:r>
        <w:rPr/>
        <w:t xml:space="preserve">1.5. </w:t>
      </w:r>
      <w:r>
        <w:rPr>
          <w:bCs/>
        </w:rPr>
        <w:t>Приёмка оказанных услуг производится Заказчиком путем подписания Сторонами акта об оказании услуг.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  <w:t>2. СТОИМОСТЬ УС</w:t>
      </w:r>
      <w:r>
        <w:rPr>
          <w:b/>
          <w:shd w:fill="auto" w:val="clear"/>
        </w:rPr>
        <w:t>ЛУГ И ПОРЯДОК РАСЧЕТОВ</w:t>
      </w:r>
    </w:p>
    <w:p>
      <w:pPr>
        <w:pStyle w:val="Normal"/>
        <w:overflowPunct w:val="false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  <w:t>2.1.</w:t>
      </w:r>
      <w:r>
        <w:rPr>
          <w:color w:val="000000"/>
          <w:spacing w:val="0"/>
          <w:w w:val="100"/>
          <w:sz w:val="23"/>
          <w:szCs w:val="23"/>
          <w:shd w:fill="auto" w:val="clear"/>
        </w:rPr>
        <w:t xml:space="preserve">Общая стоимость услуг оказываемых по Контракту составляет </w:t>
      </w:r>
      <w:r>
        <w:rPr>
          <w:rFonts w:eastAsia="Calibri" w:cs="Times New Roman"/>
          <w:b/>
          <w:bCs/>
          <w:color w:val="000000"/>
          <w:spacing w:val="0"/>
          <w:w w:val="100"/>
          <w:sz w:val="23"/>
          <w:szCs w:val="23"/>
          <w:shd w:fill="auto" w:val="clear"/>
          <w:lang w:val="ru-RU" w:eastAsia="ru-RU"/>
        </w:rPr>
        <w:t>_________________________</w:t>
      </w:r>
    </w:p>
    <w:p>
      <w:pPr>
        <w:pStyle w:val="Normal"/>
        <w:overflowPunct w:val="false"/>
        <w:ind w:firstLine="709"/>
        <w:jc w:val="both"/>
        <w:rPr/>
      </w:pPr>
      <w:r>
        <w:rPr>
          <w:shd w:fill="auto" w:val="clear"/>
        </w:rPr>
        <w:t>Стоимость оказываемых услуг рассчит</w:t>
      </w:r>
      <w:r>
        <w:rPr/>
        <w:t xml:space="preserve">ывается отдельно по каждой заявке, исходя из действующего на момент оформления платежных документов прейскуранта, утвержденного _______________________ и размещенного на официальном сайте Исполнителя по адресу: </w:t>
      </w:r>
      <w:hyperlink r:id="rId2">
        <w:r>
          <w:rPr>
            <w:rStyle w:val="Style6"/>
            <w:color w:val="0000FF"/>
            <w:u w:val="single"/>
            <w:lang w:val="en-US"/>
          </w:rPr>
          <w:t>_</w:t>
        </w:r>
      </w:hyperlink>
      <w:r>
        <w:rPr>
          <w:color w:val="0000FF"/>
          <w:u w:val="single"/>
          <w:lang w:val="en-US"/>
        </w:rPr>
        <w:t>______________</w:t>
      </w:r>
      <w:r>
        <w:rPr/>
        <w:t>, с последующим оформлением счета.</w:t>
      </w:r>
    </w:p>
    <w:p>
      <w:pPr>
        <w:pStyle w:val="Normal"/>
        <w:overflowPunct w:val="false"/>
        <w:ind w:firstLine="709"/>
        <w:jc w:val="both"/>
        <w:rPr/>
      </w:pPr>
      <w:r>
        <w:rPr/>
        <w:t>Исполнитель вправе в любое время в одностороннем порядке изменить цену услуг путем опубликования сведений о её изменении на сайте Исполнителя</w:t>
      </w:r>
      <w:r>
        <w:rPr>
          <w:color w:val="0000FF"/>
          <w:u w:val="single"/>
        </w:rPr>
        <w:t xml:space="preserve"> ____________</w:t>
      </w:r>
      <w:r>
        <w:rPr/>
        <w:t>в сети Интернет. Новые цены на услуги применяются с момен</w:t>
      </w:r>
      <w:r>
        <w:rPr>
          <w:shd w:fill="auto" w:val="clear"/>
        </w:rPr>
        <w:t>та опубликования информации об изменении цены, если иной, более поздний срок применения новых цен не указан в информации об их изменении на сайте Исполнителя ___________ Новые цены не распространяются на услуги по заявке, оформленной до момента опубликования информации об изменении цены.</w:t>
      </w:r>
    </w:p>
    <w:p>
      <w:pPr>
        <w:pStyle w:val="Normal"/>
        <w:overflowPunct w:val="false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2.2. </w:t>
      </w:r>
      <w:r>
        <w:rPr>
          <w:iCs/>
          <w:sz w:val="23"/>
          <w:szCs w:val="23"/>
          <w:shd w:fill="auto" w:val="clear"/>
        </w:rPr>
        <w:t>З</w:t>
      </w:r>
      <w:r>
        <w:rPr>
          <w:iCs/>
          <w:color w:val="000000"/>
          <w:sz w:val="23"/>
          <w:szCs w:val="23"/>
          <w:shd w:fill="auto" w:val="clear"/>
        </w:rPr>
        <w:t>аказчик оплачивает оказанные услуги Исполнителю, в соответствии с Контрактом, путём перечисления авансового платежа в размере</w:t>
      </w:r>
      <w:r>
        <w:rPr>
          <w:b/>
          <w:bCs/>
          <w:iCs/>
          <w:color w:val="000000"/>
          <w:sz w:val="23"/>
          <w:szCs w:val="23"/>
          <w:shd w:fill="auto" w:val="clear"/>
        </w:rPr>
        <w:t xml:space="preserve"> 30 % от цены Контракта, указанной в пункте 2.1</w:t>
      </w:r>
    </w:p>
    <w:p>
      <w:pPr>
        <w:pStyle w:val="Normal"/>
        <w:overflowPunct w:val="false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overflowPunct w:val="false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overflowPunct w:val="false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overflowPunct w:val="false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overflowPunct w:val="false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overflowPunct w:val="false"/>
        <w:ind w:hanging="0" w:start="0"/>
        <w:jc w:val="both"/>
        <w:rPr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  <w:shd w:fill="auto" w:val="clear"/>
        </w:rPr>
        <w:t xml:space="preserve">Контракта, что составляет – </w:t>
      </w:r>
      <w:r>
        <w:rPr>
          <w:b/>
          <w:bCs/>
          <w:iCs/>
          <w:color w:val="000000"/>
          <w:sz w:val="24"/>
          <w:szCs w:val="24"/>
          <w:u w:val="single"/>
          <w:shd w:fill="auto" w:val="clear"/>
        </w:rPr>
        <w:t>___________________________________________</w:t>
      </w:r>
      <w:r>
        <w:rPr>
          <w:iCs/>
          <w:color w:val="000000"/>
          <w:sz w:val="24"/>
          <w:szCs w:val="24"/>
          <w:shd w:fill="auto" w:val="clear"/>
        </w:rPr>
        <w:t xml:space="preserve"> на расчётный счёт Исполнителя, указанный в разделе 10 Контракта, на основании надлежащим образом оформленного счёта на оплату авансового платежа, в течение 7 (семи) рабочих дней с момента предоставления такого счёта.</w:t>
      </w:r>
    </w:p>
    <w:p>
      <w:pPr>
        <w:pStyle w:val="Normal"/>
        <w:overflowPunct w:val="false"/>
        <w:ind w:firstLine="709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  <w:shd w:fill="auto" w:val="clear"/>
        </w:rPr>
        <w:t xml:space="preserve">Окончательный платеж в размере </w:t>
      </w:r>
      <w:r>
        <w:rPr>
          <w:b/>
          <w:bCs/>
          <w:iCs/>
          <w:color w:val="000000"/>
          <w:sz w:val="24"/>
          <w:szCs w:val="24"/>
          <w:shd w:fill="auto" w:val="clear"/>
        </w:rPr>
        <w:t>70 % от цены Контракта, указанной в пункте 2.1 Контракта, что составляет - __________________________________________</w:t>
      </w:r>
      <w:r>
        <w:rPr>
          <w:b/>
          <w:bCs/>
          <w:iCs/>
          <w:color w:val="000000"/>
          <w:sz w:val="24"/>
          <w:szCs w:val="24"/>
          <w:u w:val="single"/>
          <w:shd w:fill="auto" w:val="clear"/>
        </w:rPr>
        <w:t>,</w:t>
      </w:r>
      <w:r>
        <w:rPr>
          <w:iCs/>
          <w:color w:val="000000"/>
          <w:sz w:val="24"/>
          <w:szCs w:val="24"/>
          <w:shd w:fill="auto" w:val="clear"/>
        </w:rPr>
        <w:t xml:space="preserve"> Заказчик оплачивает в течение 7 (семи) рабочих дней со дня подписания Сторонами </w:t>
      </w:r>
      <w:bookmarkStart w:id="0" w:name="_Hlk70004062_Копия_1_Копия_1"/>
      <w:r>
        <w:rPr>
          <w:iCs/>
          <w:color w:val="000000"/>
          <w:sz w:val="24"/>
          <w:szCs w:val="24"/>
          <w:shd w:fill="auto" w:val="clear"/>
        </w:rPr>
        <w:t xml:space="preserve">Акта </w:t>
      </w:r>
      <w:bookmarkStart w:id="1" w:name="_Hlk70088633_Копия_1_Копия_1"/>
      <w:r>
        <w:rPr>
          <w:iCs/>
          <w:color w:val="000000"/>
          <w:sz w:val="24"/>
          <w:szCs w:val="24"/>
          <w:shd w:fill="auto" w:val="clear"/>
        </w:rPr>
        <w:t xml:space="preserve">приёмки </w:t>
      </w:r>
      <w:bookmarkEnd w:id="1"/>
      <w:r>
        <w:rPr>
          <w:iCs/>
          <w:color w:val="000000"/>
          <w:sz w:val="24"/>
          <w:szCs w:val="24"/>
          <w:shd w:fill="auto" w:val="clear"/>
        </w:rPr>
        <w:t>оказанных услуг</w:t>
      </w:r>
      <w:bookmarkEnd w:id="0"/>
      <w:r>
        <w:rPr>
          <w:iCs/>
          <w:color w:val="000000"/>
          <w:sz w:val="24"/>
          <w:szCs w:val="24"/>
          <w:shd w:fill="auto" w:val="clear"/>
        </w:rPr>
        <w:t xml:space="preserve">, а также предъявления Исполнителем Заказчику счёта на оплату. </w:t>
      </w:r>
    </w:p>
    <w:p>
      <w:pPr>
        <w:pStyle w:val="Normal"/>
        <w:overflowPunct w:val="false"/>
        <w:ind w:firstLine="709"/>
        <w:jc w:val="both"/>
        <w:rPr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  <w:shd w:fill="auto" w:val="clear"/>
        </w:rPr>
        <w:t>Источник финансирования: средства от приносящей доход деятельности; средства федерального бюджета (субсидии) на выполнение государственного задания.</w:t>
      </w:r>
    </w:p>
    <w:p>
      <w:pPr>
        <w:pStyle w:val="Normal"/>
        <w:overflowPunct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2.3. Передача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результатов услуг</w:t>
      </w:r>
      <w:r>
        <w:rPr>
          <w:spacing w:val="-1"/>
          <w:sz w:val="24"/>
          <w:szCs w:val="24"/>
          <w:shd w:fill="auto" w:val="clear"/>
        </w:rPr>
        <w:t xml:space="preserve"> оформляется актом об оказании услуг, подписываемым обеими Сторонами Контракта, или их уполномоченными представителями. </w:t>
      </w:r>
      <w:r>
        <w:rPr>
          <w:sz w:val="24"/>
          <w:szCs w:val="24"/>
          <w:shd w:fill="auto" w:val="clear"/>
        </w:rPr>
        <w:t>Если Заказчик не согласен подписать акт об оказании услуг, то он должен представить мотивированный отказ от его подписания.</w:t>
      </w:r>
      <w:r>
        <w:rPr>
          <w:spacing w:val="-1"/>
          <w:sz w:val="24"/>
          <w:szCs w:val="24"/>
          <w:shd w:fill="auto" w:val="clear"/>
        </w:rPr>
        <w:t xml:space="preserve"> В случае не предоставления Заказчиком в течение 5 (пяти) календарных дней мотивированного отказа от подписания акта об ока</w:t>
      </w:r>
      <w:r>
        <w:rPr>
          <w:spacing w:val="-1"/>
          <w:sz w:val="24"/>
          <w:szCs w:val="24"/>
        </w:rPr>
        <w:t xml:space="preserve">зании услуг, не подписанный Заказчиком односторонний акт об оказании услуг признается сторонами надлежаще оформленным, а услуги выполненными в соответствии с условиями настоящего Контракта.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Датой исполнения Заказчиком обязательств по оплате счетов по настоящему Контракту считается день поступления денежных средств на лицевой счет Исполнителя.</w:t>
      </w:r>
    </w:p>
    <w:p>
      <w:pPr>
        <w:pStyle w:val="Normal"/>
        <w:keepLines/>
        <w:suppressAutoHyphens w:val="true"/>
        <w:spacing w:before="0" w:after="0"/>
        <w:ind w:firstLine="709"/>
        <w:contextualSpacing/>
        <w:jc w:val="both"/>
        <w:rPr>
          <w:sz w:val="24"/>
          <w:szCs w:val="24"/>
        </w:rPr>
      </w:pPr>
      <w:bookmarkStart w:id="2" w:name="_Hlk184974107"/>
      <w:r>
        <w:rPr>
          <w:sz w:val="24"/>
          <w:szCs w:val="24"/>
        </w:rPr>
        <w:t>2.5. В случае если Стороны подключены к системам электронного документооборота, Стороны пришли к соглашению об обязательности обмена первичными учетными документами для целей бухгалтерского учета при исполнении Контракта через систему защищенного юридически значимого электронного документооборота «Диадок» с использованием программного обеспечения, организованного АО «ПФ «СКБ Контур».</w:t>
      </w:r>
      <w:bookmarkEnd w:id="2"/>
    </w:p>
    <w:p>
      <w:pPr>
        <w:pStyle w:val="Normal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ПРАВА И ОБЯЗАННОСТИ СТОРОН</w:t>
      </w:r>
    </w:p>
    <w:p>
      <w:pPr>
        <w:pStyle w:val="Normal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Стороны обязуются обеспечить конфиденциальность сведений, касающихся предмета Контракта, хода его исполнения и полученных результатов, за исключением случаев, предусмотренных п. 7.2. настоящего Контракта. Объем сведений, признаваемых конфиденциальными, в случае необходимости, определяется сторонами в отдельном порядке, путем составления двухстороннего акта, который после его подписания становится неотъемлемой частью настоящего Контракта.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bookmarkStart w:id="3" w:name="sub_1352"/>
      <w:bookmarkEnd w:id="3"/>
      <w:r>
        <w:rPr>
          <w:b/>
          <w:sz w:val="24"/>
          <w:szCs w:val="24"/>
        </w:rPr>
        <w:t>3.2. Заказчик обязуется: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bookmarkStart w:id="4" w:name="sub_1352_Копия_1"/>
      <w:bookmarkEnd w:id="4"/>
      <w:r>
        <w:rPr>
          <w:sz w:val="24"/>
          <w:szCs w:val="24"/>
        </w:rPr>
        <w:t xml:space="preserve">3.2.1. Представить Исполнителю заявку на оказание услуг, предусмотренных Приложением № 2 к настоящему Контракту.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bookmarkStart w:id="5" w:name="sub_13522"/>
      <w:r>
        <w:rPr>
          <w:sz w:val="24"/>
          <w:szCs w:val="24"/>
        </w:rPr>
        <w:t>3.2.2. Предоставлять Исполнителю</w:t>
      </w:r>
      <w:bookmarkEnd w:id="5"/>
      <w:r>
        <w:rPr>
          <w:sz w:val="24"/>
          <w:szCs w:val="24"/>
        </w:rPr>
        <w:t xml:space="preserve"> дополнительную информацию</w:t>
      </w:r>
      <w:bookmarkStart w:id="6" w:name="sub_13523"/>
      <w:r>
        <w:rPr>
          <w:sz w:val="24"/>
          <w:szCs w:val="24"/>
        </w:rPr>
        <w:t>, сопроводительные и иные документы, отобранные пробы, если это необходимо для оказания услуг по настоящему Контракту.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3.2.3. Обеспечить при необходимости свободный доступ сотрудникам, представителям Исполнителя в согласованное время к месту оказания услуг, когда услуга оказывается по месту нахождения Заказчика, и оказывать Исполнителю необходимое содействие для надлежащего выполнения ими принятых на себя обязательств по Контракту.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3.2.4. </w:t>
      </w:r>
      <w:bookmarkEnd w:id="6"/>
      <w:r>
        <w:rPr/>
        <w:t>Произвести оплату услуг в соответствии с разделом 2 настоящего Контракта.</w:t>
      </w:r>
    </w:p>
    <w:p>
      <w:pPr>
        <w:pStyle w:val="Normal"/>
        <w:ind w:firstLine="709"/>
        <w:jc w:val="both"/>
        <w:rPr>
          <w:color w:val="000000"/>
        </w:rPr>
      </w:pPr>
      <w:r>
        <w:rPr/>
        <w:t xml:space="preserve">3.2.5. </w:t>
      </w:r>
      <w:r>
        <w:rPr>
          <w:color w:val="000000"/>
        </w:rPr>
        <w:t>Уведомить Исполнителя в 5-дневный срок об изменении своего наименования, юридического адреса, почтового адреса, телефонов, указанных в разделе 10 Контракта. Направление корреспонденции по прежнему почтовому и (или) электронному адресу, а равно возврат такой корреспонденции с отметкой о выбытии адресата будет считаться надлежащим уведомлением Заказчика.</w:t>
      </w:r>
    </w:p>
    <w:p>
      <w:pPr>
        <w:pStyle w:val="Normal"/>
        <w:ind w:firstLine="709"/>
        <w:jc w:val="both"/>
        <w:rPr/>
      </w:pPr>
      <w:r>
        <w:rPr>
          <w:color w:val="000000"/>
        </w:rPr>
        <w:t xml:space="preserve">3.2.6. </w:t>
      </w:r>
      <w:r>
        <w:rPr/>
        <w:t xml:space="preserve">Подписать и передать Исполнителю акт об оказании услуг в течение </w:t>
      </w:r>
      <w:r>
        <w:rPr>
          <w:bCs/>
        </w:rPr>
        <w:t>5</w:t>
      </w:r>
      <w:r>
        <w:rPr/>
        <w:t xml:space="preserve"> (пяти) календарных дней с даты его получения любым способом, предусмотренным разделом 10 Контракта, либо предоставить мотивированный отказ от его подписания в письменной форме.</w:t>
      </w:r>
    </w:p>
    <w:p>
      <w:pPr>
        <w:pStyle w:val="Normal"/>
        <w:ind w:firstLine="709"/>
        <w:jc w:val="both"/>
        <w:rPr/>
      </w:pPr>
      <w:r>
        <w:rPr/>
        <w:t>3.2.7. Поддерживать электронную почту в рабочем состоянии и при изменении электронного адреса почты не позднее 24 часов с момента изменения информировать Исполнителя.</w:t>
      </w:r>
    </w:p>
    <w:p>
      <w:pPr>
        <w:pStyle w:val="Normal"/>
        <w:ind w:firstLine="709"/>
        <w:jc w:val="both"/>
        <w:rPr>
          <w:b/>
        </w:rPr>
      </w:pPr>
      <w:bookmarkStart w:id="7" w:name="sub_1353"/>
      <w:bookmarkEnd w:id="7"/>
      <w:r>
        <w:rPr>
          <w:b/>
        </w:rPr>
        <w:t>3.3. Заказчик имеет право:</w:t>
      </w:r>
    </w:p>
    <w:p>
      <w:pPr>
        <w:pStyle w:val="Normal"/>
        <w:ind w:firstLine="709"/>
        <w:jc w:val="both"/>
        <w:rPr/>
      </w:pPr>
      <w:r>
        <w:rPr>
          <w:bCs/>
        </w:rPr>
        <w:t>3.3.1.</w:t>
      </w:r>
      <w:r>
        <w:rPr>
          <w:b/>
        </w:rPr>
        <w:t xml:space="preserve"> </w:t>
      </w:r>
      <w:r>
        <w:rPr/>
        <w:t>Требовать от Исполнителя надлежащего выполнения принятых им обязательств по настоящему Контракту.</w:t>
      </w:r>
    </w:p>
    <w:p>
      <w:pPr>
        <w:pStyle w:val="Normal"/>
        <w:ind w:firstLine="709"/>
        <w:jc w:val="both"/>
        <w:rPr/>
      </w:pPr>
      <w:r>
        <w:rPr/>
        <w:t>3.3.2. Запрашивать у Исполнителя и получать информацию о ходе оказания услуги.</w:t>
      </w:r>
    </w:p>
    <w:p>
      <w:pPr>
        <w:pStyle w:val="Normal"/>
        <w:ind w:firstLine="709"/>
        <w:jc w:val="both"/>
        <w:rPr/>
      </w:pPr>
      <w:r>
        <w:rPr/>
        <w:t>3.3.3 В течение срока действия настоящего Контракта предоставлять Исполнителю заявки неограниченное количество раз</w:t>
      </w:r>
      <w:r>
        <w:rPr>
          <w:sz w:val="21"/>
          <w:szCs w:val="21"/>
        </w:rPr>
        <w:t>.</w:t>
      </w:r>
    </w:p>
    <w:p>
      <w:pPr>
        <w:pStyle w:val="Normal"/>
        <w:ind w:firstLine="709"/>
        <w:jc w:val="both"/>
        <w:rPr>
          <w:b/>
        </w:rPr>
      </w:pPr>
      <w:r>
        <w:rPr>
          <w:b/>
        </w:rPr>
        <w:t>3.4. Исполнитель обязуется:</w:t>
      </w:r>
    </w:p>
    <w:p>
      <w:pPr>
        <w:pStyle w:val="ListParagraph"/>
        <w:widowControl/>
        <w:tabs>
          <w:tab w:val="clear" w:pos="708"/>
          <w:tab w:val="left" w:pos="1276" w:leader="none"/>
        </w:tabs>
        <w:spacing w:before="0" w:after="0"/>
        <w:ind w:firstLine="709" w:start="0"/>
        <w:contextualSpacing/>
        <w:jc w:val="both"/>
        <w:rPr/>
      </w:pPr>
      <w:bookmarkStart w:id="8" w:name="sub_377798032"/>
      <w:bookmarkStart w:id="9" w:name="sub_13531"/>
      <w:bookmarkStart w:id="10" w:name="sub_1353_Копия_1"/>
      <w:bookmarkEnd w:id="8"/>
      <w:bookmarkEnd w:id="9"/>
      <w:bookmarkEnd w:id="10"/>
      <w:r>
        <w:rPr/>
        <w:t>3.4.1. Направить Заказчику (при необходимости) перечень документов, необходимых для оказания соответствующей услуги.</w:t>
      </w:r>
    </w:p>
    <w:p>
      <w:pPr>
        <w:pStyle w:val="ListParagraph"/>
        <w:widowControl/>
        <w:tabs>
          <w:tab w:val="clear" w:pos="708"/>
          <w:tab w:val="left" w:pos="1276" w:leader="none"/>
        </w:tabs>
        <w:spacing w:before="0" w:after="0"/>
        <w:ind w:firstLine="709" w:start="0"/>
        <w:contextualSpacing/>
        <w:jc w:val="both"/>
        <w:rPr/>
      </w:pPr>
      <w:r>
        <w:rPr/>
        <w:t>3.4.2. Оказывать услуги с использованием своих материалов и оборудования, технических средств, которые должны соответствовать предъявляемым требованиям качества.</w:t>
      </w:r>
    </w:p>
    <w:p>
      <w:pPr>
        <w:pStyle w:val="ListParagraph"/>
        <w:widowControl/>
        <w:suppressAutoHyphens w:val="false"/>
        <w:spacing w:before="0" w:after="0"/>
        <w:ind w:firstLine="709" w:start="0"/>
        <w:contextualSpacing/>
        <w:jc w:val="both"/>
        <w:rPr/>
      </w:pPr>
      <w:r>
        <w:rPr/>
        <w:t>3.4.3. Оказывать услуги в соответствии с требованиями нормативно-технической документации.</w:t>
      </w:r>
    </w:p>
    <w:p>
      <w:pPr>
        <w:pStyle w:val="ListParagraph"/>
        <w:widowControl/>
        <w:suppressAutoHyphens w:val="false"/>
        <w:spacing w:before="0" w:after="0"/>
        <w:ind w:firstLine="709" w:start="0"/>
        <w:contextualSpacing/>
        <w:jc w:val="both"/>
        <w:rPr/>
      </w:pPr>
      <w:r>
        <w:rPr/>
        <w:t>3.4.4. Обеспечить своевременное и качественное оказание услуг.</w:t>
      </w:r>
    </w:p>
    <w:p>
      <w:pPr>
        <w:pStyle w:val="ListParagraph"/>
        <w:widowControl/>
        <w:suppressAutoHyphens w:val="false"/>
        <w:spacing w:before="0" w:after="0"/>
        <w:ind w:firstLine="709" w:start="0"/>
        <w:contextualSpacing/>
        <w:jc w:val="both"/>
        <w:rPr/>
      </w:pPr>
      <w:r>
        <w:rPr/>
        <w:t>3.4.5. По завершении оказания услуг в</w:t>
      </w:r>
      <w:r>
        <w:rPr>
          <w:spacing w:val="-1"/>
        </w:rPr>
        <w:t>ыдать</w:t>
      </w:r>
      <w:r>
        <w:rPr/>
        <w:t xml:space="preserve"> Заказчику документы, предусмотренные Приложением № 2 к настоящему Контракту, акт об оказании услуг в 2-х экземплярах и счет-фактуру.</w:t>
      </w:r>
    </w:p>
    <w:p>
      <w:pPr>
        <w:pStyle w:val="Normal"/>
        <w:spacing w:before="0" w:after="0"/>
        <w:ind w:firstLine="709"/>
        <w:contextualSpacing/>
        <w:jc w:val="both"/>
        <w:rPr/>
      </w:pPr>
      <w:bookmarkStart w:id="11" w:name="sub_13536"/>
      <w:bookmarkStart w:id="12" w:name="sub_377798032_Копия_1"/>
      <w:bookmarkStart w:id="13" w:name="sub_13531_Копия_1"/>
      <w:bookmarkEnd w:id="12"/>
      <w:bookmarkEnd w:id="13"/>
      <w:r>
        <w:rPr/>
        <w:t xml:space="preserve">3.4.6. </w:t>
      </w:r>
      <w:bookmarkEnd w:id="11"/>
      <w:r>
        <w:rPr/>
        <w:t>Поставить в известность (с обязательным письменным подтверждением) о возникновении обстоятельств, препятствующих исполнению настоящего Контракта.</w:t>
      </w:r>
    </w:p>
    <w:p>
      <w:pPr>
        <w:pStyle w:val="Normal"/>
        <w:spacing w:before="0" w:after="0"/>
        <w:ind w:firstLine="709"/>
        <w:contextualSpacing/>
        <w:jc w:val="both"/>
        <w:rPr>
          <w:b/>
          <w:bCs/>
        </w:rPr>
      </w:pPr>
      <w:r>
        <w:rPr>
          <w:b/>
          <w:bCs/>
        </w:rPr>
        <w:t>3.5. Исполнитель имеет право:</w:t>
      </w:r>
    </w:p>
    <w:p>
      <w:pPr>
        <w:pStyle w:val="Normal"/>
        <w:widowControl w:val="false"/>
        <w:ind w:firstLine="709"/>
        <w:jc w:val="both"/>
        <w:rPr/>
      </w:pPr>
      <w:r>
        <w:rPr/>
        <w:t>3.5.1. При оказании услуг по лабораторным исследованиям, в случае отсутствия надлежащим образом оформленных сопроводительных документов, а также при обнаружении при приеме образцов на исследования несоответствий установленным нормативными документами требованиям, а также требованиям к необходимому для проведения испытаний объему, количеству или массе образца, не принимать материал для исследования и возвратить предоставленную пробу Заказчику.</w:t>
      </w:r>
    </w:p>
    <w:p>
      <w:pPr>
        <w:pStyle w:val="ListParagraph"/>
        <w:widowControl/>
        <w:suppressAutoHyphens w:val="false"/>
        <w:spacing w:before="0" w:after="0"/>
        <w:ind w:firstLine="709" w:start="0"/>
        <w:contextualSpacing/>
        <w:jc w:val="both"/>
        <w:rPr>
          <w:rFonts w:eastAsia="Times New Roman"/>
        </w:rPr>
      </w:pPr>
      <w:r>
        <w:rPr/>
        <w:t xml:space="preserve">3.5.2. </w:t>
      </w:r>
      <w:r>
        <w:rPr>
          <w:rFonts w:eastAsia="Times New Roman"/>
        </w:rPr>
        <w:t>Не приступать к оказанию услуг и в одностороннем порядке, перенести дату оказания услуг на соответствующее количество дней в случае невыполнения Заказчиком пунктов 3.2.1 и 3.2.2 настоящего Контракта.</w:t>
      </w:r>
    </w:p>
    <w:p>
      <w:pPr>
        <w:pStyle w:val="ListParagraph"/>
        <w:widowControl/>
        <w:suppressAutoHyphens w:val="false"/>
        <w:spacing w:before="0" w:after="0"/>
        <w:ind w:firstLine="709" w:start="0"/>
        <w:contextualSpacing/>
        <w:jc w:val="both"/>
        <w:rPr/>
      </w:pPr>
      <w:r>
        <w:rPr>
          <w:rFonts w:eastAsia="Times New Roman"/>
        </w:rPr>
        <w:t xml:space="preserve">3.5.3. </w:t>
      </w:r>
      <w:r>
        <w:rPr/>
        <w:t>Отказать в выдаче результатов оказанных услуг, в случае наличия у Заказчика задолженности по Контракту, до момента полного погашения Заказчиком возникшей задолженности. Факт оплаты оказанных услуг может быть подтвержден Заказчиком путём предъявления Исполнителю платёжного поручения с отметкой банка.</w:t>
      </w:r>
    </w:p>
    <w:p>
      <w:pPr>
        <w:pStyle w:val="ListParagraph"/>
        <w:widowControl/>
        <w:suppressAutoHyphens w:val="false"/>
        <w:spacing w:before="0" w:after="0"/>
        <w:ind w:firstLine="709" w:start="0"/>
        <w:contextualSpacing/>
        <w:jc w:val="both"/>
        <w:rPr/>
      </w:pPr>
      <w:r>
        <w:rPr/>
        <w:t>3.5.4. Хранить документы, представленные Заказчиком для оказания услуг, а также предоставленные Заказчиком пробы (образцы), в том числе контрольные образцы, после проведения исследований Исполнителем не более 14 (четырнадцати) суток с момента окончания лабораторных испытаний (исследований), а образцы, несоответствующие установленным требованиям, не более трех месяцев с момента определения их несоответствия и выдачи соответствующего результата или протокола испытаний, но не более срока годности продукции.</w:t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/>
      </w:pPr>
      <w:r>
        <w:rPr>
          <w:rFonts w:eastAsia="Lucida Sans Unicode"/>
          <w:kern w:val="2"/>
        </w:rPr>
        <w:t>3.5.5</w:t>
      </w:r>
      <w:r>
        <w:rPr/>
        <w:t xml:space="preserve">. В случае необходимости при оказании услуг Исполнитель вправе привлечь к оказанию услуги иные структурные подразделения _____________ (обособленные подразделения, филиалы) без дополнительного согласования и (или) одобрения Заказчиком. </w:t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/>
      </w:pPr>
      <w:r>
        <w:rPr/>
        <w:t>Исполнитель уведомляет Заказчика о привлечении иных аккредитованных структурных подразделениях __________________ в течение 5 (пяти) рабочих дней с даты привлечения.</w:t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  <w:t xml:space="preserve">4. СРОК ДЕЙСТВИЯ КОНТРАКТА </w:t>
      </w:r>
    </w:p>
    <w:p>
      <w:pPr>
        <w:pStyle w:val="Normal"/>
        <w:ind w:firstLine="709"/>
        <w:jc w:val="both"/>
        <w:rPr/>
      </w:pPr>
      <w:r>
        <w:rPr/>
        <w:t>4.1. Контракт вступает в силу с момента подписания его сторонами и действ</w:t>
      </w:r>
      <w:r>
        <w:rPr>
          <w:shd w:fill="auto" w:val="clear"/>
        </w:rPr>
        <w:t>ует до 31.12.2026 г. или до полного исполнения Сторонами обязательств.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  <w:t>4.2. Настоящий Контракт может быть прекращен досрочно: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  <w:t>4.2.1. – по соглашению Сторон;</w:t>
      </w:r>
    </w:p>
    <w:p>
      <w:pPr>
        <w:pStyle w:val="Normal"/>
        <w:ind w:firstLine="709"/>
        <w:jc w:val="both"/>
        <w:rPr/>
      </w:pPr>
      <w:r>
        <w:rPr/>
        <w:t>4.2.2. – в одностороннем порядке, в случае нарушения одной из Сторон обязательств,  предусмотренных настоящим Контрактом.</w:t>
      </w:r>
    </w:p>
    <w:p>
      <w:pPr>
        <w:pStyle w:val="Normal"/>
        <w:ind w:firstLine="709"/>
        <w:jc w:val="both"/>
        <w:rPr/>
      </w:pPr>
      <w:r>
        <w:rPr/>
        <w:t>4.2.3. – по инициативе любой из Сторон при условии письменного уведомления одной из сторон за 10 (десять) календар</w:t>
      </w:r>
      <w:r>
        <w:rPr>
          <w:shd w:fill="auto" w:val="clear"/>
        </w:rPr>
        <w:t>ных дней до предполагаемой даты расторжения и при отсутствии задолженностей по выполнению взаимных обязательств между Сторонами.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709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5. ОТВЕТСТВЕННОСТЬ СТОРОН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3"/>
          <w:szCs w:val="23"/>
          <w:shd w:fill="auto" w:val="clear"/>
        </w:rPr>
        <w:t xml:space="preserve">5.1. 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В случае неисполнения или ненадлежащего исполнения обязательства одна Сторона обязана уплатить другой Стороне неустойку (штраф, пеню), определённую настоящим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ом. 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5.2. Исполнитель несет ответственность за объём, качество и безопасность, оказываемых услуг, а также за просрочку оказания услуг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5.3. При нарушении сроков оказания услуг, а также при оказании услуг в меньшем объёме, чем предусмотрено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ом, Исполнитель уплачивает Заказчику пеню.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ом, начиная со дня, следующего после дня истечения установленного настоящим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 срока исполнения обязательства, и устанавливается настоящим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 в размере 0,1% (ноль целых одна десятая процентов) от цены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а, уменьшенной на сумму, пропорциональную объёму обязательств, предусмотренных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ом и выполненных Исполнителем.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5.4. За каждый факт неисполнения или ненадлежащего исполнения Исполнителем обязательств, предусмотренных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ом, Заказчик вправе потребовать уплаты штрафа в размере 5% от максимального значения цены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а. 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Фактом неисполнения или ненадлежащего исполнения Исполнителем обязательства, предусмотренного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ом, которое не имеет стоимостного выражения, является непредставление (несвоевременное представление) платежных документов, перечисленных </w:t>
        <w:br/>
        <w:t xml:space="preserve">в п. 3.4.4. настоящего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а.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5.5. В случае просрочки исполнения Заказчиком обязательств, предусмотренных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ом, Исполнитель вправе потребовать уплаты неустоек (штрафов, пеней).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ом, начиная со дня, следующего после дня истечения установленного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 срока исполнения обязательства. Такая пеня устанавливается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ом в размере 0,1% (ноль целых одна десятая процентов) от неуплаченной в срок суммы.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Иные штрафные санкции, в том числе законная неустойка (пеня, штраф), а также законные проценты, предусмотренные статьей 317.1 Гражданского кодекса Российской Федерации, с Заказчика не взимаются.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5.6. Общая сумма начисленных штрафов за неисполнение или ненадлежащее исполнение Сторонами обязательств, предусмотренных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ом, не может превышать цену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а (соответствующего этапа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а).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ом, произошло вследствие непреодолимой силы или по вине другой Стороны.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5.8. Уплата неустойки (пени, штрафа) не освобождает Стороны от исполнения обязательств по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у.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5.9. Если в результате составления и выставления Исполнителем счёта на оплату, счёта-фактуры с нарушением порядка и требований, установленных законодательством Российской Федерации, Заказчик понёс расходы, связанные с уплатой доначисленных налоговыми органами по такому основанию сумм налога на добавленную стоимость, пеней и налоговых санкций, Исполнитель обязан компенсировать Заказчику сумму таких расходов.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>Основанием для компенсации являются решения налоговых органов, вынесенные по итогам проведения мероприятий налогового контроля. Сумма расходов компенсируется Исполнителем в течение 10 (десяти) рабочих дней с даты получения соответствующего письменного требования Заказчика.</w:t>
      </w:r>
    </w:p>
    <w:p>
      <w:pPr>
        <w:pStyle w:val="Normal"/>
        <w:widowControl w:val="false"/>
        <w:spacing w:lineRule="auto" w:line="240" w:before="0" w:after="0"/>
        <w:ind w:firstLine="705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5.10. </w:t>
      </w:r>
      <w:r>
        <w:rPr>
          <w:rFonts w:cs="Times New Roman"/>
          <w:sz w:val="23"/>
          <w:szCs w:val="23"/>
          <w:shd w:fill="auto" w:val="clear"/>
          <w:lang w:eastAsia="ru-RU"/>
        </w:rPr>
        <w:t xml:space="preserve">Неустойка, предусмотренная п. 5.3.-5.5.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cs="Times New Roman"/>
          <w:sz w:val="23"/>
          <w:szCs w:val="23"/>
          <w:shd w:fill="auto" w:val="clear"/>
          <w:lang w:eastAsia="ru-RU"/>
        </w:rPr>
        <w:t xml:space="preserve">а, оплачивается Исполнителем </w:t>
        <w:br/>
        <w:t xml:space="preserve">не позднее 10 (десяти) рабочих дней с момента получения требования от Заказчика. В случае неуплаты Исполнителем в установленный в настоящем пункте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cs="Times New Roman"/>
          <w:sz w:val="23"/>
          <w:szCs w:val="23"/>
          <w:shd w:fill="auto" w:val="clear"/>
          <w:lang w:eastAsia="ru-RU"/>
        </w:rPr>
        <w:t xml:space="preserve">а срок суммы неустойки, Заказчик вправе произвести взыскание неустойки при окончательном расчете </w:t>
        <w:br/>
        <w:t xml:space="preserve">с Исполнителем по </w:t>
      </w:r>
      <w:r>
        <w:rPr>
          <w:rFonts w:eastAsia="Times New Roman" w:cs="Times New Roman"/>
          <w:bCs/>
          <w:sz w:val="23"/>
          <w:szCs w:val="23"/>
          <w:shd w:fill="auto" w:val="clear"/>
          <w:lang w:eastAsia="ru-RU"/>
        </w:rPr>
        <w:t>Контракт</w:t>
      </w:r>
      <w:r>
        <w:rPr>
          <w:rFonts w:cs="Times New Roman"/>
          <w:sz w:val="23"/>
          <w:szCs w:val="23"/>
          <w:shd w:fill="auto" w:val="clear"/>
          <w:lang w:eastAsia="ru-RU"/>
        </w:rPr>
        <w:t>у, путем уменьшения окончательного расчета на сумму неустойки.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  <w:t xml:space="preserve">5.11. Ответственность Сторон в иных случаях определяется в соответствии </w:t>
        <w:br/>
        <w:t>с законодательством Российской Федерации.</w:t>
      </w:r>
    </w:p>
    <w:p>
      <w:pPr>
        <w:pStyle w:val="Normal"/>
        <w:ind w:firstLine="709"/>
        <w:jc w:val="both"/>
        <w:rPr>
          <w:rFonts w:eastAsia="Times New Roman" w:cs="Times New Roman"/>
          <w:sz w:val="23"/>
          <w:szCs w:val="23"/>
          <w:highlight w:val="none"/>
          <w:shd w:fill="auto" w:val="clear"/>
          <w:lang w:eastAsia="ru-RU"/>
        </w:rPr>
      </w:pPr>
      <w:r>
        <w:rPr>
          <w:rFonts w:eastAsia="Times New Roman" w:cs="Times New Roman"/>
          <w:sz w:val="23"/>
          <w:szCs w:val="23"/>
          <w:shd w:fill="auto" w:val="clear"/>
          <w:lang w:eastAsia="ru-RU"/>
        </w:rPr>
      </w:r>
    </w:p>
    <w:p>
      <w:pPr>
        <w:pStyle w:val="Normal"/>
        <w:ind w:firstLine="709"/>
        <w:jc w:val="center"/>
        <w:rPr>
          <w:b/>
        </w:rPr>
      </w:pPr>
      <w:r>
        <w:rPr>
          <w:b/>
          <w:shd w:fill="auto" w:val="clear"/>
        </w:rPr>
        <w:t>6. ФОРС-МАЖОРНЫЕ ОБСТОЯ</w:t>
      </w:r>
      <w:r>
        <w:rPr>
          <w:b/>
        </w:rPr>
        <w:t>ТЕЛЬСТВА</w:t>
      </w:r>
    </w:p>
    <w:p>
      <w:pPr>
        <w:pStyle w:val="Normal"/>
        <w:ind w:firstLine="709"/>
        <w:jc w:val="both"/>
        <w:rPr/>
      </w:pPr>
      <w:r>
        <w:rPr/>
        <w:t>6.1. 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 в результате непредвиденных и неотвратимых событий чрезвычайного характера.</w:t>
      </w:r>
    </w:p>
    <w:p>
      <w:pPr>
        <w:pStyle w:val="Normal"/>
        <w:ind w:firstLine="709"/>
        <w:jc w:val="both"/>
        <w:rPr/>
      </w:pPr>
      <w:r>
        <w:rPr/>
        <w:t>6.2. Форс–мажорными признаются обстоятельства, независимые от воли Сторон: стихийные бедствия, военные действия, действия государственных и муниципальных органов, не позволяющие исполнять обязательства по настоящему Контракту, выход оборудования, необходимого для оказания услуги, из строя, различные аварии – в системе водо- или теплоснабжения, в электросетях, на телефонной линии, у интернет-провайдера, резкое и существенное ухудшение погодных условий, социальные потрясения, волнения, чрезвычайные происшествия и катастрофы иного характера.</w:t>
      </w:r>
    </w:p>
    <w:p>
      <w:pPr>
        <w:pStyle w:val="Normal"/>
        <w:ind w:firstLine="709"/>
        <w:jc w:val="both"/>
        <w:rPr/>
      </w:pPr>
      <w:r>
        <w:rPr/>
        <w:t xml:space="preserve">6.3. Сторона, для которой наступили форс–мажорные обстоятельства, обязана в течении 3 (трех) дней известить другую Сторону об их наступлении. В этом случае срок исполнения Сторонами обязательств по Контракту отодвигается на период действия форс–мажорных обстоятельств, но не более чем на три месяца. </w:t>
      </w:r>
    </w:p>
    <w:p>
      <w:pPr>
        <w:pStyle w:val="Normal"/>
        <w:ind w:firstLine="709"/>
        <w:jc w:val="both"/>
        <w:rPr/>
      </w:pPr>
      <w:r>
        <w:rPr/>
        <w:t>6.4. Если по истечении 3 (трех) месяцев оказание услуг по настоящему Контракту не возобновляется, то он считается расторгнутым, а Исполнителю оплачивается фактически оказанный объем услуг.</w:t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  <w:t>7. КОНФИДЕНЦИАЛЬНОСТЬ</w:t>
      </w:r>
    </w:p>
    <w:p>
      <w:pPr>
        <w:pStyle w:val="Normal"/>
        <w:ind w:firstLine="709"/>
        <w:jc w:val="both"/>
        <w:rPr/>
      </w:pPr>
      <w:r>
        <w:rPr/>
        <w:t>7.1. Исполнитель обязуется сохранять конфиденциальность информации, полученной от Заказчика в ходе исполнения обязательств по настоящему Контракту, и информации, которая является результатом оказания услуг по настоящему Контракту, и не раскрывать ее без предварительного письменного согласия Заказчика третьим лицам, за исключением лиц, привлекаемых Исполнителем к исполнению настоящего Контракта, в период действия настоящего Контракта и до момента, когда указанная информация станет общедоступной. Исключение из этого составляет информация, которая на момент подписания настоящего Контракта является общедоступной.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>7.2. Стороны пришли к соглашению, что не является нарушением конфиденциальности предоставление информации в федеральные органы исполнительной власти, органы исполнительной власти субъекта Российской Федерации для реализации последними своих полномочий по контролю и надзору в установленной сфере деятельности в соответствии с законодательством Российской Федерации, включая, но не ограничиваясь, предоставлением информации в федеральные государственные информационные системы.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>7.3. Заказчик проинформирован и выражает свое согласие путем подписания настоящего Контракта, что Исполнитель передает информацию об оказанных услугах в государственные органы посредством внесения результатов таких услуг в федеральные государственные информационные системы в соответствии с действующим законодательством, в том числе в случае выявления в продукции, находящейся в обращении или объекты исследований, свойств, представляющих любую опасность для жизни и здоровья потребителей.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>7.4. Стороны выражают свое согласие на обработку персональных данных, которая включает в себя выполнение следующих действий: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уничтожение. Стороны обязаны соблюдать конфиденциальность и обеспечивать безопасность персональных данных, обрабатываемых в рамках выполнения обязательств по Контракту, согласно требованиям Федерального закона от 27 июля 2006 г. № 152-ФЗ «О персональных данных», и принятых в соответствии с ним иных нормативных правовых актов.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  <w:t>8. АНТИКОРРУПЦИОННАЯ ОГОВОРКА</w:t>
      </w:r>
    </w:p>
    <w:p>
      <w:pPr>
        <w:pStyle w:val="Normal"/>
        <w:ind w:firstLine="709"/>
        <w:jc w:val="both"/>
        <w:rPr/>
      </w:pPr>
      <w:bookmarkStart w:id="14" w:name="Par1"/>
      <w:bookmarkEnd w:id="14"/>
      <w:r>
        <w:rPr/>
        <w:t>8.1. 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ценностей, прямо или косвенно, в любой форме, в том числе в виде подарков, предоставления прав, услуг, имущества любым лицам, чтобы оказать влияние на их действия или решения с целью получить какие-либо неправомерные преимущества и выгоды для себя или третьих лиц или с иными противоправными целями.</w:t>
      </w:r>
    </w:p>
    <w:p>
      <w:pPr>
        <w:pStyle w:val="Normal"/>
        <w:ind w:firstLine="709"/>
        <w:jc w:val="both"/>
        <w:rPr/>
      </w:pPr>
      <w:r>
        <w:rPr/>
        <w:t>Также Стороны, их работники, представители и аффилированные лица при исполнении Контракта не осуществляют действий, квалифицируемых российским законодательством как коррупционные, в том числе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служебным положением или должностными полномочиями, незаконное вознаграждение от имени юридического лица.</w:t>
      </w:r>
    </w:p>
    <w:p>
      <w:pPr>
        <w:pStyle w:val="Normal"/>
        <w:ind w:firstLine="709"/>
        <w:jc w:val="both"/>
        <w:rPr/>
      </w:pPr>
      <w:bookmarkStart w:id="15" w:name="Par3"/>
      <w:bookmarkEnd w:id="15"/>
      <w:r>
        <w:rPr/>
        <w:t xml:space="preserve">8.2. В случае возникновения у Стороны подозрений, что произошло или может произойти нарушение </w:t>
      </w:r>
      <w:hyperlink w:anchor="Par1">
        <w:r>
          <w:rPr>
            <w:rStyle w:val="Style6"/>
          </w:rPr>
          <w:t>п. 8.1</w:t>
        </w:r>
      </w:hyperlink>
      <w:r>
        <w:rPr/>
        <w:t xml:space="preserve"> 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>
      <w:pPr>
        <w:pStyle w:val="Normal"/>
        <w:ind w:firstLine="709"/>
        <w:jc w:val="both"/>
        <w:rPr/>
      </w:pPr>
      <w:r>
        <w:rPr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>
      <w:pPr>
        <w:pStyle w:val="Normal"/>
        <w:ind w:firstLine="709"/>
        <w:jc w:val="both"/>
        <w:rPr/>
      </w:pPr>
      <w:r>
        <w:rPr/>
        <w:t xml:space="preserve">8.3. Исполнение обязательств по Контракту приостанавливается с момента направления стороной уведомления, указанного в </w:t>
      </w:r>
      <w:hyperlink w:anchor="Par3">
        <w:r>
          <w:rPr>
            <w:rStyle w:val="Style6"/>
          </w:rPr>
          <w:t>п. 8.2</w:t>
        </w:r>
      </w:hyperlink>
      <w:r>
        <w:rPr/>
        <w:t xml:space="preserve"> Контракта, до момента получения ею ответа.</w:t>
      </w:r>
    </w:p>
    <w:p>
      <w:pPr>
        <w:pStyle w:val="Normal"/>
        <w:ind w:firstLine="709"/>
        <w:jc w:val="both"/>
        <w:rPr/>
      </w:pPr>
      <w:r>
        <w:rPr/>
        <w:t xml:space="preserve">8.4. Если подтвердилось нарушение другой Стороной обязательств, указанных в </w:t>
      </w:r>
      <w:hyperlink w:anchor="Par1">
        <w:r>
          <w:rPr>
            <w:rStyle w:val="Style6"/>
          </w:rPr>
          <w:t>п. 8.1</w:t>
        </w:r>
      </w:hyperlink>
      <w:r>
        <w:rPr/>
        <w:t xml:space="preserve"> 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  <w:t>9. ПРОЧИЕ УСЛОВИЯ</w:t>
      </w:r>
    </w:p>
    <w:p>
      <w:pPr>
        <w:pStyle w:val="Normal"/>
        <w:ind w:firstLine="709"/>
        <w:jc w:val="both"/>
        <w:rPr/>
      </w:pPr>
      <w:r>
        <w:rPr/>
        <w:t xml:space="preserve">9.1. Условия настоящего Контракта могут быть изменены при наличии объективных причин. Любые изменения и дополнения к настоящему Контракту действительны лишь при условии, что они совершены в письменной форме и подписаны уполномоченными на то представителями Сторон. </w:t>
      </w:r>
    </w:p>
    <w:p>
      <w:pPr>
        <w:pStyle w:val="Normal"/>
        <w:ind w:firstLine="709"/>
        <w:jc w:val="both"/>
        <w:rPr/>
      </w:pPr>
      <w:r>
        <w:rPr/>
        <w:t>9.2. Все изменения и дополнения к настоящему Контракту оформляются дополнительными соглашениями.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ind w:firstLine="709"/>
        <w:jc w:val="both"/>
        <w:rPr/>
      </w:pPr>
      <w:r>
        <w:rPr/>
        <w:t>9.3. Стороны признают надлежащим подписание Контракта, отчетов, актов, дополнительных соглашений путем обмена отсканированными копиями по электронной почте. Такие документы обладают полной юридической силой до момента получения сторонами оригиналов документов.</w:t>
      </w:r>
    </w:p>
    <w:p>
      <w:pPr>
        <w:pStyle w:val="Normal"/>
        <w:ind w:firstLine="709"/>
        <w:jc w:val="both"/>
        <w:rPr/>
      </w:pPr>
      <w:r>
        <w:rPr/>
        <w:t>Все письменные уведомления, извещения и запросы по настоящему Контракту Стороны вправе направлять контрагенту с использованием электронной почты с последующей передачей оригиналов этих документов.</w:t>
      </w:r>
    </w:p>
    <w:p>
      <w:pPr>
        <w:pStyle w:val="Normal"/>
        <w:ind w:firstLine="709"/>
        <w:jc w:val="both"/>
        <w:rPr/>
      </w:pPr>
      <w:r>
        <w:rPr/>
        <w:t>Стороны признают обязательную силу за перепиской по</w:t>
        <w:br/>
        <w:t>адресам e-mail, программ – мессенджеров указанным в настоящем Контракте, и</w:t>
        <w:br/>
        <w:t>пересылаемыми посредством нее документами (содержимое электронных писем). Простые</w:t>
        <w:br/>
        <w:t>распечатки (скриншоты) с почтовых ящиков подтверждают факт оказания услуг,</w:t>
        <w:br/>
        <w:t>выполнения работ, обмен документами, изменение ранее заключенного Контракта и другие</w:t>
        <w:br/>
        <w:t>юридически значимые действия.</w:t>
      </w:r>
    </w:p>
    <w:p>
      <w:pPr>
        <w:pStyle w:val="Normal"/>
        <w:ind w:firstLine="709"/>
        <w:jc w:val="both"/>
        <w:rPr/>
      </w:pPr>
      <w:r>
        <w:rPr/>
        <w:t xml:space="preserve">9.4. Стороны подтверждают взаимное согласие на обмен юридически значимыми документами, адресованными Сторонам Контракта, в электронном виде. </w:t>
      </w:r>
    </w:p>
    <w:p>
      <w:pPr>
        <w:pStyle w:val="Normal"/>
        <w:ind w:firstLine="709"/>
        <w:jc w:val="both"/>
        <w:rPr/>
      </w:pPr>
      <w:r>
        <w:rPr/>
        <w:t>Обмен документами в электронном виде может быть осуществлен по телекоммуникационным каналам связи через систему электронного документооборота Контур.Диадок с соблюдением требований российского законодательства.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9.5. Во всем, что не предусмотрено настоящим Контрактом, Стороны руководствуются действующим законодательством Российской Федерации. </w:t>
      </w:r>
    </w:p>
    <w:p>
      <w:pPr>
        <w:pStyle w:val="Normal"/>
        <w:ind w:firstLine="709"/>
        <w:jc w:val="both"/>
        <w:rPr/>
      </w:pPr>
      <w:r>
        <w:rPr/>
        <w:t>9.6. Споры, возникшие в процессе исполнения настоящего Контракта, разрешаются путем переговоров, а в случае недостижения согласия между Сторонами в месячный срок с момента начала переговоров, могут быть переданы на рассмотрение в Арбитражный суд по месту нахож</w:t>
      </w:r>
      <w:r>
        <w:rPr>
          <w:sz w:val="24"/>
          <w:szCs w:val="24"/>
        </w:rPr>
        <w:t>дения истца.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9.7.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9.8. Настоящий Контр</w:t>
      </w:r>
      <w:r>
        <w:rPr>
          <w:sz w:val="24"/>
          <w:szCs w:val="24"/>
          <w:shd w:fill="auto" w:val="clear"/>
        </w:rPr>
        <w:t>акт составлен в 2 (двух) экземплярах, имеющих равную юридическую силу, по одному экземпляру для каждой стороны.</w:t>
      </w:r>
    </w:p>
    <w:p>
      <w:pPr>
        <w:pStyle w:val="Normal"/>
        <w:widowControl w:val="false"/>
        <w:spacing w:lineRule="auto" w:line="240"/>
        <w:ind w:hanging="0"/>
        <w:rPr>
          <w:highlight w:val="none"/>
          <w:shd w:fill="auto" w:val="clear"/>
        </w:rPr>
      </w:pPr>
      <w:r>
        <w:rPr>
          <w:rFonts w:eastAsia="Calibri"/>
          <w:sz w:val="24"/>
          <w:szCs w:val="24"/>
          <w:shd w:fill="auto" w:val="clear"/>
        </w:rPr>
        <w:tab/>
        <w:t>9.9. Перечень приложений, являющихся неотъемлемой частью Контракта:</w:t>
      </w:r>
    </w:p>
    <w:p>
      <w:pPr>
        <w:pStyle w:val="Normal"/>
        <w:widowControl w:val="false"/>
        <w:spacing w:lineRule="auto" w:line="240"/>
        <w:ind w:firstLine="851"/>
        <w:rPr>
          <w:highlight w:val="none"/>
          <w:shd w:fill="auto" w:val="clear"/>
        </w:rPr>
      </w:pPr>
      <w:r>
        <w:rPr>
          <w:rFonts w:eastAsia="Calibri"/>
          <w:sz w:val="24"/>
          <w:szCs w:val="24"/>
          <w:shd w:fill="auto" w:val="clear"/>
        </w:rPr>
        <w:t xml:space="preserve">1) </w:t>
      </w:r>
      <w:r>
        <w:rPr>
          <w:sz w:val="24"/>
          <w:szCs w:val="24"/>
          <w:shd w:fill="auto" w:val="clear"/>
        </w:rPr>
        <w:t xml:space="preserve">приложение № 1 к </w:t>
      </w:r>
      <w:r>
        <w:rPr>
          <w:rFonts w:eastAsia="Calibri"/>
          <w:sz w:val="24"/>
          <w:szCs w:val="24"/>
          <w:shd w:fill="auto" w:val="clear"/>
        </w:rPr>
        <w:t xml:space="preserve">Контракту </w:t>
      </w:r>
      <w:r>
        <w:rPr>
          <w:sz w:val="24"/>
          <w:szCs w:val="24"/>
          <w:shd w:fill="auto" w:val="clear"/>
        </w:rPr>
        <w:t xml:space="preserve"> «спецификация»;</w:t>
      </w:r>
    </w:p>
    <w:p>
      <w:pPr>
        <w:pStyle w:val="ConsPlusNormal"/>
        <w:widowControl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2) </w:t>
      </w:r>
      <w:r>
        <w:rPr>
          <w:rFonts w:eastAsia="Calibri" w:ascii="Times New Roman" w:hAnsi="Times New Roman"/>
          <w:b w:val="false"/>
          <w:bCs w:val="false"/>
          <w:sz w:val="24"/>
          <w:szCs w:val="24"/>
          <w:shd w:fill="auto" w:val="clear"/>
        </w:rPr>
        <w:t>приложение № 2 к Контракту «</w:t>
      </w:r>
      <w:r>
        <w:rPr>
          <w:rFonts w:eastAsia="Calibri"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общий перечень услуг Исполнителя»</w:t>
      </w:r>
    </w:p>
    <w:p>
      <w:pPr>
        <w:pStyle w:val="ConsPlusNormal"/>
        <w:widowControl/>
        <w:ind w:firstLine="709"/>
        <w:rPr>
          <w:rFonts w:ascii="Times New Roman" w:hAnsi="Times New Roman" w:eastAsia="Calibri"/>
          <w:b w:val="false"/>
          <w:bCs w:val="false"/>
          <w:sz w:val="24"/>
          <w:szCs w:val="24"/>
          <w:highlight w:val="none"/>
          <w:u w:val="none"/>
          <w:shd w:fill="auto" w:val="clear"/>
        </w:rPr>
      </w:pPr>
      <w:r>
        <w:rPr>
          <w:rFonts w:eastAsia="Calibri"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r>
    </w:p>
    <w:p>
      <w:pPr>
        <w:pStyle w:val="ConsPlusNormal"/>
        <w:widowControl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10. ЮРИДИЧЕСКИЕ АДРЕСА И БАНКОВСКИЕ РЕКВИЗИТЫ СТОРОН</w:t>
      </w:r>
    </w:p>
    <w:tbl>
      <w:tblPr>
        <w:tblW w:w="1002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849"/>
        <w:gridCol w:w="5171"/>
      </w:tblGrid>
      <w:tr>
        <w:trPr>
          <w:trHeight w:val="10020" w:hRule="atLeast"/>
        </w:trPr>
        <w:tc>
          <w:tcPr>
            <w:tcW w:w="4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6"/>
              <w:spacing w:before="0" w:after="0"/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ИСПОЛНИТЕЛЬ:</w:t>
            </w:r>
          </w:p>
          <w:p>
            <w:pPr>
              <w:pStyle w:val="Normal"/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firstLine="709"/>
              <w:rPr>
                <w:b/>
                <w:i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</w:r>
          </w:p>
          <w:p>
            <w:pPr>
              <w:pStyle w:val="Normal"/>
              <w:ind w:hanging="0" w:start="0"/>
              <w:rPr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_________________</w:t>
            </w:r>
            <w:r>
              <w:rPr>
                <w:b/>
                <w:iCs/>
                <w:sz w:val="23"/>
                <w:szCs w:val="23"/>
              </w:rPr>
              <w:t xml:space="preserve"> </w:t>
            </w:r>
          </w:p>
          <w:p>
            <w:pPr>
              <w:pStyle w:val="Normal"/>
              <w:ind w:hanging="0" w:star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МП      </w:t>
            </w:r>
          </w:p>
          <w:p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</w:rPr>
            </w:r>
          </w:p>
        </w:tc>
        <w:tc>
          <w:tcPr>
            <w:tcW w:w="51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fill="FFFFFF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ЗАКАЗЧИК:</w:t>
            </w:r>
          </w:p>
          <w:p>
            <w:pPr>
              <w:pStyle w:val="Normal"/>
              <w:shd w:val="clear" w:fill="FFFFFF"/>
              <w:rPr>
                <w:sz w:val="23"/>
                <w:szCs w:val="23"/>
              </w:rPr>
            </w:pPr>
            <w:sdt>
              <w:sdtPr>
                <w:dataBinding w:prefixMappings="xmlns:ns0='http://schemas.microsoft.com/office/2006/coverPageProps' " w:xpath="/ns0:CoverPageProperties[1]/ns0:Abstract[1]" w:storeItemID="{55AF091B-3C7A-41E3-B477-F2FDAA23CFDA}"/>
                <w15:color w:val="FF0000"/>
                <w:alias w:val="Сокр. заказчик"/>
                <w:id w:val="232973548"/>
                <w:text/>
              </w:sdtPr>
              <w:sdtContent>
                <w:r>
                  <w:rPr>
                    <w:b/>
                    <w:bCs/>
                    <w:sz w:val="23"/>
                    <w:szCs w:val="23"/>
                    <w:shd w:fill="FFFFFF" w:val="clear"/>
                  </w:rPr>
                </w:r>
                <w:r>
                  <w:rPr>
                    <w:b/>
                    <w:bCs/>
                    <w:sz w:val="23"/>
                    <w:szCs w:val="23"/>
                    <w:shd w:fill="FFFFFF" w:val="clear"/>
                  </w:rPr>
                  <w:t>Северо-Восточный филиал ФГБУ «Главрыбвод», действующий от имени Федерального государственного бюджетного учреждения «Главное бассейновое управление по рыболовству и сохранению водных биологических ресурсов»</w:t>
                </w:r>
              </w:sdtContent>
            </w:sdt>
          </w:p>
          <w:p>
            <w:pPr>
              <w:pStyle w:val="Normal"/>
              <w:widowControl w:val="false"/>
              <w:tabs>
                <w:tab w:val="clear" w:pos="708"/>
                <w:tab w:val="left" w:pos="3545" w:leader="none"/>
                <w:tab w:val="left" w:pos="4202" w:leader="none"/>
              </w:tabs>
              <w:spacing w:lineRule="auto" w:line="240"/>
              <w:ind w:hanging="0" w:start="0" w:end="0"/>
              <w:jc w:val="star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местонахождения: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683009, г. Петропавловск-Камчатский,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ул. Академика Королева, д.58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45" w:leader="none"/>
                <w:tab w:val="left" w:pos="4202" w:leader="none"/>
              </w:tabs>
              <w:bidi w:val="0"/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2"/>
                <w:szCs w:val="22"/>
                <w:u w:val="none"/>
              </w:rPr>
            </w:pPr>
            <w:r>
              <w:rPr>
                <w:rFonts w:cs="Times New Roman"/>
                <w:sz w:val="22"/>
                <w:szCs w:val="22"/>
                <w:u w:val="none"/>
              </w:rPr>
              <w:t>Банковские реквизиты:</w:t>
            </w:r>
          </w:p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2"/>
                <w:szCs w:val="22"/>
                <w:u w:val="none"/>
              </w:rPr>
            </w:pPr>
            <w:r>
              <w:rPr>
                <w:rFonts w:cs="Times New Roman"/>
                <w:sz w:val="22"/>
                <w:szCs w:val="22"/>
                <w:u w:val="none"/>
              </w:rPr>
              <w:t>ИНН 7708044880  КПП 410143001</w:t>
            </w:r>
          </w:p>
          <w:p>
            <w:pPr>
              <w:pStyle w:val="Normal"/>
              <w:spacing w:lineRule="auto" w:line="240" w:before="0" w:after="0"/>
              <w:ind w:hanging="0" w:end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Получатель: Управление Федерального казначейства по Приморскому</w:t>
            </w:r>
            <w:bookmarkStart w:id="16" w:name="_GoBack"/>
            <w:bookmarkEnd w:id="16"/>
            <w:r>
              <w:rPr>
                <w:rFonts w:cs="Times New Roman"/>
                <w:sz w:val="22"/>
                <w:szCs w:val="22"/>
              </w:rPr>
              <w:t xml:space="preserve"> краю (Северо-Восточный филиал ФГБУ «Главрыбвод» л/с 20386Н46560)</w:t>
            </w:r>
          </w:p>
          <w:p>
            <w:pPr>
              <w:pStyle w:val="Normal"/>
              <w:spacing w:lineRule="auto" w:line="240" w:before="0" w:after="0"/>
              <w:ind w:hanging="0" w:end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  <w:t>Банк: ОКЦ № 1 ДГУ Банка России//УФК по Приморскому краю, г Владивосток</w:t>
            </w:r>
          </w:p>
          <w:p>
            <w:pPr>
              <w:pStyle w:val="Normal"/>
              <w:spacing w:lineRule="auto" w:line="240" w:before="0" w:after="0"/>
              <w:ind w:hanging="0" w:end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БИК: 010507002</w:t>
            </w:r>
          </w:p>
          <w:p>
            <w:pPr>
              <w:pStyle w:val="Normal"/>
              <w:spacing w:lineRule="auto" w:line="240" w:before="0" w:after="0"/>
              <w:ind w:hanging="0" w:end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Р/с: 03214643000000012002</w:t>
            </w:r>
          </w:p>
          <w:p>
            <w:pPr>
              <w:pStyle w:val="Normal"/>
              <w:spacing w:lineRule="auto" w:line="240" w:before="0" w:after="0"/>
              <w:ind w:hanging="0" w:end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  <w:t>К/с: 40102810545370000012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1037739477764 ОКТМО 30701000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7708044880 КПП 410143001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45" w:leader="none"/>
              </w:tabs>
              <w:snapToGrid w:val="false"/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ОКПО 20124164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E-Mail: svrvzakupki@mail.ru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тел.: (4152)23-58-48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ФГБУ «Главрыбвод»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местонахождения: 115114, г. Москва, переулок Дербеневский 1-й, д. 5, стр. 4, оф. 101,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7708044880</w:t>
            </w:r>
          </w:p>
          <w:p>
            <w:pPr>
              <w:pStyle w:val="Normal"/>
              <w:tabs>
                <w:tab w:val="clear" w:pos="708"/>
                <w:tab w:val="left" w:pos="3545" w:leader="none"/>
                <w:tab w:val="left" w:pos="4202" w:leader="none"/>
              </w:tabs>
              <w:spacing w:lineRule="auto" w:line="240"/>
              <w:ind w:hanging="0" w:end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ОГРН 1037739477764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45" w:leader="none"/>
                <w:tab w:val="left" w:pos="4202" w:leader="none"/>
              </w:tabs>
              <w:spacing w:lineRule="auto" w:line="240" w:before="0" w:after="0"/>
              <w:ind w:hanging="0" w:end="0"/>
              <w:jc w:val="start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cs="Times New Roman"/>
                <w:b/>
                <w:bCs/>
                <w:iCs/>
                <w:sz w:val="23"/>
                <w:szCs w:val="23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center" w:pos="4854" w:leader="none"/>
                <w:tab w:val="right" w:pos="9355" w:leader="none"/>
              </w:tabs>
              <w:rPr>
                <w:sz w:val="23"/>
                <w:szCs w:val="23"/>
              </w:rPr>
            </w:pPr>
            <w:r>
              <w:rPr>
                <w:b/>
                <w:bCs/>
                <w:iCs/>
                <w:color w:themeColor="text1" w:val="000000"/>
                <w:sz w:val="23"/>
                <w:szCs w:val="23"/>
              </w:rPr>
              <w:t>И.о. заместителя начальника учреждения –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center" w:pos="4854" w:leader="none"/>
                <w:tab w:val="right" w:pos="9355" w:leader="none"/>
              </w:tabs>
              <w:rPr>
                <w:sz w:val="23"/>
                <w:szCs w:val="23"/>
              </w:rPr>
            </w:pPr>
            <w:r>
              <w:rPr>
                <w:b/>
                <w:bCs/>
                <w:iCs/>
                <w:color w:themeColor="text1" w:val="000000"/>
                <w:sz w:val="23"/>
                <w:szCs w:val="23"/>
              </w:rPr>
              <w:t>начальника филиала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center" w:pos="4854" w:leader="none"/>
                <w:tab w:val="right" w:pos="9355" w:leader="none"/>
              </w:tabs>
              <w:ind w:firstLine="709"/>
              <w:rPr>
                <w:b/>
                <w:bCs/>
                <w:iCs/>
                <w:color w:themeColor="text1" w:val="000000"/>
                <w:sz w:val="23"/>
                <w:szCs w:val="23"/>
              </w:rPr>
            </w:pPr>
            <w:r>
              <w:rPr>
                <w:b/>
                <w:bCs/>
                <w:iCs/>
                <w:color w:themeColor="text1" w:val="000000"/>
                <w:sz w:val="23"/>
                <w:szCs w:val="23"/>
              </w:rPr>
            </w:r>
          </w:p>
          <w:p>
            <w:pPr>
              <w:pStyle w:val="Header"/>
              <w:tabs>
                <w:tab w:val="center" w:pos="2390" w:leader="none"/>
                <w:tab w:val="center" w:pos="4677" w:leader="none"/>
                <w:tab w:val="right" w:pos="9355" w:leader="none"/>
              </w:tabs>
              <w:ind w:hanging="0" w:start="0"/>
              <w:rPr>
                <w:sz w:val="23"/>
                <w:szCs w:val="23"/>
              </w:rPr>
            </w:pPr>
            <w:r>
              <w:rPr>
                <w:i/>
                <w:iCs/>
                <w:color w:themeColor="text1" w:val="000000"/>
                <w:sz w:val="23"/>
                <w:szCs w:val="23"/>
              </w:rPr>
              <w:t>__________________</w:t>
            </w:r>
            <w:r>
              <w:rPr>
                <w:color w:themeColor="text1"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themeColor="text1" w:val="000000"/>
                <w:sz w:val="23"/>
                <w:szCs w:val="23"/>
              </w:rPr>
              <w:t>А.В. Басов</w:t>
            </w:r>
          </w:p>
          <w:p>
            <w:pPr>
              <w:pStyle w:val="Header"/>
              <w:tabs>
                <w:tab w:val="center" w:pos="2390" w:leader="none"/>
                <w:tab w:val="center" w:pos="4677" w:leader="none"/>
                <w:tab w:val="right" w:pos="9355" w:leader="none"/>
              </w:tabs>
              <w:ind w:firstLine="179"/>
              <w:rPr>
                <w:sz w:val="23"/>
                <w:szCs w:val="23"/>
              </w:rPr>
            </w:pPr>
            <w:bookmarkStart w:id="17" w:name="_Hlk188276454"/>
            <w:r>
              <w:rPr>
                <w:color w:themeColor="text1" w:val="000000"/>
                <w:sz w:val="23"/>
                <w:szCs w:val="23"/>
              </w:rPr>
              <w:t xml:space="preserve">МП </w:t>
            </w:r>
            <w:bookmarkStart w:id="18" w:name="_Hlk196743256"/>
            <w:bookmarkEnd w:id="17"/>
            <w:bookmarkEnd w:id="18"/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134" w:right="566" w:gutter="0" w:header="180" w:top="795" w:footer="207" w:bottom="567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widowControl w:val="false"/>
        <w:ind w:firstLine="709"/>
        <w:jc w:val="e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widowControl w:val="false"/>
        <w:ind w:firstLine="709"/>
        <w:jc w:val="e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widowControl w:val="false"/>
        <w:ind w:firstLine="709"/>
        <w:jc w:val="e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widowControl w:val="false"/>
        <w:ind w:firstLine="709"/>
        <w:jc w:val="e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widowControl w:val="false"/>
        <w:ind w:firstLine="709"/>
        <w:jc w:val="e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2 к Контракту </w:t>
      </w:r>
    </w:p>
    <w:p>
      <w:pPr>
        <w:pStyle w:val="Normal"/>
        <w:widowControl w:val="false"/>
        <w:ind w:firstLine="709"/>
        <w:jc w:val="e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_______2026 № _________</w:t>
      </w:r>
    </w:p>
    <w:p>
      <w:pPr>
        <w:pStyle w:val="Normal"/>
        <w:widowControl w:val="false"/>
        <w:ind w:firstLine="709"/>
        <w:jc w:val="end"/>
        <w:rPr/>
      </w:pPr>
      <w:r>
        <w:rPr/>
      </w:r>
    </w:p>
    <w:p>
      <w:pPr>
        <w:pStyle w:val="Normal"/>
        <w:widowControl w:val="false"/>
        <w:ind w:firstLine="709"/>
        <w:jc w:val="center"/>
        <w:rPr>
          <w:b/>
          <w:bCs/>
        </w:rPr>
      </w:pPr>
      <w:r>
        <w:rPr>
          <w:b/>
          <w:bCs/>
        </w:rPr>
        <w:t xml:space="preserve">ПЕРЕЧЕНЬ ПЛАТНЫХ УСЛУГ, </w:t>
        <w:br/>
        <w:t>ОКАЗЫВАЕМЫХ_____________</w:t>
      </w:r>
    </w:p>
    <w:p>
      <w:pPr>
        <w:pStyle w:val="Normal"/>
        <w:widowControl w:val="false"/>
        <w:ind w:firstLine="709"/>
        <w:jc w:val="center"/>
        <w:rPr>
          <w:b/>
          <w:bCs/>
        </w:rPr>
      </w:pPr>
      <w:r>
        <w:rPr>
          <w:b/>
          <w:bCs/>
        </w:rPr>
      </w:r>
    </w:p>
    <w:tbl>
      <w:tblPr>
        <w:tblStyle w:val="af5"/>
        <w:tblW w:w="1516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03"/>
        <w:gridCol w:w="6343"/>
        <w:gridCol w:w="3155"/>
        <w:gridCol w:w="4962"/>
      </w:tblGrid>
      <w:tr>
        <w:trPr/>
        <w:tc>
          <w:tcPr>
            <w:tcW w:w="7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п/п</w:t>
            </w:r>
          </w:p>
        </w:tc>
        <w:tc>
          <w:tcPr>
            <w:tcW w:w="63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 xml:space="preserve">Наименование услуг </w:t>
            </w:r>
          </w:p>
        </w:tc>
        <w:tc>
          <w:tcPr>
            <w:tcW w:w="31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 xml:space="preserve">Срок оказания </w:t>
              <w:br/>
              <w:t>услуг</w:t>
            </w:r>
            <w:r>
              <w:rPr>
                <w:rStyle w:val="EndnoteReference"/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endnoteReference w:id="2"/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, в днях</w:t>
            </w:r>
          </w:p>
        </w:tc>
        <w:tc>
          <w:tcPr>
            <w:tcW w:w="49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 xml:space="preserve">Результат оказания услуг 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1.</w:t>
            </w:r>
          </w:p>
        </w:tc>
        <w:tc>
          <w:tcPr>
            <w:tcW w:w="1446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Endnote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Endnote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Endnote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Endnote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Заказчик: Северо-Восточный филиал ФГБУ «Главрыбвод», действующий от имени Федерального государственного бюджетного учреждения «Главное бассейновое управление по рыболовству и сохранению водных биологических ресурсов»</w:t>
      </w:r>
    </w:p>
    <w:p>
      <w:pPr>
        <w:pStyle w:val="Endnote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EndnoteTex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 xml:space="preserve">С перечнем услуг ___________________________, их особенностями, сроками и результатами ознакомлен и согласен: </w:t>
      </w:r>
    </w:p>
    <w:p>
      <w:pPr>
        <w:pStyle w:val="EndnoteText"/>
        <w:rPr>
          <w:b/>
          <w:bCs/>
          <w:i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color w:val="FF0000"/>
          <w:sz w:val="24"/>
          <w:szCs w:val="24"/>
        </w:rPr>
      </w:r>
    </w:p>
    <w:p>
      <w:pPr>
        <w:pStyle w:val="Normal"/>
        <w:widowControl w:val="false"/>
        <w:ind w:hanging="0"/>
        <w:rPr>
          <w:b w:val="false"/>
          <w:bCs w:val="false"/>
        </w:rPr>
      </w:pPr>
      <w:r>
        <w:rPr>
          <w:b w:val="false"/>
          <w:bCs w:val="false"/>
        </w:rPr>
        <w:t>И.о. заместителя начальника учреждения –</w:t>
      </w:r>
    </w:p>
    <w:p>
      <w:pPr>
        <w:pStyle w:val="Normal"/>
        <w:widowControl w:val="false"/>
        <w:ind w:hanging="0"/>
        <w:rPr>
          <w:b w:val="false"/>
          <w:bCs w:val="false"/>
        </w:rPr>
      </w:pPr>
      <w:r>
        <w:rPr>
          <w:b w:val="false"/>
          <w:bCs w:val="false"/>
        </w:rPr>
        <w:t>начальника филиала</w:t>
      </w:r>
    </w:p>
    <w:p>
      <w:pPr>
        <w:pStyle w:val="Normal"/>
        <w:widowControl w:val="false"/>
        <w:ind w:hanging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 w:val="false"/>
        <w:ind w:hanging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 w:val="false"/>
        <w:ind w:hanging="0"/>
        <w:rPr>
          <w:b w:val="false"/>
          <w:bCs w:val="false"/>
        </w:rPr>
      </w:pPr>
      <w:r>
        <w:rPr>
          <w:b w:val="false"/>
          <w:bCs w:val="false"/>
        </w:rPr>
        <w:t xml:space="preserve">___________________ А.В. Басов </w:t>
      </w:r>
    </w:p>
    <w:p>
      <w:pPr>
        <w:pStyle w:val="Normal"/>
        <w:widowControl w:val="false"/>
        <w:ind w:hanging="0"/>
        <w:rPr/>
      </w:pPr>
      <w:r>
        <w:rPr/>
        <w:t>МП (при наличии)</w:t>
      </w:r>
    </w:p>
    <w:p>
      <w:pPr>
        <w:pStyle w:val="Normal"/>
        <w:widowControl w:val="false"/>
        <w:ind w:hanging="0"/>
        <w:rPr/>
      </w:pPr>
      <w:r>
        <w:rPr/>
      </w:r>
    </w:p>
    <w:p>
      <w:pPr>
        <w:pStyle w:val="Normal"/>
        <w:widowControl w:val="false"/>
        <w:ind w:hanging="0"/>
        <w:rPr/>
      </w:pPr>
      <w:r>
        <w:rPr/>
      </w:r>
    </w:p>
    <w:p>
      <w:pPr>
        <w:pStyle w:val="Normal"/>
        <w:widowControl w:val="false"/>
        <w:ind w:hanging="0"/>
        <w:rPr/>
      </w:pPr>
      <w:r>
        <w:rPr/>
      </w:r>
    </w:p>
    <w:p>
      <w:pPr>
        <w:pStyle w:val="Normal"/>
        <w:widowControl w:val="false"/>
        <w:ind w:hanging="0"/>
        <w:rPr/>
      </w:pPr>
      <w:r>
        <w:rPr/>
      </w:r>
    </w:p>
    <w:p>
      <w:pPr>
        <w:pStyle w:val="Normal"/>
        <w:widowControl w:val="false"/>
        <w:ind w:hanging="0"/>
        <w:rPr/>
      </w:pPr>
      <w:r>
        <w:rPr/>
      </w:r>
    </w:p>
    <w:p>
      <w:pPr>
        <w:pStyle w:val="Normal"/>
        <w:widowControl w:val="false"/>
        <w:ind w:hanging="0"/>
        <w:rPr/>
      </w:pPr>
      <w:r>
        <w:rPr/>
      </w:r>
    </w:p>
    <w:p>
      <w:pPr>
        <w:pStyle w:val="Normal"/>
        <w:widowControl w:val="false"/>
        <w:ind w:hanging="0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 xml:space="preserve"> </w:t>
      </w:r>
      <w:r>
        <w:rPr>
          <w:sz w:val="20"/>
          <w:szCs w:val="20"/>
        </w:rPr>
        <w:t>В случае возникновения при оказании услуг непредвиденных обстоятельств, в том числе при необходимости проведения сложных и длительных исследований, Исполнитель вправе продлить срок оказания услуг по своему усмотрению, уведомив Заказчика в течение 3 (Три) рабочих дней с даты возникновения непредвиденных обстоятельств.</w:t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endnotePr>
        <w:pos w:val="sectEnd"/>
        <w:numFmt w:val="lowerRoman"/>
      </w:endnotePr>
      <w:type w:val="nextPage"/>
      <w:pgSz w:orient="landscape" w:w="16838" w:h="11906"/>
      <w:pgMar w:left="719" w:right="795" w:gutter="0" w:header="180" w:top="709" w:footer="207" w:bottom="264"/>
      <w:pgNumType w:fmt="decimal"/>
      <w:formProt w:val="false"/>
      <w:titlePg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Normal"/>
        <w:spacing w:before="0" w:after="0"/>
        <w:ind w:hanging="0" w:start="0"/>
        <w:jc w:val="both"/>
        <w:rPr>
          <w:sz w:val="20"/>
          <w:szCs w:val="20"/>
        </w:rPr>
      </w:pPr>
      <w:r>
        <w:rPr>
          <w:rStyle w:val="Style15"/>
        </w:rPr>
        <w:endnoteRef/>
      </w:r>
      <w:r>
        <w:rP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b/>
        <w:iCs/>
      </w:rPr>
    </w:pPr>
    <w:r>
      <w:rPr>
        <w:b/>
        <w:iCs/>
      </w:rPr>
    </w:r>
  </w:p>
  <w:p>
    <w:pPr>
      <w:pStyle w:val="Header"/>
      <w:jc w:val="end"/>
      <w:rPr>
        <w:b/>
        <w:iCs/>
      </w:rPr>
    </w:pPr>
    <w:r>
      <w:rPr>
        <w:b/>
        <w:iCs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Проект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b/>
        <w:iCs/>
      </w:rPr>
    </w:pPr>
    <w:r>
      <w:rPr>
        <w:b/>
        <w:iCs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keepNext w:val="false"/>
      <w:keepLines w:val="false"/>
      <w:widowControl w:val="false"/>
      <w:shd w:val="clear" w:color="auto" w:fill="auto"/>
      <w:bidi w:val="0"/>
      <w:spacing w:lineRule="auto" w:line="240" w:before="0" w:after="0"/>
      <w:ind w:hanging="0" w:start="0" w:end="0"/>
      <w:jc w:val="end"/>
      <w:rPr>
        <w:highlight w:val="none"/>
        <w:shd w:fill="auto" w:val="clear"/>
      </w:rPr>
    </w:pPr>
    <w:r>
      <w:rPr>
        <w:shd w:fill="auto" w:val="clear"/>
      </w:rPr>
    </w:r>
  </w:p>
  <w:p>
    <w:pPr>
      <w:pStyle w:val="BodyText"/>
      <w:widowControl w:val="false"/>
      <w:shd w:val="clear" w:color="auto" w:fill="auto"/>
      <w:bidi w:val="0"/>
      <w:spacing w:lineRule="auto" w:line="240" w:before="0" w:after="0"/>
      <w:ind w:hanging="0" w:start="0" w:end="0"/>
      <w:jc w:val="end"/>
      <w:rPr>
        <w:highlight w:val="none"/>
        <w:shd w:fill="auto" w:val="clear"/>
      </w:rPr>
    </w:pPr>
    <w:r>
      <w:rPr>
        <w:color w:val="000000"/>
        <w:spacing w:val="0"/>
        <w:w w:val="100"/>
        <w:sz w:val="18"/>
        <w:szCs w:val="18"/>
        <w:shd w:fill="auto" w:val="clear"/>
      </w:rPr>
      <w:t xml:space="preserve">Приложение № 1 к Контракту </w:t>
    </w:r>
  </w:p>
  <w:p>
    <w:pPr>
      <w:pStyle w:val="BodyText"/>
      <w:widowControl w:val="false"/>
      <w:shd w:val="clear" w:color="auto" w:fill="auto"/>
      <w:bidi w:val="0"/>
      <w:spacing w:lineRule="auto" w:line="240" w:before="0" w:after="0"/>
      <w:ind w:hanging="0" w:start="0" w:end="0"/>
      <w:jc w:val="end"/>
      <w:rPr>
        <w:highlight w:val="none"/>
        <w:shd w:fill="auto" w:val="clear"/>
      </w:rPr>
    </w:pPr>
    <w:r>
      <w:rPr>
        <w:color w:val="000000"/>
        <w:spacing w:val="0"/>
        <w:w w:val="100"/>
        <w:sz w:val="18"/>
        <w:szCs w:val="18"/>
        <w:shd w:fill="auto" w:val="clear"/>
      </w:rPr>
      <w:t>от «__»________ 2026 г. № _____________</w:t>
    </w:r>
  </w:p>
  <w:p>
    <w:pPr>
      <w:pStyle w:val="Normal"/>
      <w:jc w:val="center"/>
      <w:rPr>
        <w:highlight w:val="none"/>
        <w:shd w:fill="auto" w:val="clear"/>
      </w:rPr>
    </w:pPr>
    <w:r>
      <w:rPr>
        <w:shd w:fill="auto" w:val="clear"/>
      </w:rPr>
    </w:r>
  </w:p>
  <w:p>
    <w:pPr>
      <w:pStyle w:val="Normal"/>
      <w:jc w:val="center"/>
      <w:rPr>
        <w:highlight w:val="none"/>
        <w:shd w:fill="auto" w:val="clear"/>
      </w:rPr>
    </w:pPr>
    <w:r>
      <w:rPr>
        <w:b/>
        <w:bCs/>
        <w:shd w:fill="auto" w:val="clear"/>
      </w:rPr>
      <w:t>Спецификация</w:t>
      <w:br/>
      <w:t>оказываемых услуг</w:t>
    </w:r>
  </w:p>
  <w:p>
    <w:pPr>
      <w:pStyle w:val="Normal"/>
      <w:rPr/>
    </w:pPr>
    <w:r>
      <w:rPr/>
    </w:r>
  </w:p>
  <w:tbl>
    <w:tblPr>
      <w:tblW w:w="12645" w:type="dxa"/>
      <w:jc w:val="start"/>
      <w:tblInd w:w="107" w:type="dxa"/>
      <w:tblLayout w:type="fixed"/>
      <w:tblCellMar>
        <w:top w:w="55" w:type="dxa"/>
        <w:start w:w="108" w:type="dxa"/>
        <w:bottom w:w="55" w:type="dxa"/>
        <w:end w:w="108" w:type="dxa"/>
      </w:tblCellMar>
    </w:tblPr>
    <w:tblGrid>
      <w:gridCol w:w="513"/>
      <w:gridCol w:w="1717"/>
      <w:gridCol w:w="2988"/>
      <w:gridCol w:w="1410"/>
      <w:gridCol w:w="1530"/>
      <w:gridCol w:w="1592"/>
      <w:gridCol w:w="2895"/>
    </w:tblGrid>
    <w:tr>
      <w:trPr/>
      <w:tc>
        <w:tcPr>
          <w:tcW w:w="5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center"/>
            <w:rPr>
              <w:rFonts w:ascii="Times New Roman" w:hAnsi="Times New Roman"/>
              <w:sz w:val="21"/>
              <w:szCs w:val="21"/>
            </w:rPr>
          </w:pPr>
          <w:r>
            <w:rPr>
              <w:color w:val="000000"/>
              <w:spacing w:val="0"/>
              <w:w w:val="100"/>
              <w:sz w:val="21"/>
              <w:szCs w:val="21"/>
            </w:rPr>
            <w:t xml:space="preserve">№ </w:t>
          </w:r>
          <w:r>
            <w:rPr>
              <w:color w:val="000000"/>
              <w:spacing w:val="0"/>
              <w:w w:val="100"/>
              <w:sz w:val="21"/>
              <w:szCs w:val="21"/>
            </w:rPr>
            <w:t>п/п</w:t>
          </w:r>
        </w:p>
      </w:tc>
      <w:tc>
        <w:tcPr>
          <w:tcW w:w="1717" w:type="dxa"/>
          <w:tcBorders>
            <w:top w:val="single" w:sz="4" w:space="0" w:color="000000"/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  <w:tab w:val="left" w:pos="567" w:leader="none"/>
            </w:tabs>
            <w:spacing w:before="0" w:after="160"/>
            <w:jc w:val="center"/>
            <w:rPr>
              <w:rFonts w:ascii="Times New Roman" w:hAnsi="Times New Roman" w:eastAsia="Times New Roman" w:cs="Times New Roman"/>
              <w:b/>
              <w:bCs/>
              <w:sz w:val="21"/>
              <w:szCs w:val="21"/>
              <w:lang w:eastAsia="ru-RU"/>
            </w:rPr>
          </w:pPr>
          <w:r>
            <w:rPr>
              <w:rFonts w:eastAsia="Times New Roman" w:cs="Times New Roman"/>
              <w:b/>
              <w:bCs/>
              <w:sz w:val="21"/>
              <w:szCs w:val="21"/>
              <w:lang w:eastAsia="ru-RU"/>
            </w:rPr>
            <w:t>ОКПД2, КТРУ</w:t>
          </w:r>
        </w:p>
      </w:tc>
      <w:tc>
        <w:tcPr>
          <w:tcW w:w="2988" w:type="dxa"/>
          <w:tcBorders>
            <w:top w:val="single" w:sz="4" w:space="0" w:color="000000"/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center"/>
            <w:rPr>
              <w:rFonts w:ascii="Times New Roman" w:hAnsi="Times New Roman"/>
              <w:sz w:val="22"/>
              <w:szCs w:val="22"/>
            </w:rPr>
          </w:pPr>
          <w:r>
            <w:rPr>
              <w:color w:val="000000"/>
              <w:spacing w:val="0"/>
              <w:w w:val="100"/>
              <w:sz w:val="22"/>
              <w:szCs w:val="22"/>
            </w:rPr>
            <w:t>Наименование исследования</w:t>
          </w:r>
        </w:p>
      </w:tc>
      <w:tc>
        <w:tcPr>
          <w:tcW w:w="1410" w:type="dxa"/>
          <w:tcBorders>
            <w:top w:val="single" w:sz="4" w:space="0" w:color="000000"/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center"/>
            <w:rPr>
              <w:rFonts w:ascii="Times New Roman" w:hAnsi="Times New Roman"/>
              <w:sz w:val="22"/>
              <w:szCs w:val="22"/>
            </w:rPr>
          </w:pPr>
          <w:r>
            <w:rPr>
              <w:color w:val="000000"/>
              <w:spacing w:val="0"/>
              <w:w w:val="100"/>
              <w:sz w:val="22"/>
              <w:szCs w:val="22"/>
            </w:rPr>
            <w:t>Ед. изм.</w:t>
          </w:r>
        </w:p>
      </w:tc>
      <w:tc>
        <w:tcPr>
          <w:tcW w:w="1530" w:type="dxa"/>
          <w:tcBorders>
            <w:top w:val="single" w:sz="4" w:space="0" w:color="000000"/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center"/>
            <w:rPr>
              <w:rFonts w:ascii="Times New Roman" w:hAnsi="Times New Roman"/>
              <w:sz w:val="22"/>
              <w:szCs w:val="22"/>
            </w:rPr>
          </w:pPr>
          <w:r>
            <w:rPr>
              <w:color w:val="000000"/>
              <w:spacing w:val="0"/>
              <w:w w:val="100"/>
              <w:sz w:val="22"/>
              <w:szCs w:val="22"/>
            </w:rPr>
            <w:t>Кол- во (шт.)</w:t>
          </w:r>
        </w:p>
      </w:tc>
      <w:tc>
        <w:tcPr>
          <w:tcW w:w="1592" w:type="dxa"/>
          <w:tcBorders>
            <w:top w:val="single" w:sz="4" w:space="0" w:color="000000"/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center"/>
            <w:rPr>
              <w:rFonts w:ascii="Times New Roman" w:hAnsi="Times New Roman"/>
              <w:sz w:val="22"/>
              <w:szCs w:val="22"/>
            </w:rPr>
          </w:pPr>
          <w:r>
            <w:rPr>
              <w:color w:val="000000"/>
              <w:spacing w:val="0"/>
              <w:w w:val="100"/>
              <w:sz w:val="22"/>
              <w:szCs w:val="22"/>
            </w:rPr>
            <w:t>Цена за единицу, руб.</w:t>
          </w:r>
        </w:p>
      </w:tc>
      <w:tc>
        <w:tcPr>
          <w:tcW w:w="2895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center"/>
            <w:rPr>
              <w:highlight w:val="none"/>
              <w:shd w:fill="auto" w:val="clear"/>
            </w:rPr>
          </w:pPr>
          <w:r>
            <w:rPr>
              <w:color w:val="000000"/>
              <w:spacing w:val="0"/>
              <w:w w:val="100"/>
              <w:sz w:val="22"/>
              <w:szCs w:val="22"/>
              <w:shd w:fill="auto" w:val="clear"/>
            </w:rPr>
            <w:t>Сумма (с учетом НДС), рублей</w:t>
          </w:r>
        </w:p>
      </w:tc>
    </w:tr>
    <w:tr>
      <w:trPr>
        <w:trHeight w:val="439" w:hRule="atLeast"/>
      </w:trPr>
      <w:tc>
        <w:tcPr>
          <w:tcW w:w="513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spacing w:lineRule="auto" w:line="240" w:before="0" w:after="0"/>
            <w:ind w:hanging="0" w:start="0"/>
            <w:jc w:val="center"/>
            <w:rPr>
              <w:rFonts w:ascii="Times New Roman" w:hAnsi="Times New Roman"/>
              <w:sz w:val="21"/>
              <w:szCs w:val="21"/>
            </w:rPr>
          </w:pPr>
          <w:r>
            <w:rPr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spacing w:val="0"/>
              <w:sz w:val="21"/>
              <w:szCs w:val="21"/>
              <w:u w:val="none"/>
              <w:shd w:fill="auto" w:val="clear"/>
            </w:rPr>
            <w:t>1</w:t>
          </w:r>
        </w:p>
      </w:tc>
      <w:tc>
        <w:tcPr>
          <w:tcW w:w="1717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Style28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start"/>
            <w:rPr>
              <w:sz w:val="24"/>
              <w:szCs w:val="24"/>
            </w:rPr>
          </w:pPr>
          <w:r>
            <w:rPr>
              <w:rStyle w:val="Style19"/>
              <w:sz w:val="24"/>
              <w:szCs w:val="24"/>
            </w:rPr>
            <w:t>75.00.12.000</w:t>
          </w:r>
        </w:p>
      </w:tc>
      <w:tc>
        <w:tcPr>
          <w:tcW w:w="2988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/>
          </w:pPr>
          <w:r>
            <w:rPr>
              <w:rFonts w:cs="Times New Roman"/>
              <w:sz w:val="22"/>
              <w:szCs w:val="22"/>
            </w:rPr>
            <w:t>Определение массовой доли сырого жира</w:t>
          </w:r>
        </w:p>
      </w:tc>
      <w:tc>
        <w:tcPr>
          <w:tcW w:w="141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усл.ед.</w:t>
          </w:r>
        </w:p>
      </w:tc>
      <w:tc>
        <w:tcPr>
          <w:tcW w:w="153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1</w:t>
          </w:r>
        </w:p>
      </w:tc>
      <w:tc>
        <w:tcPr>
          <w:tcW w:w="1592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  <w:tr>
      <w:trPr>
        <w:trHeight w:val="231" w:hRule="atLeast"/>
      </w:trPr>
      <w:tc>
        <w:tcPr>
          <w:tcW w:w="513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spacing w:lineRule="auto" w:line="240" w:before="0" w:after="0"/>
            <w:ind w:hanging="0" w:start="0"/>
            <w:jc w:val="center"/>
            <w:rPr>
              <w:rFonts w:ascii="Times New Roman" w:hAnsi="Times New Roman"/>
              <w:sz w:val="21"/>
              <w:szCs w:val="21"/>
            </w:rPr>
          </w:pPr>
          <w:r>
            <w:rPr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spacing w:val="0"/>
              <w:sz w:val="21"/>
              <w:szCs w:val="21"/>
              <w:u w:val="none"/>
              <w:shd w:fill="auto" w:val="clear"/>
            </w:rPr>
            <w:t>2</w:t>
          </w:r>
        </w:p>
      </w:tc>
      <w:tc>
        <w:tcPr>
          <w:tcW w:w="1717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Style28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start"/>
            <w:rPr>
              <w:sz w:val="24"/>
              <w:szCs w:val="24"/>
            </w:rPr>
          </w:pPr>
          <w:r>
            <w:rPr>
              <w:rStyle w:val="Style19"/>
              <w:sz w:val="24"/>
              <w:szCs w:val="24"/>
            </w:rPr>
            <w:t>75.00.12.000</w:t>
          </w:r>
        </w:p>
      </w:tc>
      <w:tc>
        <w:tcPr>
          <w:tcW w:w="2988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/>
          </w:pPr>
          <w:r>
            <w:rPr>
              <w:rFonts w:cs="Times New Roman"/>
              <w:sz w:val="22"/>
              <w:szCs w:val="22"/>
            </w:rPr>
            <w:t>Определение массовой доли сырого протеина</w:t>
          </w:r>
        </w:p>
      </w:tc>
      <w:tc>
        <w:tcPr>
          <w:tcW w:w="141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усл.ед.</w:t>
          </w:r>
        </w:p>
      </w:tc>
      <w:tc>
        <w:tcPr>
          <w:tcW w:w="153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1</w:t>
          </w:r>
        </w:p>
      </w:tc>
      <w:tc>
        <w:tcPr>
          <w:tcW w:w="1592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  <w:tr>
      <w:trPr>
        <w:trHeight w:val="231" w:hRule="atLeast"/>
      </w:trPr>
      <w:tc>
        <w:tcPr>
          <w:tcW w:w="513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spacing w:lineRule="auto" w:line="240" w:before="0" w:after="0"/>
            <w:ind w:hanging="0" w:start="0"/>
            <w:jc w:val="center"/>
            <w:rPr>
              <w:rFonts w:ascii="Times New Roman" w:hAnsi="Times New Roman"/>
              <w:sz w:val="21"/>
              <w:szCs w:val="21"/>
            </w:rPr>
          </w:pPr>
          <w:r>
            <w:rPr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spacing w:val="0"/>
              <w:sz w:val="21"/>
              <w:szCs w:val="21"/>
              <w:u w:val="none"/>
              <w:shd w:fill="auto" w:val="clear"/>
            </w:rPr>
            <w:t>3</w:t>
          </w:r>
        </w:p>
      </w:tc>
      <w:tc>
        <w:tcPr>
          <w:tcW w:w="1717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Style28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start"/>
            <w:rPr>
              <w:sz w:val="24"/>
              <w:szCs w:val="24"/>
            </w:rPr>
          </w:pPr>
          <w:r>
            <w:rPr>
              <w:rStyle w:val="Style19"/>
              <w:sz w:val="24"/>
              <w:szCs w:val="24"/>
            </w:rPr>
            <w:t>75.00.12.000</w:t>
          </w:r>
        </w:p>
      </w:tc>
      <w:tc>
        <w:tcPr>
          <w:tcW w:w="2988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spacing w:before="0" w:after="160"/>
            <w:ind w:hanging="0" w:start="0"/>
            <w:jc w:val="center"/>
            <w:rPr/>
          </w:pPr>
          <w:r>
            <w:rPr>
              <w:sz w:val="22"/>
              <w:szCs w:val="22"/>
            </w:rPr>
            <w:t>Перекисное число</w:t>
          </w:r>
        </w:p>
      </w:tc>
      <w:tc>
        <w:tcPr>
          <w:tcW w:w="141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  <w:t>усл.ед.</w:t>
          </w:r>
        </w:p>
      </w:tc>
      <w:tc>
        <w:tcPr>
          <w:tcW w:w="153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1</w:t>
          </w:r>
        </w:p>
      </w:tc>
      <w:tc>
        <w:tcPr>
          <w:tcW w:w="1592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</w:r>
        </w:p>
      </w:tc>
    </w:tr>
    <w:tr>
      <w:trPr>
        <w:trHeight w:val="231" w:hRule="atLeast"/>
      </w:trPr>
      <w:tc>
        <w:tcPr>
          <w:tcW w:w="513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spacing w:lineRule="auto" w:line="240" w:before="0" w:after="0"/>
            <w:ind w:hanging="0" w:start="0"/>
            <w:jc w:val="center"/>
            <w:rPr>
              <w:rFonts w:ascii="Times New Roman" w:hAnsi="Times New Roman"/>
              <w:sz w:val="21"/>
              <w:szCs w:val="21"/>
            </w:rPr>
          </w:pPr>
          <w:r>
            <w:rPr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spacing w:val="0"/>
              <w:sz w:val="21"/>
              <w:szCs w:val="21"/>
              <w:u w:val="none"/>
              <w:shd w:fill="auto" w:val="clear"/>
            </w:rPr>
            <w:t>4</w:t>
          </w:r>
        </w:p>
      </w:tc>
      <w:tc>
        <w:tcPr>
          <w:tcW w:w="1717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Style28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start"/>
            <w:rPr>
              <w:sz w:val="24"/>
              <w:szCs w:val="24"/>
            </w:rPr>
          </w:pPr>
          <w:r>
            <w:rPr>
              <w:rStyle w:val="Style19"/>
              <w:sz w:val="24"/>
              <w:szCs w:val="24"/>
            </w:rPr>
            <w:t>75.00.12.000</w:t>
          </w:r>
        </w:p>
      </w:tc>
      <w:tc>
        <w:tcPr>
          <w:tcW w:w="2988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spacing w:before="0" w:after="160"/>
            <w:ind w:hanging="0" w:start="0"/>
            <w:jc w:val="center"/>
            <w:rPr/>
          </w:pPr>
          <w:r>
            <w:rPr>
              <w:sz w:val="22"/>
              <w:szCs w:val="22"/>
            </w:rPr>
            <w:t>Кислотное число жира</w:t>
          </w:r>
        </w:p>
      </w:tc>
      <w:tc>
        <w:tcPr>
          <w:tcW w:w="141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  <w:t>усл.ед.</w:t>
          </w:r>
        </w:p>
      </w:tc>
      <w:tc>
        <w:tcPr>
          <w:tcW w:w="153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1</w:t>
          </w:r>
        </w:p>
      </w:tc>
      <w:tc>
        <w:tcPr>
          <w:tcW w:w="1592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</w:r>
        </w:p>
      </w:tc>
    </w:tr>
    <w:tr>
      <w:trPr>
        <w:trHeight w:val="231" w:hRule="atLeast"/>
      </w:trPr>
      <w:tc>
        <w:tcPr>
          <w:tcW w:w="513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spacing w:lineRule="auto" w:line="240" w:before="0" w:after="0"/>
            <w:ind w:hanging="0" w:start="0"/>
            <w:jc w:val="center"/>
            <w:rPr>
              <w:rFonts w:ascii="Times New Roman" w:hAnsi="Times New Roman"/>
              <w:sz w:val="21"/>
              <w:szCs w:val="21"/>
            </w:rPr>
          </w:pPr>
          <w:r>
            <w:rPr>
              <w:sz w:val="21"/>
              <w:szCs w:val="21"/>
            </w:rPr>
            <w:t>5</w:t>
          </w:r>
        </w:p>
      </w:tc>
      <w:tc>
        <w:tcPr>
          <w:tcW w:w="1717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Style28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start"/>
            <w:rPr>
              <w:sz w:val="24"/>
              <w:szCs w:val="24"/>
            </w:rPr>
          </w:pPr>
          <w:r>
            <w:rPr>
              <w:rStyle w:val="Style19"/>
              <w:sz w:val="24"/>
              <w:szCs w:val="24"/>
            </w:rPr>
            <w:t>75.00.12.000</w:t>
          </w:r>
        </w:p>
      </w:tc>
      <w:tc>
        <w:tcPr>
          <w:tcW w:w="2988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/>
          </w:pPr>
          <w:r>
            <w:rPr>
              <w:rFonts w:cs="Times New Roman"/>
              <w:sz w:val="22"/>
              <w:szCs w:val="22"/>
            </w:rPr>
            <w:t>Прием, хранение, уничтожение материала</w:t>
          </w:r>
        </w:p>
      </w:tc>
      <w:tc>
        <w:tcPr>
          <w:tcW w:w="141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партии</w:t>
          </w:r>
        </w:p>
      </w:tc>
      <w:tc>
        <w:tcPr>
          <w:tcW w:w="153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1</w:t>
          </w:r>
        </w:p>
      </w:tc>
      <w:tc>
        <w:tcPr>
          <w:tcW w:w="1592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  <w:tr>
      <w:trPr>
        <w:trHeight w:val="231" w:hRule="atLeast"/>
      </w:trPr>
      <w:tc>
        <w:tcPr>
          <w:tcW w:w="513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spacing w:lineRule="auto" w:line="240" w:before="0" w:after="0"/>
            <w:ind w:hanging="0" w:start="0"/>
            <w:jc w:val="center"/>
            <w:rPr>
              <w:rFonts w:ascii="Times New Roman" w:hAnsi="Times New Roman"/>
              <w:sz w:val="21"/>
              <w:szCs w:val="21"/>
            </w:rPr>
          </w:pPr>
          <w:r>
            <w:rPr>
              <w:sz w:val="21"/>
              <w:szCs w:val="21"/>
            </w:rPr>
            <w:t>6</w:t>
          </w:r>
        </w:p>
      </w:tc>
      <w:tc>
        <w:tcPr>
          <w:tcW w:w="1717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Style28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start"/>
            <w:rPr>
              <w:sz w:val="24"/>
              <w:szCs w:val="24"/>
            </w:rPr>
          </w:pPr>
          <w:r>
            <w:rPr>
              <w:rStyle w:val="Style19"/>
              <w:sz w:val="24"/>
              <w:szCs w:val="24"/>
            </w:rPr>
            <w:t>75.00.12.000</w:t>
          </w:r>
        </w:p>
      </w:tc>
      <w:tc>
        <w:tcPr>
          <w:tcW w:w="2988" w:type="dxa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/>
          </w:pPr>
          <w:r>
            <w:rPr>
              <w:rFonts w:cs="Times New Roman"/>
              <w:sz w:val="22"/>
              <w:szCs w:val="22"/>
            </w:rPr>
            <w:t>Выписка протокола</w:t>
          </w:r>
        </w:p>
      </w:tc>
      <w:tc>
        <w:tcPr>
          <w:tcW w:w="141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экз.</w:t>
          </w:r>
        </w:p>
      </w:tc>
      <w:tc>
        <w:tcPr>
          <w:tcW w:w="1530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1</w:t>
          </w:r>
        </w:p>
      </w:tc>
      <w:tc>
        <w:tcPr>
          <w:tcW w:w="1592" w:type="dxa"/>
          <w:tcBorders>
            <w:star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widowControl w:val="false"/>
            <w:spacing w:before="0" w:after="0"/>
            <w:ind w:hanging="0" w:end="-57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  <w:tr>
      <w:trPr>
        <w:trHeight w:val="333" w:hRule="atLeast"/>
      </w:trPr>
      <w:tc>
        <w:tcPr>
          <w:tcW w:w="9750" w:type="dxa"/>
          <w:gridSpan w:val="6"/>
          <w:vMerge w:val="restart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end"/>
            <w:rPr>
              <w:rFonts w:ascii="Times New Roman" w:hAnsi="Times New Roman"/>
              <w:sz w:val="22"/>
              <w:szCs w:val="22"/>
            </w:rPr>
          </w:pPr>
          <w:r>
            <w:rPr>
              <w:color w:val="000000"/>
              <w:spacing w:val="0"/>
              <w:w w:val="100"/>
              <w:sz w:val="22"/>
              <w:szCs w:val="22"/>
            </w:rPr>
            <w:t>Итого:</w:t>
          </w:r>
        </w:p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end"/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</w:r>
        </w:p>
        <w:p>
          <w:pPr>
            <w:pStyle w:val="Normal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end"/>
            <w:rPr>
              <w:rFonts w:ascii="Times New Roman" w:hAnsi="Times New Roman"/>
              <w:sz w:val="22"/>
              <w:szCs w:val="22"/>
            </w:rPr>
          </w:pPr>
          <w:r>
            <w:rPr>
              <w:color w:val="000000"/>
              <w:spacing w:val="0"/>
              <w:w w:val="100"/>
              <w:sz w:val="22"/>
              <w:szCs w:val="22"/>
            </w:rPr>
            <w:t>Итого сумма НДС:</w:t>
          </w:r>
        </w:p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end"/>
            <w:rPr>
              <w:rFonts w:ascii="Times New Roman" w:hAnsi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spacing w:val="0"/>
              <w:w w:val="100"/>
              <w:sz w:val="22"/>
              <w:szCs w:val="22"/>
              <w:u w:val="none"/>
              <w:shd w:fill="auto" w:val="clear"/>
            </w:rPr>
          </w:pPr>
          <w:r>
            <w:rPr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spacing w:val="0"/>
              <w:w w:val="100"/>
              <w:sz w:val="22"/>
              <w:szCs w:val="22"/>
              <w:u w:val="none"/>
              <w:shd w:fill="auto" w:val="clear"/>
            </w:rPr>
          </w:r>
        </w:p>
        <w:p>
          <w:pPr>
            <w:pStyle w:val="Normal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end"/>
            <w:rPr>
              <w:rFonts w:ascii="Times New Roman" w:hAnsi="Times New Roman"/>
              <w:sz w:val="22"/>
              <w:szCs w:val="22"/>
            </w:rPr>
          </w:pPr>
          <w:r>
            <w:rPr>
              <w:b/>
              <w:bCs/>
              <w:i w:val="false"/>
              <w:caps w:val="false"/>
              <w:smallCaps w:val="false"/>
              <w:strike w:val="false"/>
              <w:dstrike w:val="false"/>
              <w:color w:val="000000"/>
              <w:spacing w:val="0"/>
              <w:w w:val="100"/>
              <w:sz w:val="22"/>
              <w:szCs w:val="22"/>
              <w:u w:val="none"/>
              <w:shd w:fill="auto" w:val="clear"/>
            </w:rPr>
            <w:t>Всего к оплате:</w:t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spacing w:before="0" w:after="0"/>
            <w:ind w:hanging="0" w:start="0"/>
            <w:jc w:val="center"/>
            <w:rPr>
              <w:b w:val="false"/>
              <w:bCs w:val="false"/>
            </w:rPr>
          </w:pPr>
          <w:r>
            <w:rPr>
              <w:b w:val="false"/>
              <w:bCs w:val="false"/>
            </w:rPr>
          </w:r>
        </w:p>
      </w:tc>
    </w:tr>
    <w:tr>
      <w:trPr>
        <w:trHeight w:val="333" w:hRule="atLeast"/>
      </w:trPr>
      <w:tc>
        <w:tcPr>
          <w:tcW w:w="9750" w:type="dxa"/>
          <w:gridSpan w:val="6"/>
          <w:vMerge w:val="continue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end"/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spacing w:before="0" w:after="0"/>
            <w:ind w:hanging="0" w:start="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  <w:tr>
      <w:trPr>
        <w:trHeight w:val="333" w:hRule="atLeast"/>
      </w:trPr>
      <w:tc>
        <w:tcPr>
          <w:tcW w:w="9750" w:type="dxa"/>
          <w:gridSpan w:val="6"/>
          <w:vMerge w:val="continue"/>
          <w:tcBorders>
            <w:start w:val="single" w:sz="4" w:space="0" w:color="000000"/>
            <w:bottom w:val="single" w:sz="4" w:space="0" w:color="000000"/>
          </w:tcBorders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bidi w:val="0"/>
            <w:spacing w:lineRule="auto" w:line="240" w:before="0" w:after="0"/>
            <w:ind w:hanging="0" w:start="0" w:end="0"/>
            <w:jc w:val="end"/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</w:r>
        </w:p>
      </w:tc>
      <w:tc>
        <w:tcPr>
          <w:tcW w:w="2895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spacing w:lineRule="auto" w:line="240" w:beforeAutospacing="0" w:before="0" w:after="0"/>
            <w:ind w:hanging="0"/>
            <w:jc w:val="center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</w:r>
        </w:p>
      </w:tc>
    </w:tr>
  </w:tbl>
  <w:p>
    <w:pPr>
      <w:pStyle w:val="Normal"/>
      <w:widowControl w:val="false"/>
      <w:ind w:firstLine="709"/>
      <w:jc w:val="end"/>
      <w:rPr/>
    </w:pPr>
    <w:r>
      <w:rPr/>
    </w:r>
  </w:p>
  <w:p>
    <w:pPr>
      <w:pStyle w:val="Normal"/>
      <w:widowControl w:val="false"/>
      <w:ind w:firstLine="709"/>
      <w:jc w:val="end"/>
      <w:rPr/>
    </w:pPr>
    <w:r>
      <w:rPr/>
    </w:r>
  </w:p>
  <w:p>
    <w:pPr>
      <w:pStyle w:val="Normal"/>
      <w:widowControl w:val="false"/>
      <w:spacing w:before="0" w:after="0"/>
      <w:ind w:firstLine="709"/>
      <w:jc w:val="end"/>
      <w:rPr/>
    </w:pPr>
    <w:r>
      <w:rPr/>
    </w:r>
  </w:p>
  <w:tbl>
    <w:tblPr>
      <w:tblW w:w="13380" w:type="dxa"/>
      <w:jc w:val="start"/>
      <w:tblInd w:w="0" w:type="dxa"/>
      <w:tblLayout w:type="fixed"/>
      <w:tblCellMar>
        <w:top w:w="55" w:type="dxa"/>
        <w:start w:w="55" w:type="dxa"/>
        <w:bottom w:w="55" w:type="dxa"/>
        <w:end w:w="55" w:type="dxa"/>
      </w:tblCellMar>
    </w:tblPr>
    <w:tblGrid>
      <w:gridCol w:w="6240"/>
      <w:gridCol w:w="7140"/>
    </w:tblGrid>
    <w:tr>
      <w:trPr/>
      <w:tc>
        <w:tcPr>
          <w:tcW w:w="6240" w:type="dxa"/>
          <w:tcBorders/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suppressAutoHyphens w:val="true"/>
            <w:bidi w:val="0"/>
            <w:spacing w:lineRule="auto" w:line="240" w:before="0" w:after="0"/>
            <w:ind w:hanging="0" w:start="0" w:end="0"/>
            <w:jc w:val="start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b/>
              <w:bCs/>
              <w:color w:val="000000"/>
              <w:spacing w:val="0"/>
              <w:w w:val="100"/>
              <w:sz w:val="22"/>
              <w:szCs w:val="22"/>
            </w:rPr>
            <w:t>Исполнитель</w:t>
          </w:r>
        </w:p>
        <w:p>
          <w:pPr>
            <w:pStyle w:val="Normal"/>
            <w:ind w:hanging="0" w:start="0"/>
            <w:rPr>
              <w:sz w:val="23"/>
              <w:szCs w:val="23"/>
            </w:rPr>
          </w:pPr>
          <w:r>
            <w:rPr>
              <w:sz w:val="23"/>
              <w:szCs w:val="23"/>
            </w:rPr>
          </w:r>
        </w:p>
        <w:p>
          <w:pPr>
            <w:pStyle w:val="Normal"/>
            <w:tabs>
              <w:tab w:val="clear" w:pos="708"/>
              <w:tab w:val="center" w:pos="4677" w:leader="none"/>
              <w:tab w:val="center" w:pos="4854" w:leader="none"/>
              <w:tab w:val="right" w:pos="9355" w:leader="none"/>
            </w:tabs>
            <w:rPr>
              <w:b/>
              <w:bCs/>
              <w:color w:themeColor="text1" w:val="000000"/>
            </w:rPr>
          </w:pPr>
          <w:r>
            <w:rPr>
              <w:b/>
              <w:bCs/>
              <w:color w:themeColor="text1" w:val="000000"/>
            </w:rPr>
          </w:r>
        </w:p>
        <w:p>
          <w:pPr>
            <w:pStyle w:val="Normal"/>
            <w:tabs>
              <w:tab w:val="clear" w:pos="708"/>
              <w:tab w:val="center" w:pos="4677" w:leader="none"/>
              <w:tab w:val="center" w:pos="4854" w:leader="none"/>
              <w:tab w:val="right" w:pos="9355" w:leader="none"/>
            </w:tabs>
            <w:rPr>
              <w:b/>
              <w:bCs/>
              <w:color w:themeColor="text1" w:val="000000"/>
            </w:rPr>
          </w:pPr>
          <w:r>
            <w:rPr>
              <w:b/>
              <w:bCs/>
              <w:color w:themeColor="text1" w:val="000000"/>
            </w:rPr>
          </w:r>
        </w:p>
        <w:p>
          <w:pPr>
            <w:pStyle w:val="Style24"/>
            <w:widowControl w:val="false"/>
            <w:rPr>
              <w:rFonts w:ascii="Times New Roman" w:hAnsi="Times New Roman"/>
              <w:b w:val="false"/>
              <w:bCs w:val="false"/>
              <w:sz w:val="22"/>
              <w:szCs w:val="22"/>
            </w:rPr>
          </w:pPr>
          <w:r>
            <w:rPr>
              <w:b w:val="false"/>
              <w:bCs w:val="false"/>
              <w:sz w:val="22"/>
              <w:szCs w:val="22"/>
            </w:rPr>
            <w:t>______________________</w:t>
          </w:r>
        </w:p>
        <w:p>
          <w:pPr>
            <w:pStyle w:val="Style24"/>
            <w:widowControl w:val="false"/>
            <w:rPr>
              <w:rFonts w:ascii="Times New Roman" w:hAnsi="Times New Roman"/>
              <w:b w:val="false"/>
              <w:bCs w:val="false"/>
              <w:sz w:val="22"/>
              <w:szCs w:val="22"/>
            </w:rPr>
          </w:pPr>
          <w:r>
            <w:rPr>
              <w:b w:val="false"/>
              <w:bCs w:val="false"/>
              <w:sz w:val="22"/>
              <w:szCs w:val="22"/>
            </w:rPr>
            <w:t>М.П.</w:t>
          </w:r>
        </w:p>
        <w:p>
          <w:pPr>
            <w:pStyle w:val="Style24"/>
            <w:widowControl w:val="false"/>
            <w:rPr>
              <w:rFonts w:ascii="Times New Roman" w:hAnsi="Times New Roman"/>
              <w:b w:val="false"/>
              <w:bCs w:val="false"/>
              <w:sz w:val="22"/>
              <w:szCs w:val="22"/>
            </w:rPr>
          </w:pPr>
          <w:r>
            <w:rPr>
              <w:b w:val="false"/>
              <w:bCs w:val="false"/>
              <w:color w:val="000000"/>
              <w:spacing w:val="0"/>
              <w:w w:val="100"/>
              <w:sz w:val="22"/>
              <w:szCs w:val="22"/>
            </w:rPr>
            <w:t>«___»____________ 2026 г.</w:t>
          </w:r>
        </w:p>
      </w:tc>
      <w:tc>
        <w:tcPr>
          <w:tcW w:w="7140" w:type="dxa"/>
          <w:tcBorders/>
        </w:tcPr>
        <w:p>
          <w:pPr>
            <w:pStyle w:val="Normal"/>
            <w:keepNext w:val="false"/>
            <w:keepLines w:val="false"/>
            <w:widowControl w:val="false"/>
            <w:shd w:val="clear" w:color="auto" w:fill="auto"/>
            <w:suppressAutoHyphens w:val="true"/>
            <w:bidi w:val="0"/>
            <w:spacing w:lineRule="auto" w:line="252" w:before="0" w:after="0"/>
            <w:ind w:hanging="0" w:start="0" w:end="0"/>
            <w:jc w:val="start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b/>
              <w:bCs/>
              <w:color w:val="000000"/>
              <w:spacing w:val="0"/>
              <w:w w:val="100"/>
              <w:sz w:val="22"/>
              <w:szCs w:val="22"/>
            </w:rPr>
            <w:t>Заказчик</w:t>
          </w:r>
        </w:p>
        <w:p>
          <w:pPr>
            <w:pStyle w:val="Normal"/>
            <w:widowControl w:val="false"/>
            <w:tabs>
              <w:tab w:val="clear" w:pos="708"/>
              <w:tab w:val="right" w:pos="4392" w:leader="none"/>
            </w:tabs>
            <w:suppressAutoHyphens w:val="true"/>
            <w:spacing w:lineRule="auto" w:line="276"/>
            <w:ind w:hanging="0" w:start="0" w:end="0"/>
            <w:jc w:val="start"/>
            <w:rPr>
              <w:b/>
              <w:bCs/>
            </w:rPr>
          </w:pPr>
          <w:r>
            <w:rPr>
              <w:rFonts w:eastAsia="Calibri"/>
              <w:b/>
              <w:bCs/>
              <w:sz w:val="22"/>
              <w:szCs w:val="22"/>
              <w:lang w:eastAsia="en-US"/>
            </w:rPr>
            <w:t>Северо-Восточный филиал ФГБУ «Главрыбвод»</w:t>
          </w:r>
        </w:p>
        <w:p>
          <w:pPr>
            <w:pStyle w:val="Normal"/>
            <w:widowControl w:val="false"/>
            <w:tabs>
              <w:tab w:val="clear" w:pos="708"/>
              <w:tab w:val="left" w:pos="3545" w:leader="none"/>
              <w:tab w:val="left" w:pos="4202" w:leader="none"/>
            </w:tabs>
            <w:spacing w:lineRule="auto" w:line="240"/>
            <w:ind w:hanging="0" w:start="0" w:end="0"/>
            <w:jc w:val="start"/>
            <w:rPr>
              <w:b/>
              <w:bCs/>
            </w:rPr>
          </w:pPr>
          <w:r>
            <w:rPr>
              <w:b/>
              <w:bCs/>
              <w:sz w:val="22"/>
              <w:szCs w:val="22"/>
              <w:lang w:val="ru-RU"/>
            </w:rPr>
            <w:t>И.о. з</w:t>
          </w:r>
          <w:r>
            <w:rPr>
              <w:b/>
              <w:bCs/>
              <w:sz w:val="22"/>
              <w:szCs w:val="22"/>
            </w:rPr>
            <w:t>аместителя начальника учреждения – начальника филиала</w:t>
          </w:r>
        </w:p>
        <w:p>
          <w:pPr>
            <w:pStyle w:val="Normal"/>
            <w:widowControl w:val="false"/>
            <w:tabs>
              <w:tab w:val="clear" w:pos="708"/>
              <w:tab w:val="left" w:pos="3545" w:leader="none"/>
              <w:tab w:val="left" w:pos="4202" w:leader="none"/>
            </w:tabs>
            <w:spacing w:lineRule="auto" w:line="240"/>
            <w:ind w:hanging="0" w:start="0" w:end="0"/>
            <w:jc w:val="start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</w:r>
        </w:p>
        <w:p>
          <w:pPr>
            <w:pStyle w:val="Normal"/>
            <w:widowControl w:val="false"/>
            <w:tabs>
              <w:tab w:val="clear" w:pos="708"/>
              <w:tab w:val="left" w:pos="3545" w:leader="none"/>
              <w:tab w:val="left" w:pos="4202" w:leader="none"/>
            </w:tabs>
            <w:spacing w:lineRule="auto" w:line="240"/>
            <w:ind w:hanging="0" w:start="0" w:end="0"/>
            <w:jc w:val="start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</w:r>
        </w:p>
        <w:p>
          <w:pPr>
            <w:pStyle w:val="Normal"/>
            <w:widowControl w:val="false"/>
            <w:tabs>
              <w:tab w:val="clear" w:pos="708"/>
              <w:tab w:val="left" w:pos="3545" w:leader="none"/>
              <w:tab w:val="left" w:pos="4202" w:leader="none"/>
            </w:tabs>
            <w:spacing w:lineRule="auto" w:line="240"/>
            <w:ind w:hanging="0" w:start="0" w:end="0"/>
            <w:jc w:val="start"/>
            <w:rPr>
              <w:rFonts w:ascii="Times New Roman" w:hAnsi="Times New Roman"/>
              <w:b w:val="false"/>
              <w:bCs w:val="false"/>
              <w:sz w:val="22"/>
              <w:szCs w:val="22"/>
            </w:rPr>
          </w:pPr>
          <w:r>
            <w:rPr>
              <w:b w:val="false"/>
              <w:bCs w:val="false"/>
              <w:sz w:val="22"/>
              <w:szCs w:val="22"/>
            </w:rPr>
            <w:t>___________________/А.В. Басов/</w:t>
          </w:r>
        </w:p>
        <w:p>
          <w:pPr>
            <w:pStyle w:val="Normal"/>
            <w:widowControl w:val="false"/>
            <w:tabs>
              <w:tab w:val="clear" w:pos="708"/>
              <w:tab w:val="left" w:pos="3545" w:leader="none"/>
              <w:tab w:val="left" w:pos="4202" w:leader="none"/>
            </w:tabs>
            <w:spacing w:lineRule="auto" w:line="240"/>
            <w:ind w:hanging="0" w:start="0" w:end="0"/>
            <w:jc w:val="start"/>
            <w:rPr>
              <w:rFonts w:ascii="Times New Roman" w:hAnsi="Times New Roman"/>
              <w:b w:val="false"/>
              <w:bCs w:val="false"/>
              <w:sz w:val="22"/>
              <w:szCs w:val="22"/>
            </w:rPr>
          </w:pPr>
          <w:r>
            <w:rPr>
              <w:b w:val="false"/>
              <w:bCs w:val="false"/>
              <w:sz w:val="22"/>
              <w:szCs w:val="22"/>
            </w:rPr>
            <w:t>М.П.</w:t>
          </w:r>
        </w:p>
        <w:p>
          <w:pPr>
            <w:pStyle w:val="Normal"/>
            <w:widowControl w:val="false"/>
            <w:tabs>
              <w:tab w:val="clear" w:pos="708"/>
              <w:tab w:val="right" w:pos="4392" w:leader="none"/>
            </w:tabs>
            <w:spacing w:lineRule="auto" w:line="240"/>
            <w:ind w:hanging="0" w:start="0" w:end="0"/>
            <w:jc w:val="start"/>
            <w:rPr>
              <w:rFonts w:ascii="Times New Roman" w:hAnsi="Times New Roman"/>
              <w:b w:val="false"/>
              <w:bCs w:val="false"/>
              <w:sz w:val="22"/>
              <w:szCs w:val="22"/>
            </w:rPr>
          </w:pPr>
          <w:r>
            <w:rPr>
              <w:b w:val="false"/>
              <w:bCs w:val="false"/>
              <w:color w:val="000000"/>
              <w:spacing w:val="0"/>
              <w:w w:val="100"/>
              <w:sz w:val="22"/>
              <w:szCs w:val="22"/>
            </w:rPr>
            <w:t>«__»__________ 2026 г.</w:t>
          </w:r>
        </w:p>
      </w:tc>
    </w:tr>
  </w:tbl>
  <w:p>
    <w:pPr>
      <w:pStyle w:val="Normal"/>
      <w:widowControl w:val="false"/>
      <w:ind w:firstLine="709"/>
      <w:jc w:val="end"/>
      <w:rPr>
        <w:sz w:val="20"/>
        <w:szCs w:val="20"/>
      </w:rPr>
    </w:pPr>
    <w:r>
      <w:rPr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endnotePr>
    <w:pos w:val="sectEnd"/>
    <w:numFmt w:val="lowerRoman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a6fc3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291ff2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136242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qFormat/>
    <w:rsid w:val="00651d83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sid w:val="00291ff2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6" w:customStyle="1">
    <w:name w:val="Заголовок 6 Знак"/>
    <w:qFormat/>
    <w:rsid w:val="00651d83"/>
    <w:rPr>
      <w:b/>
      <w:bCs/>
      <w:sz w:val="22"/>
      <w:szCs w:val="22"/>
      <w:lang w:val="ru-RU" w:eastAsia="ru-RU" w:bidi="ar-SA"/>
    </w:rPr>
  </w:style>
  <w:style w:type="character" w:styleId="Style11" w:customStyle="1">
    <w:name w:val="Основной текст Знак"/>
    <w:qFormat/>
    <w:rsid w:val="00651d83"/>
    <w:rPr>
      <w:sz w:val="24"/>
      <w:lang w:val="ru-RU" w:eastAsia="ru-RU" w:bidi="ar-SA"/>
    </w:rPr>
  </w:style>
  <w:style w:type="character" w:styleId="Style12" w:customStyle="1">
    <w:name w:val="Верхний колонтитул Знак"/>
    <w:uiPriority w:val="99"/>
    <w:qFormat/>
    <w:rsid w:val="00651d83"/>
    <w:rPr>
      <w:sz w:val="24"/>
      <w:szCs w:val="24"/>
      <w:lang w:val="ru-RU" w:eastAsia="ru-RU" w:bidi="ar-SA"/>
    </w:rPr>
  </w:style>
  <w:style w:type="character" w:styleId="CommentReference">
    <w:name w:val="annotation reference"/>
    <w:semiHidden/>
    <w:qFormat/>
    <w:rsid w:val="00e841b0"/>
    <w:rPr>
      <w:sz w:val="16"/>
      <w:szCs w:val="16"/>
    </w:rPr>
  </w:style>
  <w:style w:type="character" w:styleId="PageNumber">
    <w:name w:val="page number"/>
    <w:basedOn w:val="DefaultParagraphFont"/>
    <w:rsid w:val="00d56a5b"/>
    <w:rPr/>
  </w:style>
  <w:style w:type="character" w:styleId="Emphasis">
    <w:name w:val="Emphasis"/>
    <w:uiPriority w:val="20"/>
    <w:qFormat/>
    <w:rsid w:val="0049092f"/>
    <w:rPr>
      <w:i/>
      <w:iCs/>
    </w:rPr>
  </w:style>
  <w:style w:type="character" w:styleId="Hyperlink">
    <w:name w:val="Hyperlink"/>
    <w:uiPriority w:val="99"/>
    <w:rsid w:val="00b453da"/>
    <w:rPr>
      <w:color w:val="0000FF"/>
      <w:u w:val="single"/>
    </w:rPr>
  </w:style>
  <w:style w:type="character" w:styleId="val" w:customStyle="1">
    <w:name w:val="val"/>
    <w:qFormat/>
    <w:rsid w:val="00473172"/>
    <w:rPr/>
  </w:style>
  <w:style w:type="character" w:styleId="FollowedHyperlink">
    <w:name w:val="FollowedHyperlink"/>
    <w:uiPriority w:val="99"/>
    <w:unhideWhenUsed/>
    <w:rsid w:val="00aa03df"/>
    <w:rPr>
      <w:color w:val="954F72"/>
      <w:u w:val="single"/>
    </w:rPr>
  </w:style>
  <w:style w:type="character" w:styleId="WW8Num4z0" w:customStyle="1">
    <w:name w:val="WW8Num4z0"/>
    <w:qFormat/>
    <w:rsid w:val="00441a52"/>
    <w:rPr>
      <w:b/>
    </w:rPr>
  </w:style>
  <w:style w:type="character" w:styleId="WW8Num7z0" w:customStyle="1">
    <w:name w:val="WW8Num7z0"/>
    <w:qFormat/>
    <w:rsid w:val="00441a52"/>
    <w:rPr/>
  </w:style>
  <w:style w:type="character" w:styleId="rvts7" w:customStyle="1">
    <w:name w:val="rvts7"/>
    <w:qFormat/>
    <w:rsid w:val="00304073"/>
    <w:rPr/>
  </w:style>
  <w:style w:type="character" w:styleId="rvts10" w:customStyle="1">
    <w:name w:val="rvts10"/>
    <w:qFormat/>
    <w:rsid w:val="00304073"/>
    <w:rPr/>
  </w:style>
  <w:style w:type="character" w:styleId="apple-style-span" w:customStyle="1">
    <w:name w:val="apple-style-span"/>
    <w:qFormat/>
    <w:rsid w:val="00a155aa"/>
    <w:rPr/>
  </w:style>
  <w:style w:type="character" w:styleId="Style13" w:customStyle="1">
    <w:name w:val="Основной текст с отступом Знак"/>
    <w:qFormat/>
    <w:rsid w:val="00721095"/>
    <w:rPr>
      <w:sz w:val="24"/>
      <w:szCs w:val="24"/>
    </w:rPr>
  </w:style>
  <w:style w:type="character" w:styleId="Strong">
    <w:name w:val="Strong"/>
    <w:uiPriority w:val="22"/>
    <w:qFormat/>
    <w:rsid w:val="000b7512"/>
    <w:rPr>
      <w:b/>
      <w:bCs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10053f"/>
    <w:rPr>
      <w:color w:val="605E5C"/>
      <w:shd w:fill="E1DFDD" w:val="clear"/>
    </w:rPr>
  </w:style>
  <w:style w:type="character" w:styleId="2" w:customStyle="1">
    <w:name w:val="Неразрешенное упоминание2"/>
    <w:basedOn w:val="DefaultParagraphFont"/>
    <w:uiPriority w:val="99"/>
    <w:semiHidden/>
    <w:unhideWhenUsed/>
    <w:qFormat/>
    <w:rsid w:val="00515b4d"/>
    <w:rPr>
      <w:color w:val="605E5C"/>
      <w:shd w:fill="E1DFDD" w:val="clear"/>
    </w:rPr>
  </w:style>
  <w:style w:type="character" w:styleId="21" w:customStyle="1">
    <w:name w:val="Средняя сетка 2 Знак"/>
    <w:link w:val="211"/>
    <w:uiPriority w:val="1"/>
    <w:qFormat/>
    <w:locked/>
    <w:rsid w:val="00741bc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0325de"/>
    <w:rPr>
      <w:color w:val="808080"/>
    </w:rPr>
  </w:style>
  <w:style w:type="character" w:styleId="Style14" w:customStyle="1">
    <w:name w:val="Текст концевой сноски Знак"/>
    <w:basedOn w:val="DefaultParagraphFont"/>
    <w:semiHidden/>
    <w:qFormat/>
    <w:rsid w:val="006251a5"/>
    <w:rPr/>
  </w:style>
  <w:style w:type="character" w:styleId="user">
    <w:name w:val="Символ концевой сноски (user)"/>
    <w:semiHidden/>
    <w:unhideWhenUsed/>
    <w:qFormat/>
    <w:rsid w:val="006251a5"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6" w:customStyle="1">
    <w:name w:val="Текст сноски Знак"/>
    <w:basedOn w:val="DefaultParagraphFont"/>
    <w:semiHidden/>
    <w:qFormat/>
    <w:rsid w:val="001a18e9"/>
    <w:rPr/>
  </w:style>
  <w:style w:type="character" w:styleId="user1">
    <w:name w:val="Символ сноски (user)"/>
    <w:semiHidden/>
    <w:unhideWhenUsed/>
    <w:qFormat/>
    <w:rsid w:val="001a18e9"/>
    <w:rPr>
      <w:vertAlign w:val="superscript"/>
    </w:rPr>
  </w:style>
  <w:style w:type="character" w:styleId="Style1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" w:customStyle="1">
    <w:name w:val="Заголовок 3 Знак"/>
    <w:basedOn w:val="DefaultParagraphFont"/>
    <w:semiHidden/>
    <w:qFormat/>
    <w:rsid w:val="00136242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FontStyle13" w:customStyle="1">
    <w:name w:val="Font Style13"/>
    <w:basedOn w:val="DefaultParagraphFont"/>
    <w:uiPriority w:val="99"/>
    <w:qFormat/>
    <w:rsid w:val="001b634c"/>
    <w:rPr>
      <w:rFonts w:ascii="Times New Roman" w:hAnsi="Times New Roman" w:cs="Times New Roman"/>
      <w:sz w:val="30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91cda"/>
    <w:rPr>
      <w:color w:val="605E5C"/>
      <w:shd w:fill="E1DFDD" w:val="clear"/>
    </w:rPr>
  </w:style>
  <w:style w:type="character" w:styleId="31">
    <w:name w:val="Основной шрифт абзаца3"/>
    <w:qFormat/>
    <w:rPr/>
  </w:style>
  <w:style w:type="character" w:styleId="Style18">
    <w:name w:val="Основной шрифт абзаца"/>
    <w:qFormat/>
    <w:rPr/>
  </w:style>
  <w:style w:type="character" w:styleId="Style19">
    <w:name w:val="Другое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5">
    <w:name w:val="Основной шрифт абзаца5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rsid w:val="00651d83"/>
    <w:pPr>
      <w:overflowPunct w:val="false"/>
      <w:spacing w:lineRule="auto" w:line="360"/>
      <w:jc w:val="center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qFormat/>
    <w:rsid w:val="00aa03df"/>
    <w:pPr>
      <w:spacing w:before="120" w:after="120"/>
    </w:pPr>
    <w:rPr>
      <w:b/>
      <w:bCs/>
      <w:sz w:val="20"/>
      <w:szCs w:val="20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ConsNormal" w:customStyle="1">
    <w:name w:val="ConsNormal"/>
    <w:qFormat/>
    <w:rsid w:val="00651d83"/>
    <w:pPr>
      <w:widowControl w:val="false"/>
      <w:suppressAutoHyphens w:val="true"/>
      <w:bidi w:val="0"/>
      <w:spacing w:before="0" w:after="0"/>
      <w:ind w:firstLine="72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user4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rsid w:val="00651d8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651d83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651d83"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Таблицы (моноширинный)"/>
    <w:basedOn w:val="Normal"/>
    <w:next w:val="Normal"/>
    <w:qFormat/>
    <w:rsid w:val="00651d83"/>
    <w:pPr>
      <w:widowControl w:val="false"/>
      <w:jc w:val="both"/>
    </w:pPr>
    <w:rPr>
      <w:rFonts w:ascii="Courier New" w:hAnsi="Courier New" w:cs="Courier New"/>
      <w:sz w:val="20"/>
      <w:szCs w:val="20"/>
    </w:rPr>
  </w:style>
  <w:style w:type="paragraph" w:styleId="CommentText">
    <w:name w:val="annotation text"/>
    <w:basedOn w:val="Normal"/>
    <w:semiHidden/>
    <w:rsid w:val="00e841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e841b0"/>
    <w:pPr/>
    <w:rPr>
      <w:b/>
      <w:bCs/>
    </w:rPr>
  </w:style>
  <w:style w:type="paragraph" w:styleId="BalloonText">
    <w:name w:val="Balloon Text"/>
    <w:basedOn w:val="Normal"/>
    <w:semiHidden/>
    <w:qFormat/>
    <w:rsid w:val="00e841b0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56a5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501bfe"/>
    <w:pPr>
      <w:widowControl w:val="false"/>
      <w:suppressAutoHyphens w:val="true"/>
      <w:ind w:start="720"/>
    </w:pPr>
    <w:rPr>
      <w:rFonts w:eastAsia="Lucida Sans Unicode"/>
      <w:kern w:val="2"/>
    </w:rPr>
  </w:style>
  <w:style w:type="paragraph" w:styleId="Style24" w:customStyle="1">
    <w:name w:val="Содержимое таблицы"/>
    <w:basedOn w:val="Normal"/>
    <w:qFormat/>
    <w:rsid w:val="008c2724"/>
    <w:pPr>
      <w:widowControl w:val="false"/>
      <w:suppressLineNumbers/>
      <w:suppressAutoHyphens w:val="true"/>
    </w:pPr>
    <w:rPr>
      <w:rFonts w:eastAsia="Lucida Sans Unicode"/>
      <w:kern w:val="2"/>
    </w:rPr>
  </w:style>
  <w:style w:type="paragraph" w:styleId="NormalWeb">
    <w:name w:val="Normal (Web)"/>
    <w:basedOn w:val="Normal"/>
    <w:qFormat/>
    <w:rsid w:val="0049092f"/>
    <w:pPr>
      <w:spacing w:beforeAutospacing="1" w:afterAutospacing="1"/>
    </w:pPr>
    <w:rPr/>
  </w:style>
  <w:style w:type="paragraph" w:styleId="12" w:customStyle="1">
    <w:name w:val="Указатель1"/>
    <w:basedOn w:val="Normal"/>
    <w:qFormat/>
    <w:rsid w:val="00984cdd"/>
    <w:pPr>
      <w:widowControl w:val="false"/>
      <w:suppressLineNumbers/>
      <w:suppressAutoHyphens w:val="true"/>
    </w:pPr>
    <w:rPr>
      <w:rFonts w:eastAsia="Lucida Sans Unicode" w:cs="Tahoma"/>
      <w:kern w:val="2"/>
    </w:rPr>
  </w:style>
  <w:style w:type="paragraph" w:styleId="BodyTextIndent">
    <w:name w:val="Body Text Indent"/>
    <w:basedOn w:val="Normal"/>
    <w:link w:val="Style13"/>
    <w:rsid w:val="00232ac2"/>
    <w:pPr>
      <w:spacing w:before="0" w:after="120"/>
      <w:ind w:start="283"/>
    </w:pPr>
    <w:rPr/>
  </w:style>
  <w:style w:type="paragraph" w:styleId="Style25" w:customStyle="1">
    <w:name w:val="Знак"/>
    <w:basedOn w:val="Normal"/>
    <w:qFormat/>
    <w:rsid w:val="005f1756"/>
    <w:pPr>
      <w:spacing w:lineRule="exact" w:line="240" w:before="0" w:after="160"/>
    </w:pPr>
    <w:rPr>
      <w:lang w:val="en-US" w:eastAsia="en-US"/>
    </w:rPr>
  </w:style>
  <w:style w:type="paragraph" w:styleId="BodyText2">
    <w:name w:val="Body Text 2"/>
    <w:basedOn w:val="Normal"/>
    <w:qFormat/>
    <w:rsid w:val="00441a52"/>
    <w:pPr>
      <w:spacing w:lineRule="auto" w:line="480" w:before="0" w:after="120"/>
    </w:pPr>
    <w:rPr/>
  </w:style>
  <w:style w:type="paragraph" w:styleId="NoSpacing">
    <w:name w:val="No Spacing"/>
    <w:uiPriority w:val="1"/>
    <w:qFormat/>
    <w:rsid w:val="00441a52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rmcramte" w:customStyle="1">
    <w:name w:val="rmcramte"/>
    <w:basedOn w:val="Normal"/>
    <w:qFormat/>
    <w:rsid w:val="006f5b4d"/>
    <w:pPr>
      <w:spacing w:beforeAutospacing="1" w:afterAutospacing="1"/>
    </w:pPr>
    <w:rPr>
      <w:rFonts w:eastAsia="Calibri"/>
    </w:rPr>
  </w:style>
  <w:style w:type="paragraph" w:styleId="font5" w:customStyle="1">
    <w:name w:val="font5"/>
    <w:basedOn w:val="Normal"/>
    <w:qFormat/>
    <w:rsid w:val="00926236"/>
    <w:pPr>
      <w:spacing w:beforeAutospacing="1" w:afterAutospacing="1"/>
    </w:pPr>
    <w:rPr>
      <w:color w:val="000000"/>
    </w:rPr>
  </w:style>
  <w:style w:type="paragraph" w:styleId="font6" w:customStyle="1">
    <w:name w:val="font6"/>
    <w:basedOn w:val="Normal"/>
    <w:qFormat/>
    <w:rsid w:val="00926236"/>
    <w:pPr>
      <w:spacing w:beforeAutospacing="1" w:afterAutospacing="1"/>
    </w:pPr>
    <w:rPr>
      <w:b/>
      <w:bCs/>
      <w:color w:val="000000"/>
      <w:sz w:val="20"/>
      <w:szCs w:val="20"/>
    </w:rPr>
  </w:style>
  <w:style w:type="paragraph" w:styleId="xl66" w:customStyle="1">
    <w:name w:val="xl66"/>
    <w:basedOn w:val="Normal"/>
    <w:qFormat/>
    <w:rsid w:val="00926236"/>
    <w:pPr>
      <w:spacing w:beforeAutospacing="1" w:afterAutospacing="1"/>
    </w:pPr>
    <w:rPr>
      <w:color w:val="FF0000"/>
    </w:rPr>
  </w:style>
  <w:style w:type="paragraph" w:styleId="xl67" w:customStyle="1">
    <w:name w:val="xl67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68" w:customStyle="1">
    <w:name w:val="xl68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69" w:customStyle="1">
    <w:name w:val="xl69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0" w:customStyle="1">
    <w:name w:val="xl70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71" w:customStyle="1">
    <w:name w:val="xl71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textAlignment w:val="center"/>
    </w:pPr>
    <w:rPr>
      <w:sz w:val="20"/>
      <w:szCs w:val="20"/>
    </w:rPr>
  </w:style>
  <w:style w:type="paragraph" w:styleId="xl72" w:customStyle="1">
    <w:name w:val="xl72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73" w:customStyle="1">
    <w:name w:val="xl73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4" w:customStyle="1">
    <w:name w:val="xl74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i/>
      <w:iCs/>
      <w:sz w:val="20"/>
      <w:szCs w:val="20"/>
    </w:rPr>
  </w:style>
  <w:style w:type="paragraph" w:styleId="xl75" w:customStyle="1">
    <w:name w:val="xl75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76" w:customStyle="1">
    <w:name w:val="xl76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77" w:customStyle="1">
    <w:name w:val="xl77"/>
    <w:basedOn w:val="Normal"/>
    <w:qFormat/>
    <w:rsid w:val="0092623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8" w:customStyle="1">
    <w:name w:val="xl78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9" w:customStyle="1">
    <w:name w:val="xl79"/>
    <w:basedOn w:val="Normal"/>
    <w:qFormat/>
    <w:rsid w:val="0092623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80" w:customStyle="1">
    <w:name w:val="xl80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81" w:customStyle="1">
    <w:name w:val="xl81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2" w:customStyle="1">
    <w:name w:val="xl82"/>
    <w:basedOn w:val="Normal"/>
    <w:qFormat/>
    <w:rsid w:val="00926236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83" w:customStyle="1">
    <w:name w:val="xl83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CC"/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84" w:customStyle="1">
    <w:name w:val="xl84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85" w:customStyle="1">
    <w:name w:val="xl85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86" w:customStyle="1">
    <w:name w:val="xl86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87" w:customStyle="1">
    <w:name w:val="xl87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88" w:customStyle="1">
    <w:name w:val="xl88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89" w:customStyle="1">
    <w:name w:val="xl89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90" w:customStyle="1">
    <w:name w:val="xl90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1" w:customStyle="1">
    <w:name w:val="xl91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2" w:customStyle="1">
    <w:name w:val="xl92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3" w:customStyle="1">
    <w:name w:val="xl93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4" w:customStyle="1">
    <w:name w:val="xl94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5" w:customStyle="1">
    <w:name w:val="xl95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6" w:customStyle="1">
    <w:name w:val="xl96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7" w:customStyle="1">
    <w:name w:val="xl97"/>
    <w:basedOn w:val="Normal"/>
    <w:qFormat/>
    <w:rsid w:val="0092623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8" w:customStyle="1">
    <w:name w:val="xl98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99" w:customStyle="1">
    <w:name w:val="xl99"/>
    <w:basedOn w:val="Normal"/>
    <w:qFormat/>
    <w:rsid w:val="00926236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00" w:customStyle="1">
    <w:name w:val="xl100"/>
    <w:basedOn w:val="Normal"/>
    <w:qFormat/>
    <w:rsid w:val="0092623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C0C0C0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101" w:customStyle="1">
    <w:name w:val="xl101"/>
    <w:basedOn w:val="Normal"/>
    <w:qFormat/>
    <w:rsid w:val="0092623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C0C0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102" w:customStyle="1">
    <w:name w:val="xl102"/>
    <w:basedOn w:val="Normal"/>
    <w:qFormat/>
    <w:rsid w:val="0092623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C0C0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103" w:customStyle="1">
    <w:name w:val="xl103"/>
    <w:basedOn w:val="Normal"/>
    <w:qFormat/>
    <w:rsid w:val="0092623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0C0C0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104" w:customStyle="1">
    <w:name w:val="xl104"/>
    <w:basedOn w:val="Normal"/>
    <w:qFormat/>
    <w:rsid w:val="009262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05" w:customStyle="1">
    <w:name w:val="xl105"/>
    <w:basedOn w:val="Normal"/>
    <w:qFormat/>
    <w:rsid w:val="0092623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06" w:customStyle="1">
    <w:name w:val="xl106"/>
    <w:basedOn w:val="Normal"/>
    <w:qFormat/>
    <w:rsid w:val="00926236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note" w:customStyle="1">
    <w:name w:val="note"/>
    <w:basedOn w:val="Normal"/>
    <w:qFormat/>
    <w:rsid w:val="00606eb7"/>
    <w:pPr>
      <w:spacing w:before="120" w:after="120"/>
    </w:pPr>
    <w:rPr>
      <w:b/>
      <w:bCs/>
      <w:i/>
      <w:iCs/>
      <w:sz w:val="22"/>
      <w:szCs w:val="22"/>
    </w:rPr>
  </w:style>
  <w:style w:type="paragraph" w:styleId="xl107" w:customStyle="1">
    <w:name w:val="xl107"/>
    <w:basedOn w:val="Normal"/>
    <w:qFormat/>
    <w:rsid w:val="003241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08" w:customStyle="1">
    <w:name w:val="xl108"/>
    <w:basedOn w:val="Normal"/>
    <w:qFormat/>
    <w:rsid w:val="003241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09" w:customStyle="1">
    <w:name w:val="xl109"/>
    <w:basedOn w:val="Normal"/>
    <w:qFormat/>
    <w:rsid w:val="003241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10" w:customStyle="1">
    <w:name w:val="xl110"/>
    <w:basedOn w:val="Normal"/>
    <w:qFormat/>
    <w:rsid w:val="003241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11" w:customStyle="1">
    <w:name w:val="xl111"/>
    <w:basedOn w:val="Normal"/>
    <w:qFormat/>
    <w:rsid w:val="003241c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12" w:customStyle="1">
    <w:name w:val="xl112"/>
    <w:basedOn w:val="Normal"/>
    <w:qFormat/>
    <w:rsid w:val="003241c6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13" w:customStyle="1">
    <w:name w:val="xl113"/>
    <w:basedOn w:val="Normal"/>
    <w:qFormat/>
    <w:rsid w:val="003241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14" w:customStyle="1">
    <w:name w:val="xl114"/>
    <w:basedOn w:val="Normal"/>
    <w:qFormat/>
    <w:rsid w:val="003241c6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15" w:customStyle="1">
    <w:name w:val="xl115"/>
    <w:basedOn w:val="Normal"/>
    <w:qFormat/>
    <w:rsid w:val="003241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msonormal" w:customStyle="1">
    <w:name w:val="msonormal"/>
    <w:basedOn w:val="Normal"/>
    <w:qFormat/>
    <w:rsid w:val="00721095"/>
    <w:pPr>
      <w:spacing w:beforeAutospacing="1" w:afterAutospacing="1"/>
    </w:pPr>
    <w:rPr/>
  </w:style>
  <w:style w:type="paragraph" w:styleId="xl64" w:customStyle="1">
    <w:name w:val="xl64"/>
    <w:basedOn w:val="Normal"/>
    <w:qFormat/>
    <w:rsid w:val="006c269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C0C0C0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65" w:customStyle="1">
    <w:name w:val="xl65"/>
    <w:basedOn w:val="Normal"/>
    <w:qFormat/>
    <w:rsid w:val="006c269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C0C0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116" w:customStyle="1">
    <w:name w:val="xl116"/>
    <w:basedOn w:val="Normal"/>
    <w:qFormat/>
    <w:rsid w:val="006c26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17" w:customStyle="1">
    <w:name w:val="xl117"/>
    <w:basedOn w:val="Normal"/>
    <w:qFormat/>
    <w:rsid w:val="006c269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18" w:customStyle="1">
    <w:name w:val="xl118"/>
    <w:basedOn w:val="Normal"/>
    <w:qFormat/>
    <w:rsid w:val="006c26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19" w:customStyle="1">
    <w:name w:val="xl119"/>
    <w:basedOn w:val="Normal"/>
    <w:qFormat/>
    <w:rsid w:val="006c269f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0" w:customStyle="1">
    <w:name w:val="xl120"/>
    <w:basedOn w:val="Normal"/>
    <w:qFormat/>
    <w:rsid w:val="006c269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21" w:customStyle="1">
    <w:name w:val="xl121"/>
    <w:basedOn w:val="Normal"/>
    <w:qFormat/>
    <w:rsid w:val="006c26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22" w:customStyle="1">
    <w:name w:val="xl122"/>
    <w:basedOn w:val="Normal"/>
    <w:qFormat/>
    <w:rsid w:val="006c269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23" w:customStyle="1">
    <w:name w:val="xl123"/>
    <w:basedOn w:val="Normal"/>
    <w:qFormat/>
    <w:rsid w:val="006c269f"/>
    <w:pPr>
      <w:pBdr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sz w:val="20"/>
      <w:szCs w:val="20"/>
    </w:rPr>
  </w:style>
  <w:style w:type="paragraph" w:styleId="xl124" w:customStyle="1">
    <w:name w:val="xl124"/>
    <w:basedOn w:val="Normal"/>
    <w:qFormat/>
    <w:rsid w:val="006c26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25" w:customStyle="1">
    <w:name w:val="xl125"/>
    <w:basedOn w:val="Normal"/>
    <w:qFormat/>
    <w:rsid w:val="006c26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26" w:customStyle="1">
    <w:name w:val="xl126"/>
    <w:basedOn w:val="Normal"/>
    <w:qFormat/>
    <w:rsid w:val="006c269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27" w:customStyle="1">
    <w:name w:val="xl127"/>
    <w:basedOn w:val="Normal"/>
    <w:qFormat/>
    <w:rsid w:val="006c26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28" w:customStyle="1">
    <w:name w:val="xl128"/>
    <w:basedOn w:val="Normal"/>
    <w:qFormat/>
    <w:rsid w:val="006c269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29" w:customStyle="1">
    <w:name w:val="xl129"/>
    <w:basedOn w:val="Normal"/>
    <w:qFormat/>
    <w:rsid w:val="006c26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30" w:customStyle="1">
    <w:name w:val="xl130"/>
    <w:basedOn w:val="Normal"/>
    <w:qFormat/>
    <w:rsid w:val="006c26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31" w:customStyle="1">
    <w:name w:val="xl131"/>
    <w:basedOn w:val="Normal"/>
    <w:qFormat/>
    <w:rsid w:val="006c26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32" w:customStyle="1">
    <w:name w:val="xl132"/>
    <w:basedOn w:val="Normal"/>
    <w:qFormat/>
    <w:rsid w:val="006c26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33" w:customStyle="1">
    <w:name w:val="xl133"/>
    <w:basedOn w:val="Normal"/>
    <w:qFormat/>
    <w:rsid w:val="006c26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34" w:customStyle="1">
    <w:name w:val="xl134"/>
    <w:basedOn w:val="Normal"/>
    <w:qFormat/>
    <w:rsid w:val="006c269f"/>
    <w:pPr>
      <w:pBdr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5" w:customStyle="1">
    <w:name w:val="xl135"/>
    <w:basedOn w:val="Normal"/>
    <w:qFormat/>
    <w:rsid w:val="006c269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6" w:customStyle="1">
    <w:name w:val="xl136"/>
    <w:basedOn w:val="Normal"/>
    <w:qFormat/>
    <w:rsid w:val="006c269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37" w:customStyle="1">
    <w:name w:val="xl137"/>
    <w:basedOn w:val="Normal"/>
    <w:qFormat/>
    <w:rsid w:val="006c269f"/>
    <w:pPr>
      <w:pBdr>
        <w:top w:val="single" w:sz="8" w:space="0" w:color="000000"/>
        <w:bottom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color w:val="0033CC"/>
      <w:sz w:val="20"/>
      <w:szCs w:val="20"/>
    </w:rPr>
  </w:style>
  <w:style w:type="paragraph" w:styleId="xl138" w:customStyle="1">
    <w:name w:val="xl138"/>
    <w:basedOn w:val="Normal"/>
    <w:qFormat/>
    <w:rsid w:val="006c269f"/>
    <w:pPr>
      <w:pBdr>
        <w:top w:val="single" w:sz="8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color w:val="0033CC"/>
      <w:sz w:val="20"/>
      <w:szCs w:val="20"/>
    </w:rPr>
  </w:style>
  <w:style w:type="paragraph" w:styleId="xl139" w:customStyle="1">
    <w:name w:val="xl139"/>
    <w:basedOn w:val="Normal"/>
    <w:qFormat/>
    <w:rsid w:val="006c269f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color w:val="0033CC"/>
      <w:sz w:val="20"/>
      <w:szCs w:val="20"/>
    </w:rPr>
  </w:style>
  <w:style w:type="paragraph" w:styleId="xl140" w:customStyle="1">
    <w:name w:val="xl140"/>
    <w:basedOn w:val="Normal"/>
    <w:qFormat/>
    <w:rsid w:val="006c26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color w:val="0033CC"/>
      <w:sz w:val="20"/>
      <w:szCs w:val="20"/>
    </w:rPr>
  </w:style>
  <w:style w:type="paragraph" w:styleId="xl141" w:customStyle="1">
    <w:name w:val="xl141"/>
    <w:basedOn w:val="Normal"/>
    <w:qFormat/>
    <w:rsid w:val="006c26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CC"/>
      <w:spacing w:beforeAutospacing="1" w:afterAutospacing="1"/>
      <w:jc w:val="center"/>
      <w:textAlignment w:val="center"/>
    </w:pPr>
    <w:rPr>
      <w:b/>
      <w:bCs/>
      <w:color w:val="0033CC"/>
      <w:sz w:val="20"/>
      <w:szCs w:val="20"/>
    </w:rPr>
  </w:style>
  <w:style w:type="paragraph" w:styleId="211" w:customStyle="1">
    <w:name w:val="Средняя сетка 21"/>
    <w:link w:val="21"/>
    <w:uiPriority w:val="1"/>
    <w:qFormat/>
    <w:rsid w:val="00741bc3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EndnoteText">
    <w:name w:val="endnote text"/>
    <w:basedOn w:val="Normal"/>
    <w:link w:val="Style14"/>
    <w:semiHidden/>
    <w:unhideWhenUsed/>
    <w:rsid w:val="006251a5"/>
    <w:pPr/>
    <w:rPr>
      <w:sz w:val="20"/>
      <w:szCs w:val="20"/>
    </w:rPr>
  </w:style>
  <w:style w:type="paragraph" w:styleId="FootnoteText">
    <w:name w:val="footnote text"/>
    <w:basedOn w:val="Normal"/>
    <w:link w:val="Style16"/>
    <w:semiHidden/>
    <w:unhideWhenUsed/>
    <w:rsid w:val="001a18e9"/>
    <w:pPr/>
    <w:rPr>
      <w:sz w:val="20"/>
      <w:szCs w:val="20"/>
    </w:rPr>
  </w:style>
  <w:style w:type="paragraph" w:styleId="Style26" w:customStyle="1">
    <w:name w:val="Style2"/>
    <w:basedOn w:val="Normal"/>
    <w:uiPriority w:val="99"/>
    <w:qFormat/>
    <w:rsid w:val="001b634c"/>
    <w:pPr>
      <w:widowControl w:val="false"/>
      <w:spacing w:lineRule="exact" w:line="370"/>
    </w:pPr>
    <w:rPr/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Верхний колонтитул слева (user)"/>
    <w:basedOn w:val="Header"/>
    <w:qFormat/>
    <w:pPr/>
    <w:rPr/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Другое"/>
    <w:basedOn w:val="Normal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  <w:shd w:fill="auto" w:val="clear"/>
    </w:rPr>
  </w:style>
  <w:style w:type="paragraph" w:styleId="user7">
    <w:name w:val="Содержимое таблицы (user)"/>
    <w:basedOn w:val="Normal"/>
    <w:qFormat/>
    <w:pPr>
      <w:widowControl w:val="false"/>
      <w:suppressLineNumbers/>
      <w:suppressAutoHyphens w:val="true"/>
    </w:pPr>
    <w:rPr>
      <w:rFonts w:eastAsia="Lucida Sans Unicode"/>
      <w:kern w:val="2"/>
    </w:rPr>
  </w:style>
  <w:style w:type="paragraph" w:styleId="22">
    <w:name w:val="Основной текст (2)"/>
    <w:basedOn w:val="Normal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  <w:shd w:fill="auto" w:val="clear"/>
    </w:rPr>
  </w:style>
  <w:style w:type="paragraph" w:styleId="user8">
    <w:name w:val="Заголовок таблицы (user)"/>
    <w:basedOn w:val="user7"/>
    <w:qFormat/>
    <w:pPr>
      <w:suppressLineNumbers/>
      <w:jc w:val="center"/>
    </w:pPr>
    <w:rPr>
      <w:b/>
      <w:bCs/>
    </w:rPr>
  </w:style>
  <w:style w:type="numbering" w:styleId="user9" w:default="1">
    <w:name w:val="Без списка (user)"/>
    <w:uiPriority w:val="99"/>
    <w:semiHidden/>
    <w:unhideWhenUsed/>
    <w:qFormat/>
  </w:style>
  <w:style w:type="numbering" w:styleId="13" w:customStyle="1">
    <w:name w:val="Нет списка1"/>
    <w:uiPriority w:val="99"/>
    <w:semiHidden/>
    <w:unhideWhenUsed/>
    <w:qFormat/>
    <w:rsid w:val="000336aa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205be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1"/>
    <w:uiPriority w:val="39"/>
    <w:rsid w:val="000a38be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0a38be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0a38be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0">
    <w:name w:val="Сетка таблицы13"/>
    <w:basedOn w:val="a1"/>
    <w:uiPriority w:val="39"/>
    <w:rsid w:val="000a38be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Сетка таблицы14"/>
    <w:basedOn w:val="a1"/>
    <w:uiPriority w:val="39"/>
    <w:rsid w:val="000336aa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1"/>
    <w:uiPriority w:val="39"/>
    <w:rsid w:val="000336aa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1"/>
    <w:basedOn w:val="a1"/>
    <w:uiPriority w:val="39"/>
    <w:rsid w:val="000336aa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1"/>
    <w:basedOn w:val="a1"/>
    <w:uiPriority w:val="39"/>
    <w:rsid w:val="000336aa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">
    <w:name w:val="Сетка таблицы131"/>
    <w:basedOn w:val="a1"/>
    <w:uiPriority w:val="39"/>
    <w:rsid w:val="000336aa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f765ed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1"/>
    <w:uiPriority w:val="59"/>
    <w:rsid w:val="00f765ed"/>
    <w:rPr>
      <w:rFonts w:asciiTheme="minorHAnsi" w:hAnsiTheme="minorHAnsi" w:eastAsiaTheme="minorEastAsia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39"/>
    <w:rsid w:val="006b4386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ishquality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endnotes" Target="endnotes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Application>LibreOffice/25.8.3.2$Windows_X86_64 LibreOffice_project/8ca8d55c161d602844f5428fa4b58097424e324e</Application>
  <AppVersion>15.0000</AppVersion>
  <Pages>9</Pages>
  <Words>3155</Words>
  <Characters>23162</Characters>
  <CharactersWithSpaces>26278</CharactersWithSpaces>
  <Paragraphs>205</Paragraphs>
  <Company>NFQ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2025-12-09T09:50:00Z</dcterms:created>
  <dc:creator>Администратор</dc:creator>
  <dc:description/>
  <dc:language>ru-RU</dc:language>
  <cp:lastModifiedBy/>
  <cp:lastPrinted>2026-08-25T13:49:09Z</cp:lastPrinted>
  <dcterms:modified xsi:type="dcterms:W3CDTF">2026-08-25T17:20:12Z</dcterms:modified>
  <cp:revision>118</cp:revision>
  <dc:subject/>
  <dc:title>ДОГОВОР № 058-л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