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19C" w:rsidRPr="00D42BAF" w:rsidRDefault="004E119C" w:rsidP="004E119C">
      <w:pPr>
        <w:jc w:val="center"/>
        <w:rPr>
          <w:b/>
          <w:bCs/>
        </w:rPr>
      </w:pPr>
      <w:bookmarkStart w:id="0" w:name="_Ref248728669"/>
      <w:bookmarkStart w:id="1" w:name="_Toc456183728"/>
      <w:r w:rsidRPr="00D42BAF">
        <w:rPr>
          <w:b/>
          <w:bCs/>
        </w:rPr>
        <w:t>ОБОС</w:t>
      </w:r>
      <w:bookmarkStart w:id="2" w:name="_Ref248562863"/>
      <w:bookmarkEnd w:id="0"/>
      <w:r w:rsidRPr="00D42BAF">
        <w:rPr>
          <w:b/>
          <w:bCs/>
        </w:rPr>
        <w:t>НОВАНИЕ НАЧАЛЬНОЙ (МАКСИМАЛЬНОЙ) ЦЕНЫ КОНТРАКТА</w:t>
      </w:r>
      <w:bookmarkEnd w:id="1"/>
    </w:p>
    <w:p w:rsidR="004E119C" w:rsidRPr="00481585" w:rsidRDefault="00AA0A35" w:rsidP="00D62D9E">
      <w:pPr>
        <w:jc w:val="center"/>
        <w:rPr>
          <w:b/>
        </w:rPr>
      </w:pPr>
      <w:r w:rsidRPr="001E4CB9">
        <w:rPr>
          <w:b/>
        </w:rPr>
        <w:t xml:space="preserve">на </w:t>
      </w:r>
      <w:r w:rsidR="00481585" w:rsidRPr="00481585">
        <w:rPr>
          <w:b/>
        </w:rPr>
        <w:t>п</w:t>
      </w:r>
      <w:r w:rsidR="00481585" w:rsidRPr="00481585">
        <w:rPr>
          <w:b/>
          <w:sz w:val="22"/>
          <w:szCs w:val="22"/>
        </w:rPr>
        <w:t xml:space="preserve">оставку межсетевого экрана для безопасного доступа в Интернет и </w:t>
      </w:r>
      <w:r w:rsidR="00481585" w:rsidRPr="00481585">
        <w:rPr>
          <w:b/>
          <w:bCs/>
          <w:sz w:val="22"/>
          <w:szCs w:val="22"/>
          <w:lang w:eastAsia="ar-SA"/>
        </w:rPr>
        <w:t>обеспечения задачи безопасного межсетевого взаимодействия, учета и контроля использования ресурсов глобальной сети Интернет</w:t>
      </w:r>
    </w:p>
    <w:tbl>
      <w:tblPr>
        <w:tblW w:w="4780" w:type="pct"/>
        <w:jc w:val="center"/>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2547"/>
        <w:gridCol w:w="2580"/>
        <w:gridCol w:w="5982"/>
        <w:gridCol w:w="2880"/>
      </w:tblGrid>
      <w:tr w:rsidR="00D42BAF" w:rsidRPr="00F92BDC" w:rsidTr="00D42BAF">
        <w:trPr>
          <w:jc w:val="center"/>
        </w:trPr>
        <w:tc>
          <w:tcPr>
            <w:tcW w:w="687" w:type="dxa"/>
            <w:shd w:val="clear" w:color="auto" w:fill="auto"/>
          </w:tcPr>
          <w:p w:rsidR="00D42BAF" w:rsidRDefault="00D42BAF" w:rsidP="00D42BAF">
            <w:pPr>
              <w:ind w:right="-173" w:firstLine="709"/>
              <w:jc w:val="center"/>
            </w:pPr>
            <w:bookmarkStart w:id="3" w:name="_Toc456183729"/>
            <w:r>
              <w:t xml:space="preserve">№№ </w:t>
            </w:r>
            <w:proofErr w:type="spellStart"/>
            <w:proofErr w:type="gramStart"/>
            <w:r>
              <w:t>п</w:t>
            </w:r>
            <w:proofErr w:type="spellEnd"/>
            <w:proofErr w:type="gramEnd"/>
            <w:r>
              <w:t>/</w:t>
            </w:r>
            <w:proofErr w:type="spellStart"/>
            <w:r>
              <w:t>п</w:t>
            </w:r>
            <w:proofErr w:type="spellEnd"/>
          </w:p>
          <w:p w:rsidR="00D42BAF" w:rsidRPr="00F92BDC" w:rsidRDefault="00D42BAF" w:rsidP="00D42BAF">
            <w:pPr>
              <w:ind w:right="-173" w:firstLine="709"/>
              <w:jc w:val="center"/>
            </w:pPr>
          </w:p>
        </w:tc>
        <w:tc>
          <w:tcPr>
            <w:tcW w:w="2547" w:type="dxa"/>
            <w:shd w:val="clear" w:color="auto" w:fill="auto"/>
            <w:vAlign w:val="center"/>
          </w:tcPr>
          <w:p w:rsidR="00D42BAF" w:rsidRPr="00F92BDC" w:rsidRDefault="00D42BAF" w:rsidP="000256ED">
            <w:pPr>
              <w:ind w:hanging="1"/>
              <w:jc w:val="center"/>
            </w:pPr>
            <w:r w:rsidRPr="00F92BDC">
              <w:t>Наименование объекта закупки</w:t>
            </w:r>
          </w:p>
        </w:tc>
        <w:tc>
          <w:tcPr>
            <w:tcW w:w="2580" w:type="dxa"/>
            <w:shd w:val="clear" w:color="auto" w:fill="auto"/>
            <w:vAlign w:val="center"/>
          </w:tcPr>
          <w:p w:rsidR="00D42BAF" w:rsidRPr="00F92BDC" w:rsidRDefault="00D42BAF" w:rsidP="000256ED">
            <w:pPr>
              <w:ind w:firstLine="32"/>
              <w:jc w:val="center"/>
            </w:pPr>
            <w:r w:rsidRPr="00F92BDC">
              <w:t>Используемый метод (методы) определения НМЦК</w:t>
            </w:r>
          </w:p>
        </w:tc>
        <w:tc>
          <w:tcPr>
            <w:tcW w:w="5981" w:type="dxa"/>
            <w:shd w:val="clear" w:color="auto" w:fill="auto"/>
            <w:vAlign w:val="center"/>
          </w:tcPr>
          <w:p w:rsidR="00D42BAF" w:rsidRPr="00F92BDC" w:rsidRDefault="00D42BAF" w:rsidP="000256ED">
            <w:pPr>
              <w:jc w:val="center"/>
            </w:pPr>
            <w:r w:rsidRPr="00F92BDC">
              <w:t>Обоснования применяемого метода определения НМЦК</w:t>
            </w:r>
          </w:p>
        </w:tc>
        <w:tc>
          <w:tcPr>
            <w:tcW w:w="2880" w:type="dxa"/>
            <w:shd w:val="clear" w:color="auto" w:fill="auto"/>
            <w:vAlign w:val="center"/>
          </w:tcPr>
          <w:p w:rsidR="00D42BAF" w:rsidRPr="00F92BDC" w:rsidRDefault="00D42BAF" w:rsidP="000256ED">
            <w:pPr>
              <w:jc w:val="center"/>
            </w:pPr>
            <w:r w:rsidRPr="00F92BDC">
              <w:t>НМЦК</w:t>
            </w:r>
          </w:p>
          <w:p w:rsidR="00D42BAF" w:rsidRPr="00F92BDC" w:rsidRDefault="00D42BAF" w:rsidP="000256ED">
            <w:pPr>
              <w:jc w:val="center"/>
            </w:pPr>
            <w:r w:rsidRPr="00F92BDC">
              <w:t>(рублей)</w:t>
            </w:r>
          </w:p>
        </w:tc>
      </w:tr>
      <w:tr w:rsidR="00D42BAF" w:rsidRPr="00F92BDC" w:rsidTr="00D42BAF">
        <w:trPr>
          <w:jc w:val="center"/>
        </w:trPr>
        <w:tc>
          <w:tcPr>
            <w:tcW w:w="687" w:type="dxa"/>
            <w:shd w:val="clear" w:color="auto" w:fill="auto"/>
          </w:tcPr>
          <w:p w:rsidR="00D42BAF" w:rsidRPr="00F92BDC" w:rsidRDefault="00D42BAF" w:rsidP="000256ED">
            <w:pPr>
              <w:jc w:val="both"/>
            </w:pPr>
            <w:r w:rsidRPr="00F92BDC">
              <w:t>1</w:t>
            </w:r>
          </w:p>
        </w:tc>
        <w:tc>
          <w:tcPr>
            <w:tcW w:w="2547" w:type="dxa"/>
            <w:shd w:val="clear" w:color="auto" w:fill="auto"/>
          </w:tcPr>
          <w:p w:rsidR="00D42BAF" w:rsidRPr="00EE5B42" w:rsidRDefault="001E4CB9" w:rsidP="00294161">
            <w:pPr>
              <w:widowControl w:val="0"/>
              <w:autoSpaceDE w:val="0"/>
              <w:autoSpaceDN w:val="0"/>
              <w:adjustRightInd w:val="0"/>
            </w:pPr>
            <w:r>
              <w:rPr>
                <w:sz w:val="22"/>
                <w:szCs w:val="22"/>
              </w:rPr>
              <w:t xml:space="preserve">Поставка межсетевого экрана для организации защищенного доступа в Интернет и </w:t>
            </w:r>
            <w:r>
              <w:rPr>
                <w:bCs/>
                <w:sz w:val="22"/>
                <w:szCs w:val="22"/>
                <w:lang w:eastAsia="ar-SA"/>
              </w:rPr>
              <w:t>обеспечения задачи безопасного межсетевого взаимодействия, учета и контроля использования ресурсов глобальной сети Интернет (в рамках ИКТ)</w:t>
            </w:r>
          </w:p>
        </w:tc>
        <w:tc>
          <w:tcPr>
            <w:tcW w:w="2580" w:type="dxa"/>
            <w:shd w:val="clear" w:color="auto" w:fill="auto"/>
          </w:tcPr>
          <w:p w:rsidR="00D42BAF" w:rsidRPr="00F92BDC" w:rsidRDefault="00D42BAF" w:rsidP="000256ED">
            <w:pPr>
              <w:jc w:val="both"/>
            </w:pPr>
            <w:r w:rsidRPr="00F92BDC">
              <w:t>Метод сопоставимых рыночных цен (анализа рынка)</w:t>
            </w:r>
          </w:p>
        </w:tc>
        <w:tc>
          <w:tcPr>
            <w:tcW w:w="5981" w:type="dxa"/>
            <w:shd w:val="clear" w:color="auto" w:fill="auto"/>
          </w:tcPr>
          <w:p w:rsidR="00D42BAF" w:rsidRPr="00F92BDC" w:rsidRDefault="00D42BAF" w:rsidP="000256ED">
            <w:pPr>
              <w:jc w:val="both"/>
            </w:pPr>
            <w:r>
              <w:t>В</w:t>
            </w:r>
            <w:r w:rsidRPr="00F92BDC">
              <w:t xml:space="preserve"> соответствии с  Приказом Минэкономразвития России от 02.10.2013 года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2880" w:type="dxa"/>
            <w:shd w:val="clear" w:color="auto" w:fill="auto"/>
          </w:tcPr>
          <w:p w:rsidR="00D42BAF" w:rsidRDefault="00D42BAF" w:rsidP="00883BBA">
            <w:pPr>
              <w:autoSpaceDE w:val="0"/>
              <w:autoSpaceDN w:val="0"/>
              <w:adjustRightInd w:val="0"/>
              <w:ind w:firstLine="567"/>
              <w:jc w:val="both"/>
              <w:rPr>
                <w:rFonts w:eastAsia="Calibri"/>
                <w:b/>
                <w:bCs/>
                <w:lang w:eastAsia="en-US"/>
              </w:rPr>
            </w:pPr>
          </w:p>
          <w:p w:rsidR="00D42BAF" w:rsidRDefault="001E4CB9" w:rsidP="00883BBA">
            <w:pPr>
              <w:autoSpaceDE w:val="0"/>
              <w:autoSpaceDN w:val="0"/>
              <w:adjustRightInd w:val="0"/>
              <w:ind w:firstLine="567"/>
              <w:jc w:val="both"/>
              <w:rPr>
                <w:b/>
                <w:bCs/>
              </w:rPr>
            </w:pPr>
            <w:r>
              <w:rPr>
                <w:rFonts w:eastAsia="Calibri"/>
                <w:b/>
                <w:bCs/>
                <w:lang w:eastAsia="en-US"/>
              </w:rPr>
              <w:t>52 175</w:t>
            </w:r>
            <w:r w:rsidR="00D42BAF">
              <w:rPr>
                <w:rFonts w:eastAsia="Calibri"/>
                <w:b/>
                <w:bCs/>
                <w:lang w:eastAsia="en-US"/>
              </w:rPr>
              <w:t>,</w:t>
            </w:r>
            <w:r w:rsidR="00D62D9E">
              <w:rPr>
                <w:rFonts w:eastAsia="Calibri"/>
                <w:b/>
                <w:bCs/>
                <w:lang w:eastAsia="en-US"/>
              </w:rPr>
              <w:t>00</w:t>
            </w:r>
            <w:r w:rsidR="00D42BAF">
              <w:rPr>
                <w:b/>
                <w:bCs/>
              </w:rPr>
              <w:t xml:space="preserve"> </w:t>
            </w:r>
          </w:p>
          <w:p w:rsidR="00D42BAF" w:rsidRPr="00F92BDC" w:rsidRDefault="00D42BAF" w:rsidP="001E4CB9">
            <w:pPr>
              <w:autoSpaceDE w:val="0"/>
              <w:autoSpaceDN w:val="0"/>
              <w:adjustRightInd w:val="0"/>
              <w:jc w:val="both"/>
              <w:rPr>
                <w:b/>
              </w:rPr>
            </w:pPr>
            <w:r w:rsidRPr="00B50AE9">
              <w:rPr>
                <w:b/>
                <w:bCs/>
              </w:rPr>
              <w:t>(</w:t>
            </w:r>
            <w:r w:rsidR="001E4CB9">
              <w:rPr>
                <w:b/>
                <w:bCs/>
              </w:rPr>
              <w:t>Пятьдесят две</w:t>
            </w:r>
            <w:r w:rsidR="00D62D9E">
              <w:rPr>
                <w:b/>
                <w:bCs/>
              </w:rPr>
              <w:t xml:space="preserve"> </w:t>
            </w:r>
            <w:r>
              <w:rPr>
                <w:b/>
                <w:bCs/>
              </w:rPr>
              <w:t>тысяч</w:t>
            </w:r>
            <w:r w:rsidR="001E4CB9">
              <w:rPr>
                <w:b/>
                <w:bCs/>
              </w:rPr>
              <w:t>и</w:t>
            </w:r>
            <w:r w:rsidR="00294161">
              <w:rPr>
                <w:b/>
                <w:bCs/>
              </w:rPr>
              <w:t xml:space="preserve"> </w:t>
            </w:r>
            <w:r w:rsidR="001E4CB9">
              <w:rPr>
                <w:b/>
                <w:bCs/>
              </w:rPr>
              <w:t>сто семьдесят пять</w:t>
            </w:r>
            <w:r>
              <w:rPr>
                <w:b/>
                <w:bCs/>
              </w:rPr>
              <w:t>)</w:t>
            </w:r>
            <w:r w:rsidRPr="00B50AE9">
              <w:rPr>
                <w:b/>
                <w:bCs/>
              </w:rPr>
              <w:t xml:space="preserve"> рубл</w:t>
            </w:r>
            <w:r w:rsidR="00D62D9E">
              <w:rPr>
                <w:b/>
                <w:bCs/>
              </w:rPr>
              <w:t>ей</w:t>
            </w:r>
            <w:r w:rsidRPr="00B50AE9">
              <w:rPr>
                <w:b/>
                <w:bCs/>
              </w:rPr>
              <w:t xml:space="preserve"> </w:t>
            </w:r>
            <w:r w:rsidR="00D62D9E">
              <w:rPr>
                <w:b/>
                <w:bCs/>
              </w:rPr>
              <w:t>00</w:t>
            </w:r>
            <w:r>
              <w:rPr>
                <w:b/>
                <w:bCs/>
              </w:rPr>
              <w:t xml:space="preserve"> </w:t>
            </w:r>
            <w:r w:rsidRPr="00B50AE9">
              <w:rPr>
                <w:b/>
                <w:bCs/>
              </w:rPr>
              <w:t>копеек</w:t>
            </w:r>
          </w:p>
        </w:tc>
      </w:tr>
    </w:tbl>
    <w:p w:rsidR="004E119C" w:rsidRPr="00F92BDC" w:rsidRDefault="004E119C" w:rsidP="004E119C">
      <w:pPr>
        <w:ind w:firstLine="709"/>
        <w:jc w:val="both"/>
      </w:pPr>
    </w:p>
    <w:p w:rsidR="00D50BCD" w:rsidRPr="00D241DD" w:rsidRDefault="00D50BCD" w:rsidP="00D50BCD">
      <w:pPr>
        <w:jc w:val="both"/>
      </w:pPr>
      <w:r w:rsidRPr="00D241DD">
        <w:t xml:space="preserve">Начальная (максимальная) цена контракта (далее – НМЦК) определена </w:t>
      </w:r>
      <w:r w:rsidRPr="00D241DD">
        <w:rPr>
          <w:b/>
        </w:rPr>
        <w:t>методом сопоставимых рыночных цен (анализ рынка)</w:t>
      </w:r>
      <w:r w:rsidRPr="00D241DD">
        <w:t>.</w:t>
      </w:r>
      <w:r w:rsidR="00D62D9E">
        <w:t xml:space="preserve"> </w:t>
      </w:r>
    </w:p>
    <w:p w:rsidR="00D50BCD" w:rsidRPr="00D241DD" w:rsidRDefault="00D50BCD" w:rsidP="00D50BCD">
      <w:r w:rsidRPr="00D241DD">
        <w:t xml:space="preserve">В целях получения ценовой информации в отношении товара  для определения НМЦК </w:t>
      </w:r>
      <w:r w:rsidR="00A30547">
        <w:t>использо</w:t>
      </w:r>
      <w:r w:rsidR="007A09BF">
        <w:t>вана информация из коммерческого п</w:t>
      </w:r>
      <w:r w:rsidR="00481585">
        <w:t>редложения от официального разработчика</w:t>
      </w:r>
      <w:r w:rsidRPr="00D241DD">
        <w:t xml:space="preserve">. </w:t>
      </w:r>
    </w:p>
    <w:p w:rsidR="00D50BCD" w:rsidRPr="00D241DD" w:rsidRDefault="00D50BCD" w:rsidP="00D50BCD">
      <w:pPr>
        <w:jc w:val="both"/>
      </w:pPr>
      <w:r w:rsidRPr="00D241DD">
        <w:rPr>
          <w:rFonts w:eastAsia="Calibri"/>
          <w:lang w:eastAsia="en-US"/>
        </w:rPr>
        <w:t xml:space="preserve"> </w:t>
      </w:r>
      <w:r w:rsidRPr="00D241DD">
        <w:t>Начальная (максимальная) цена контракта (далее – НМЦК) определена по формуле:</w:t>
      </w:r>
    </w:p>
    <w:p w:rsidR="00D50BCD" w:rsidRPr="00D241DD" w:rsidRDefault="00D50BCD" w:rsidP="00D50BCD">
      <w:pPr>
        <w:jc w:val="both"/>
      </w:pPr>
      <w:r w:rsidRPr="00D241DD">
        <w:rPr>
          <w:rFonts w:eastAsia="Calibri"/>
          <w:noProof/>
          <w:position w:val="-24"/>
        </w:rPr>
        <w:drawing>
          <wp:inline distT="0" distB="0" distL="0" distR="0">
            <wp:extent cx="1630045" cy="397510"/>
            <wp:effectExtent l="0" t="0" r="8255" b="254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0045" cy="397510"/>
                    </a:xfrm>
                    <a:prstGeom prst="rect">
                      <a:avLst/>
                    </a:prstGeom>
                    <a:noFill/>
                    <a:ln>
                      <a:noFill/>
                    </a:ln>
                  </pic:spPr>
                </pic:pic>
              </a:graphicData>
            </a:graphic>
          </wp:inline>
        </w:drawing>
      </w:r>
      <w:r w:rsidRPr="00D241DD">
        <w:rPr>
          <w:rFonts w:eastAsia="Calibri"/>
          <w:lang w:eastAsia="en-US"/>
        </w:rPr>
        <w:t>,</w:t>
      </w:r>
      <w:r w:rsidRPr="00D241DD">
        <w:t>где:</w:t>
      </w:r>
    </w:p>
    <w:p w:rsidR="00D50BCD" w:rsidRPr="00D241DD" w:rsidRDefault="00D50BCD" w:rsidP="00D50BCD">
      <w:pPr>
        <w:jc w:val="both"/>
      </w:pPr>
      <w:r w:rsidRPr="00D241DD">
        <w:rPr>
          <w:noProof/>
        </w:rPr>
        <w:drawing>
          <wp:inline distT="0" distB="0" distL="0" distR="0">
            <wp:extent cx="675640" cy="23050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75640" cy="230505"/>
                    </a:xfrm>
                    <a:prstGeom prst="rect">
                      <a:avLst/>
                    </a:prstGeom>
                    <a:noFill/>
                    <a:ln>
                      <a:noFill/>
                    </a:ln>
                  </pic:spPr>
                </pic:pic>
              </a:graphicData>
            </a:graphic>
          </wp:inline>
        </w:drawing>
      </w:r>
      <w:r w:rsidRPr="00D241DD">
        <w:t xml:space="preserve"> - НМЦК, </w:t>
      </w:r>
      <w:proofErr w:type="gramStart"/>
      <w:r w:rsidRPr="00D241DD">
        <w:t>определяемая</w:t>
      </w:r>
      <w:proofErr w:type="gramEnd"/>
      <w:r w:rsidRPr="00D241DD">
        <w:t xml:space="preserve"> методом сопоставимых рыночных цен (анализа рынка);</w:t>
      </w:r>
    </w:p>
    <w:p w:rsidR="00D50BCD" w:rsidRPr="00D241DD" w:rsidRDefault="00D50BCD" w:rsidP="00D50BCD">
      <w:pPr>
        <w:jc w:val="both"/>
      </w:pPr>
      <w:proofErr w:type="spellStart"/>
      <w:r w:rsidRPr="00D241DD">
        <w:t>v</w:t>
      </w:r>
      <w:proofErr w:type="spellEnd"/>
      <w:r w:rsidRPr="00D241DD">
        <w:t xml:space="preserve"> - количество (объем) закупаемого товара (работы, услуги);</w:t>
      </w:r>
    </w:p>
    <w:p w:rsidR="00D50BCD" w:rsidRPr="00D241DD" w:rsidRDefault="00D50BCD" w:rsidP="00D50BCD">
      <w:pPr>
        <w:jc w:val="both"/>
      </w:pPr>
      <w:proofErr w:type="spellStart"/>
      <w:r w:rsidRPr="00D241DD">
        <w:t>n</w:t>
      </w:r>
      <w:proofErr w:type="spellEnd"/>
      <w:r w:rsidRPr="00D241DD">
        <w:t xml:space="preserve"> - количество значений, используемых в расчете;</w:t>
      </w:r>
    </w:p>
    <w:p w:rsidR="00D50BCD" w:rsidRPr="00D241DD" w:rsidRDefault="00D50BCD" w:rsidP="00D50BCD">
      <w:pPr>
        <w:jc w:val="both"/>
      </w:pPr>
      <w:proofErr w:type="spellStart"/>
      <w:r w:rsidRPr="00D241DD">
        <w:t>i</w:t>
      </w:r>
      <w:proofErr w:type="spellEnd"/>
      <w:r w:rsidRPr="00D241DD">
        <w:t xml:space="preserve"> - номер источника ценовой информации;</w:t>
      </w:r>
    </w:p>
    <w:p w:rsidR="004E119C" w:rsidRPr="00AA0A35" w:rsidRDefault="00D50BCD" w:rsidP="00AA0A35">
      <w:pPr>
        <w:jc w:val="both"/>
      </w:pPr>
      <w:r w:rsidRPr="00D241DD">
        <w:rPr>
          <w:noProof/>
        </w:rPr>
        <w:drawing>
          <wp:inline distT="0" distB="0" distL="0" distR="0">
            <wp:extent cx="151130" cy="230505"/>
            <wp:effectExtent l="0" t="0" r="127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30" cy="230505"/>
                    </a:xfrm>
                    <a:prstGeom prst="rect">
                      <a:avLst/>
                    </a:prstGeom>
                    <a:noFill/>
                    <a:ln>
                      <a:noFill/>
                    </a:ln>
                  </pic:spPr>
                </pic:pic>
              </a:graphicData>
            </a:graphic>
          </wp:inline>
        </w:drawing>
      </w:r>
      <w:r w:rsidRPr="00D241DD">
        <w:t xml:space="preserve"> - цена единицы товара, работы, услуги, представленная в источнике с номером </w:t>
      </w:r>
      <w:proofErr w:type="spellStart"/>
      <w:r w:rsidRPr="00D241DD">
        <w:t>i</w:t>
      </w:r>
      <w:proofErr w:type="spellEnd"/>
      <w:r w:rsidRPr="00D241DD">
        <w:t>.</w:t>
      </w:r>
    </w:p>
    <w:p w:rsidR="004E119C" w:rsidRPr="00F92BDC" w:rsidRDefault="004E119C" w:rsidP="004E119C">
      <w:pPr>
        <w:ind w:left="709"/>
        <w:jc w:val="center"/>
        <w:rPr>
          <w:b/>
        </w:rPr>
      </w:pPr>
      <w:r w:rsidRPr="00F92BDC">
        <w:rPr>
          <w:b/>
        </w:rPr>
        <w:t>Расчет начальной (максимальной) цены контракта:</w:t>
      </w:r>
    </w:p>
    <w:bookmarkEnd w:id="2"/>
    <w:bookmarkEnd w:id="3"/>
    <w:p w:rsidR="00D67A3D" w:rsidRPr="00AA66B0" w:rsidRDefault="00D67A3D" w:rsidP="00D67A3D">
      <w:pPr>
        <w:ind w:firstLine="708"/>
        <w:jc w:val="both"/>
        <w:rPr>
          <w:rFonts w:eastAsia="Calibri"/>
          <w:lang w:eastAsia="en-US"/>
        </w:rPr>
      </w:pPr>
      <w:r w:rsidRPr="00AA66B0">
        <w:rPr>
          <w:rFonts w:eastAsia="Calibri"/>
          <w:lang w:eastAsia="en-US"/>
        </w:rPr>
        <w:t xml:space="preserve">Метод обоснования начальной максимальной цены контракта: метод сопоставимых рыночных цен (анализа рынка) в соответствии с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rsidR="00D67A3D" w:rsidRPr="00AA66B0" w:rsidRDefault="00D67A3D" w:rsidP="00D67A3D">
      <w:pPr>
        <w:jc w:val="right"/>
        <w:rPr>
          <w:rFonts w:eastAsia="Calibri"/>
          <w:lang w:eastAsia="en-US"/>
        </w:rPr>
      </w:pPr>
      <w:r w:rsidRPr="00AA66B0">
        <w:rPr>
          <w:rFonts w:eastAsia="Calibri"/>
          <w:lang w:eastAsia="en-US"/>
        </w:rPr>
        <w:t>Таблица № 1</w:t>
      </w:r>
    </w:p>
    <w:tbl>
      <w:tblPr>
        <w:tblW w:w="5000" w:type="pct"/>
        <w:tblLayout w:type="fixed"/>
        <w:tblLook w:val="04A0"/>
      </w:tblPr>
      <w:tblGrid>
        <w:gridCol w:w="547"/>
        <w:gridCol w:w="2806"/>
        <w:gridCol w:w="700"/>
        <w:gridCol w:w="1434"/>
        <w:gridCol w:w="1489"/>
        <w:gridCol w:w="1489"/>
        <w:gridCol w:w="1483"/>
        <w:gridCol w:w="1320"/>
        <w:gridCol w:w="1606"/>
        <w:gridCol w:w="1314"/>
        <w:gridCol w:w="1164"/>
      </w:tblGrid>
      <w:tr w:rsidR="00D67A3D" w:rsidRPr="00370C66" w:rsidTr="00314C17">
        <w:trPr>
          <w:trHeight w:val="484"/>
        </w:trPr>
        <w:tc>
          <w:tcPr>
            <w:tcW w:w="178" w:type="pct"/>
            <w:vMerge w:val="restart"/>
            <w:tcBorders>
              <w:top w:val="single" w:sz="4" w:space="0" w:color="auto"/>
              <w:left w:val="single" w:sz="4" w:space="0" w:color="auto"/>
              <w:right w:val="single" w:sz="4" w:space="0" w:color="auto"/>
            </w:tcBorders>
            <w:vAlign w:val="center"/>
            <w:hideMark/>
          </w:tcPr>
          <w:p w:rsidR="00D67A3D" w:rsidRPr="00073957" w:rsidRDefault="00D67A3D" w:rsidP="00025B90">
            <w:pPr>
              <w:jc w:val="center"/>
              <w:rPr>
                <w:b/>
                <w:bCs/>
                <w:color w:val="000000"/>
                <w:sz w:val="22"/>
                <w:szCs w:val="22"/>
              </w:rPr>
            </w:pPr>
            <w:r>
              <w:rPr>
                <w:b/>
                <w:bCs/>
                <w:color w:val="000000"/>
                <w:sz w:val="22"/>
                <w:szCs w:val="22"/>
              </w:rPr>
              <w:t xml:space="preserve">№ </w:t>
            </w:r>
            <w:proofErr w:type="spellStart"/>
            <w:proofErr w:type="gramStart"/>
            <w:r w:rsidRPr="00073957">
              <w:rPr>
                <w:b/>
                <w:bCs/>
                <w:color w:val="000000"/>
                <w:sz w:val="22"/>
                <w:szCs w:val="22"/>
              </w:rPr>
              <w:lastRenderedPageBreak/>
              <w:t>п</w:t>
            </w:r>
            <w:proofErr w:type="spellEnd"/>
            <w:proofErr w:type="gramEnd"/>
            <w:r w:rsidRPr="00073957">
              <w:rPr>
                <w:b/>
                <w:bCs/>
                <w:color w:val="000000"/>
                <w:sz w:val="22"/>
                <w:szCs w:val="22"/>
              </w:rPr>
              <w:t>/</w:t>
            </w:r>
            <w:proofErr w:type="spellStart"/>
            <w:r w:rsidRPr="00073957">
              <w:rPr>
                <w:b/>
                <w:bCs/>
                <w:color w:val="000000"/>
                <w:sz w:val="22"/>
                <w:szCs w:val="22"/>
              </w:rPr>
              <w:t>п</w:t>
            </w:r>
            <w:proofErr w:type="spellEnd"/>
          </w:p>
        </w:tc>
        <w:tc>
          <w:tcPr>
            <w:tcW w:w="914" w:type="pct"/>
            <w:vMerge w:val="restart"/>
            <w:tcBorders>
              <w:top w:val="single" w:sz="4" w:space="0" w:color="auto"/>
              <w:left w:val="single" w:sz="4" w:space="0" w:color="auto"/>
              <w:right w:val="single" w:sz="4" w:space="0" w:color="auto"/>
            </w:tcBorders>
            <w:vAlign w:val="center"/>
            <w:hideMark/>
          </w:tcPr>
          <w:p w:rsidR="00D67A3D" w:rsidRDefault="00D67A3D" w:rsidP="00025B90">
            <w:pPr>
              <w:jc w:val="center"/>
              <w:rPr>
                <w:b/>
                <w:bCs/>
                <w:color w:val="000000"/>
                <w:sz w:val="22"/>
                <w:szCs w:val="22"/>
              </w:rPr>
            </w:pPr>
            <w:r w:rsidRPr="00073957">
              <w:rPr>
                <w:b/>
                <w:bCs/>
                <w:color w:val="000000"/>
                <w:sz w:val="22"/>
                <w:szCs w:val="22"/>
              </w:rPr>
              <w:lastRenderedPageBreak/>
              <w:t>Наименование</w:t>
            </w:r>
          </w:p>
          <w:p w:rsidR="00D67A3D" w:rsidRPr="007B0050" w:rsidRDefault="00D67A3D" w:rsidP="00D62D9E">
            <w:pPr>
              <w:jc w:val="center"/>
              <w:rPr>
                <w:bCs/>
                <w:color w:val="000000"/>
                <w:sz w:val="22"/>
                <w:szCs w:val="22"/>
              </w:rPr>
            </w:pPr>
            <w:r w:rsidRPr="007B0050">
              <w:rPr>
                <w:bCs/>
                <w:color w:val="000000"/>
                <w:sz w:val="22"/>
                <w:szCs w:val="22"/>
              </w:rPr>
              <w:lastRenderedPageBreak/>
              <w:t>ОКПД</w:t>
            </w:r>
            <w:proofErr w:type="gramStart"/>
            <w:r w:rsidRPr="007B0050">
              <w:rPr>
                <w:bCs/>
                <w:color w:val="000000"/>
                <w:sz w:val="22"/>
                <w:szCs w:val="22"/>
              </w:rPr>
              <w:t>2</w:t>
            </w:r>
            <w:proofErr w:type="gramEnd"/>
            <w:r w:rsidRPr="007B0050">
              <w:rPr>
                <w:bCs/>
                <w:color w:val="000000"/>
                <w:sz w:val="22"/>
                <w:szCs w:val="22"/>
              </w:rPr>
              <w:t xml:space="preserve"> </w:t>
            </w:r>
            <w:r w:rsidR="00481585" w:rsidRPr="00481585">
              <w:rPr>
                <w:bCs/>
                <w:color w:val="000000"/>
                <w:sz w:val="22"/>
                <w:szCs w:val="22"/>
              </w:rPr>
              <w:t>58.29.50.000</w:t>
            </w:r>
          </w:p>
        </w:tc>
        <w:tc>
          <w:tcPr>
            <w:tcW w:w="228" w:type="pct"/>
            <w:vMerge w:val="restart"/>
            <w:tcBorders>
              <w:top w:val="single" w:sz="4" w:space="0" w:color="auto"/>
              <w:left w:val="single" w:sz="4" w:space="0" w:color="auto"/>
              <w:right w:val="single" w:sz="4" w:space="0" w:color="auto"/>
            </w:tcBorders>
            <w:vAlign w:val="center"/>
            <w:hideMark/>
          </w:tcPr>
          <w:p w:rsidR="00D67A3D" w:rsidRPr="00073957" w:rsidRDefault="00D67A3D" w:rsidP="00025B90">
            <w:pPr>
              <w:jc w:val="center"/>
              <w:rPr>
                <w:b/>
                <w:bCs/>
                <w:color w:val="000000"/>
                <w:sz w:val="22"/>
                <w:szCs w:val="22"/>
              </w:rPr>
            </w:pPr>
            <w:r w:rsidRPr="00073957">
              <w:rPr>
                <w:b/>
                <w:bCs/>
                <w:color w:val="000000"/>
                <w:sz w:val="22"/>
                <w:szCs w:val="22"/>
              </w:rPr>
              <w:lastRenderedPageBreak/>
              <w:t>Кол-</w:t>
            </w:r>
            <w:r w:rsidRPr="00073957">
              <w:rPr>
                <w:b/>
                <w:bCs/>
                <w:color w:val="000000"/>
                <w:sz w:val="22"/>
                <w:szCs w:val="22"/>
              </w:rPr>
              <w:lastRenderedPageBreak/>
              <w:t xml:space="preserve">во </w:t>
            </w:r>
          </w:p>
        </w:tc>
        <w:tc>
          <w:tcPr>
            <w:tcW w:w="467" w:type="pct"/>
            <w:vMerge w:val="restart"/>
            <w:tcBorders>
              <w:top w:val="single" w:sz="4" w:space="0" w:color="auto"/>
              <w:left w:val="nil"/>
              <w:right w:val="single" w:sz="4" w:space="0" w:color="auto"/>
            </w:tcBorders>
            <w:vAlign w:val="center"/>
            <w:hideMark/>
          </w:tcPr>
          <w:p w:rsidR="00D67A3D" w:rsidRPr="003468BA" w:rsidRDefault="00D67A3D" w:rsidP="00025B90">
            <w:pPr>
              <w:jc w:val="center"/>
              <w:rPr>
                <w:b/>
                <w:bCs/>
                <w:color w:val="000000"/>
                <w:sz w:val="22"/>
                <w:szCs w:val="22"/>
              </w:rPr>
            </w:pPr>
            <w:r w:rsidRPr="003468BA">
              <w:rPr>
                <w:b/>
                <w:bCs/>
                <w:color w:val="000000"/>
                <w:sz w:val="18"/>
                <w:szCs w:val="18"/>
              </w:rPr>
              <w:lastRenderedPageBreak/>
              <w:t>Единица измерения</w:t>
            </w:r>
          </w:p>
        </w:tc>
        <w:tc>
          <w:tcPr>
            <w:tcW w:w="1453" w:type="pct"/>
            <w:gridSpan w:val="3"/>
            <w:tcBorders>
              <w:top w:val="single" w:sz="4" w:space="0" w:color="auto"/>
              <w:left w:val="nil"/>
              <w:bottom w:val="single" w:sz="4" w:space="0" w:color="auto"/>
              <w:right w:val="single" w:sz="4" w:space="0" w:color="auto"/>
            </w:tcBorders>
            <w:vAlign w:val="center"/>
          </w:tcPr>
          <w:p w:rsidR="00D67A3D" w:rsidRPr="00073957" w:rsidRDefault="00D67A3D" w:rsidP="00025B90">
            <w:pPr>
              <w:ind w:right="-73"/>
              <w:jc w:val="center"/>
              <w:rPr>
                <w:b/>
                <w:bCs/>
                <w:color w:val="000000"/>
                <w:sz w:val="22"/>
                <w:szCs w:val="22"/>
              </w:rPr>
            </w:pPr>
            <w:r w:rsidRPr="00073957">
              <w:rPr>
                <w:b/>
                <w:bCs/>
                <w:color w:val="000000"/>
                <w:sz w:val="22"/>
                <w:szCs w:val="22"/>
              </w:rPr>
              <w:t xml:space="preserve">Цена единицы </w:t>
            </w:r>
            <w:r>
              <w:rPr>
                <w:b/>
                <w:bCs/>
                <w:color w:val="000000"/>
                <w:sz w:val="22"/>
                <w:szCs w:val="22"/>
              </w:rPr>
              <w:t>товара, руб.</w:t>
            </w:r>
          </w:p>
        </w:tc>
        <w:tc>
          <w:tcPr>
            <w:tcW w:w="430" w:type="pct"/>
            <w:vMerge w:val="restart"/>
            <w:tcBorders>
              <w:top w:val="single" w:sz="4" w:space="0" w:color="auto"/>
              <w:left w:val="single" w:sz="4" w:space="0" w:color="auto"/>
              <w:bottom w:val="single" w:sz="4" w:space="0" w:color="auto"/>
              <w:right w:val="single" w:sz="4" w:space="0" w:color="auto"/>
            </w:tcBorders>
            <w:vAlign w:val="center"/>
            <w:hideMark/>
          </w:tcPr>
          <w:p w:rsidR="00D67A3D" w:rsidRPr="00073957" w:rsidRDefault="00D67A3D" w:rsidP="00025B90">
            <w:pPr>
              <w:ind w:right="-73"/>
              <w:jc w:val="center"/>
              <w:rPr>
                <w:b/>
                <w:bCs/>
                <w:color w:val="000000"/>
                <w:sz w:val="22"/>
                <w:szCs w:val="22"/>
              </w:rPr>
            </w:pPr>
            <w:r w:rsidRPr="00073957">
              <w:rPr>
                <w:b/>
                <w:bCs/>
                <w:color w:val="000000"/>
                <w:sz w:val="22"/>
                <w:szCs w:val="22"/>
              </w:rPr>
              <w:t xml:space="preserve">Средняя </w:t>
            </w:r>
            <w:r w:rsidRPr="00073957">
              <w:rPr>
                <w:b/>
                <w:bCs/>
                <w:color w:val="000000"/>
                <w:sz w:val="22"/>
                <w:szCs w:val="22"/>
              </w:rPr>
              <w:lastRenderedPageBreak/>
              <w:t>цена, руб.</w:t>
            </w:r>
          </w:p>
        </w:tc>
        <w:tc>
          <w:tcPr>
            <w:tcW w:w="523" w:type="pct"/>
            <w:vMerge w:val="restart"/>
            <w:tcBorders>
              <w:top w:val="single" w:sz="4" w:space="0" w:color="auto"/>
              <w:left w:val="single" w:sz="4" w:space="0" w:color="auto"/>
              <w:bottom w:val="single" w:sz="4" w:space="0" w:color="auto"/>
              <w:right w:val="single" w:sz="4" w:space="0" w:color="auto"/>
            </w:tcBorders>
            <w:vAlign w:val="center"/>
          </w:tcPr>
          <w:p w:rsidR="00D67A3D" w:rsidRPr="00073957" w:rsidRDefault="00D67A3D" w:rsidP="00025B90">
            <w:pPr>
              <w:ind w:right="-73"/>
              <w:jc w:val="center"/>
              <w:rPr>
                <w:b/>
                <w:bCs/>
                <w:color w:val="000000"/>
                <w:sz w:val="22"/>
                <w:szCs w:val="22"/>
              </w:rPr>
            </w:pPr>
            <w:r w:rsidRPr="00073957">
              <w:rPr>
                <w:b/>
                <w:bCs/>
                <w:color w:val="000000"/>
                <w:sz w:val="22"/>
                <w:szCs w:val="22"/>
              </w:rPr>
              <w:lastRenderedPageBreak/>
              <w:t>Сумма, руб.</w:t>
            </w:r>
          </w:p>
        </w:tc>
        <w:tc>
          <w:tcPr>
            <w:tcW w:w="428" w:type="pct"/>
            <w:vMerge w:val="restart"/>
            <w:tcBorders>
              <w:top w:val="single" w:sz="4" w:space="0" w:color="auto"/>
              <w:left w:val="single" w:sz="4" w:space="0" w:color="auto"/>
              <w:right w:val="single" w:sz="4" w:space="0" w:color="auto"/>
            </w:tcBorders>
            <w:vAlign w:val="center"/>
            <w:hideMark/>
          </w:tcPr>
          <w:p w:rsidR="00D67A3D" w:rsidRPr="00073957" w:rsidRDefault="00D67A3D" w:rsidP="00025B90">
            <w:pPr>
              <w:jc w:val="center"/>
              <w:rPr>
                <w:b/>
                <w:bCs/>
                <w:color w:val="000000"/>
                <w:sz w:val="22"/>
                <w:szCs w:val="22"/>
              </w:rPr>
            </w:pPr>
            <w:proofErr w:type="spellStart"/>
            <w:r>
              <w:rPr>
                <w:b/>
                <w:bCs/>
                <w:color w:val="000000"/>
                <w:sz w:val="22"/>
                <w:szCs w:val="22"/>
              </w:rPr>
              <w:t>Средн</w:t>
            </w:r>
            <w:proofErr w:type="spellEnd"/>
            <w:r>
              <w:rPr>
                <w:b/>
                <w:bCs/>
                <w:color w:val="000000"/>
                <w:sz w:val="22"/>
                <w:szCs w:val="22"/>
              </w:rPr>
              <w:t xml:space="preserve">. </w:t>
            </w:r>
            <w:r>
              <w:rPr>
                <w:b/>
                <w:bCs/>
                <w:color w:val="000000"/>
                <w:sz w:val="22"/>
                <w:szCs w:val="22"/>
              </w:rPr>
              <w:lastRenderedPageBreak/>
              <w:t>квадр</w:t>
            </w:r>
            <w:proofErr w:type="gramStart"/>
            <w:r>
              <w:rPr>
                <w:b/>
                <w:bCs/>
                <w:color w:val="000000"/>
                <w:sz w:val="22"/>
                <w:szCs w:val="22"/>
              </w:rPr>
              <w:t>.</w:t>
            </w:r>
            <w:proofErr w:type="gramEnd"/>
            <w:r>
              <w:rPr>
                <w:b/>
                <w:bCs/>
                <w:color w:val="000000"/>
                <w:sz w:val="22"/>
                <w:szCs w:val="22"/>
              </w:rPr>
              <w:t xml:space="preserve"> </w:t>
            </w:r>
            <w:proofErr w:type="spellStart"/>
            <w:proofErr w:type="gramStart"/>
            <w:r>
              <w:rPr>
                <w:b/>
                <w:bCs/>
                <w:color w:val="000000"/>
                <w:sz w:val="22"/>
                <w:szCs w:val="22"/>
              </w:rPr>
              <w:t>о</w:t>
            </w:r>
            <w:proofErr w:type="gramEnd"/>
            <w:r>
              <w:rPr>
                <w:b/>
                <w:bCs/>
                <w:color w:val="000000"/>
                <w:sz w:val="22"/>
                <w:szCs w:val="22"/>
              </w:rPr>
              <w:t>ткло-нение</w:t>
            </w:r>
            <w:proofErr w:type="spellEnd"/>
          </w:p>
        </w:tc>
        <w:tc>
          <w:tcPr>
            <w:tcW w:w="379" w:type="pct"/>
            <w:vMerge w:val="restart"/>
            <w:tcBorders>
              <w:top w:val="single" w:sz="4" w:space="0" w:color="auto"/>
              <w:left w:val="single" w:sz="4" w:space="0" w:color="auto"/>
              <w:right w:val="single" w:sz="4" w:space="0" w:color="auto"/>
            </w:tcBorders>
            <w:vAlign w:val="center"/>
          </w:tcPr>
          <w:p w:rsidR="00D67A3D" w:rsidRDefault="00D67A3D" w:rsidP="00025B90">
            <w:pPr>
              <w:jc w:val="center"/>
              <w:rPr>
                <w:b/>
                <w:bCs/>
                <w:color w:val="000000"/>
                <w:sz w:val="22"/>
                <w:szCs w:val="22"/>
              </w:rPr>
            </w:pPr>
            <w:proofErr w:type="spellStart"/>
            <w:r w:rsidRPr="008C043D">
              <w:rPr>
                <w:b/>
                <w:bCs/>
                <w:color w:val="000000"/>
                <w:sz w:val="22"/>
                <w:szCs w:val="22"/>
              </w:rPr>
              <w:lastRenderedPageBreak/>
              <w:t>Коэф-т</w:t>
            </w:r>
            <w:proofErr w:type="spellEnd"/>
            <w:r w:rsidRPr="008C043D">
              <w:rPr>
                <w:b/>
                <w:bCs/>
                <w:color w:val="000000"/>
                <w:sz w:val="22"/>
                <w:szCs w:val="22"/>
              </w:rPr>
              <w:t xml:space="preserve"> </w:t>
            </w:r>
            <w:proofErr w:type="spellStart"/>
            <w:proofErr w:type="gramStart"/>
            <w:r w:rsidRPr="008C043D">
              <w:rPr>
                <w:b/>
                <w:bCs/>
                <w:color w:val="000000"/>
                <w:sz w:val="22"/>
                <w:szCs w:val="22"/>
              </w:rPr>
              <w:lastRenderedPageBreak/>
              <w:t>вариа-ции</w:t>
            </w:r>
            <w:proofErr w:type="spellEnd"/>
            <w:proofErr w:type="gramEnd"/>
          </w:p>
          <w:p w:rsidR="00D67A3D" w:rsidRPr="00073957" w:rsidRDefault="00D67A3D" w:rsidP="00025B90">
            <w:pPr>
              <w:jc w:val="center"/>
              <w:rPr>
                <w:b/>
                <w:bCs/>
                <w:color w:val="000000"/>
                <w:sz w:val="22"/>
                <w:szCs w:val="22"/>
              </w:rPr>
            </w:pPr>
          </w:p>
        </w:tc>
      </w:tr>
      <w:tr w:rsidR="00314C17" w:rsidRPr="00370C66" w:rsidTr="00314C17">
        <w:trPr>
          <w:trHeight w:val="960"/>
        </w:trPr>
        <w:tc>
          <w:tcPr>
            <w:tcW w:w="178" w:type="pct"/>
            <w:vMerge/>
            <w:tcBorders>
              <w:left w:val="single" w:sz="4" w:space="0" w:color="auto"/>
              <w:bottom w:val="single" w:sz="4" w:space="0" w:color="auto"/>
              <w:right w:val="single" w:sz="4" w:space="0" w:color="auto"/>
            </w:tcBorders>
            <w:vAlign w:val="center"/>
          </w:tcPr>
          <w:p w:rsidR="00314C17" w:rsidRPr="00370C66" w:rsidRDefault="00314C17" w:rsidP="00025B90">
            <w:pPr>
              <w:rPr>
                <w:b/>
                <w:bCs/>
                <w:color w:val="000000"/>
              </w:rPr>
            </w:pPr>
          </w:p>
        </w:tc>
        <w:tc>
          <w:tcPr>
            <w:tcW w:w="914" w:type="pct"/>
            <w:vMerge/>
            <w:tcBorders>
              <w:left w:val="single" w:sz="4" w:space="0" w:color="auto"/>
              <w:bottom w:val="single" w:sz="4" w:space="0" w:color="auto"/>
              <w:right w:val="single" w:sz="4" w:space="0" w:color="auto"/>
            </w:tcBorders>
            <w:vAlign w:val="center"/>
          </w:tcPr>
          <w:p w:rsidR="00314C17" w:rsidRPr="00370C66" w:rsidRDefault="00314C17" w:rsidP="00025B90">
            <w:pPr>
              <w:rPr>
                <w:b/>
                <w:bCs/>
                <w:color w:val="000000"/>
              </w:rPr>
            </w:pPr>
          </w:p>
        </w:tc>
        <w:tc>
          <w:tcPr>
            <w:tcW w:w="228" w:type="pct"/>
            <w:vMerge/>
            <w:tcBorders>
              <w:left w:val="single" w:sz="4" w:space="0" w:color="auto"/>
              <w:bottom w:val="single" w:sz="4" w:space="0" w:color="auto"/>
              <w:right w:val="single" w:sz="4" w:space="0" w:color="auto"/>
            </w:tcBorders>
            <w:vAlign w:val="center"/>
          </w:tcPr>
          <w:p w:rsidR="00314C17" w:rsidRPr="00370C66" w:rsidRDefault="00314C17" w:rsidP="00025B90">
            <w:pPr>
              <w:rPr>
                <w:b/>
                <w:bCs/>
                <w:color w:val="000000"/>
              </w:rPr>
            </w:pPr>
          </w:p>
        </w:tc>
        <w:tc>
          <w:tcPr>
            <w:tcW w:w="467" w:type="pct"/>
            <w:vMerge/>
            <w:tcBorders>
              <w:left w:val="nil"/>
              <w:bottom w:val="single" w:sz="4" w:space="0" w:color="auto"/>
              <w:right w:val="single" w:sz="4" w:space="0" w:color="auto"/>
            </w:tcBorders>
            <w:vAlign w:val="center"/>
          </w:tcPr>
          <w:p w:rsidR="00314C17" w:rsidRPr="008C043D" w:rsidRDefault="00314C17" w:rsidP="00025B90">
            <w:pPr>
              <w:jc w:val="center"/>
              <w:rPr>
                <w:bCs/>
                <w:color w:val="000000"/>
                <w:sz w:val="18"/>
                <w:szCs w:val="18"/>
              </w:rPr>
            </w:pPr>
          </w:p>
        </w:tc>
        <w:tc>
          <w:tcPr>
            <w:tcW w:w="485" w:type="pct"/>
            <w:tcBorders>
              <w:top w:val="single" w:sz="4" w:space="0" w:color="auto"/>
              <w:left w:val="nil"/>
              <w:bottom w:val="single" w:sz="4" w:space="0" w:color="auto"/>
              <w:right w:val="single" w:sz="4" w:space="0" w:color="auto"/>
            </w:tcBorders>
            <w:vAlign w:val="center"/>
          </w:tcPr>
          <w:p w:rsidR="00314C17" w:rsidRDefault="00314C17" w:rsidP="00883BBA">
            <w:pPr>
              <w:jc w:val="center"/>
              <w:rPr>
                <w:color w:val="000000"/>
              </w:rPr>
            </w:pPr>
            <w:r>
              <w:rPr>
                <w:color w:val="000000"/>
              </w:rPr>
              <w:t xml:space="preserve">Поставщик  1 </w:t>
            </w:r>
          </w:p>
        </w:tc>
        <w:tc>
          <w:tcPr>
            <w:tcW w:w="485" w:type="pct"/>
            <w:tcBorders>
              <w:top w:val="single" w:sz="4" w:space="0" w:color="auto"/>
              <w:left w:val="nil"/>
              <w:bottom w:val="single" w:sz="4" w:space="0" w:color="auto"/>
              <w:right w:val="single" w:sz="4" w:space="0" w:color="auto"/>
            </w:tcBorders>
            <w:vAlign w:val="center"/>
          </w:tcPr>
          <w:p w:rsidR="00314C17" w:rsidRDefault="00314C17" w:rsidP="00883BBA">
            <w:pPr>
              <w:jc w:val="center"/>
              <w:rPr>
                <w:color w:val="000000"/>
              </w:rPr>
            </w:pPr>
            <w:r>
              <w:rPr>
                <w:color w:val="000000"/>
              </w:rPr>
              <w:t xml:space="preserve">Поставщик  2 </w:t>
            </w:r>
          </w:p>
        </w:tc>
        <w:tc>
          <w:tcPr>
            <w:tcW w:w="483" w:type="pct"/>
            <w:tcBorders>
              <w:top w:val="single" w:sz="4" w:space="0" w:color="auto"/>
              <w:left w:val="nil"/>
              <w:bottom w:val="single" w:sz="4" w:space="0" w:color="auto"/>
              <w:right w:val="single" w:sz="4" w:space="0" w:color="auto"/>
            </w:tcBorders>
            <w:vAlign w:val="center"/>
          </w:tcPr>
          <w:p w:rsidR="00314C17" w:rsidRDefault="00314C17" w:rsidP="00883BBA">
            <w:pPr>
              <w:jc w:val="center"/>
              <w:rPr>
                <w:color w:val="000000"/>
              </w:rPr>
            </w:pPr>
            <w:r>
              <w:rPr>
                <w:color w:val="000000"/>
              </w:rPr>
              <w:t>Поставщик  3</w:t>
            </w:r>
          </w:p>
        </w:tc>
        <w:tc>
          <w:tcPr>
            <w:tcW w:w="430" w:type="pct"/>
            <w:vMerge/>
            <w:tcBorders>
              <w:top w:val="single" w:sz="4" w:space="0" w:color="auto"/>
              <w:left w:val="single" w:sz="4" w:space="0" w:color="auto"/>
              <w:bottom w:val="single" w:sz="4" w:space="0" w:color="auto"/>
              <w:right w:val="single" w:sz="4" w:space="0" w:color="auto"/>
            </w:tcBorders>
            <w:vAlign w:val="center"/>
          </w:tcPr>
          <w:p w:rsidR="00314C17" w:rsidRPr="00370C66" w:rsidRDefault="00314C17" w:rsidP="00025B90">
            <w:pPr>
              <w:rPr>
                <w:b/>
                <w:bCs/>
                <w:color w:val="000000"/>
              </w:rPr>
            </w:pPr>
          </w:p>
        </w:tc>
        <w:tc>
          <w:tcPr>
            <w:tcW w:w="523" w:type="pct"/>
            <w:vMerge/>
            <w:tcBorders>
              <w:top w:val="single" w:sz="4" w:space="0" w:color="auto"/>
              <w:left w:val="single" w:sz="4" w:space="0" w:color="auto"/>
              <w:bottom w:val="single" w:sz="4" w:space="0" w:color="auto"/>
              <w:right w:val="single" w:sz="4" w:space="0" w:color="auto"/>
            </w:tcBorders>
            <w:vAlign w:val="center"/>
          </w:tcPr>
          <w:p w:rsidR="00314C17" w:rsidRPr="00370C66" w:rsidRDefault="00314C17" w:rsidP="00025B90">
            <w:pPr>
              <w:rPr>
                <w:b/>
                <w:bCs/>
                <w:color w:val="000000"/>
              </w:rPr>
            </w:pPr>
          </w:p>
        </w:tc>
        <w:tc>
          <w:tcPr>
            <w:tcW w:w="428" w:type="pct"/>
            <w:vMerge/>
            <w:tcBorders>
              <w:left w:val="single" w:sz="4" w:space="0" w:color="auto"/>
              <w:bottom w:val="single" w:sz="4" w:space="0" w:color="auto"/>
              <w:right w:val="single" w:sz="4" w:space="0" w:color="auto"/>
            </w:tcBorders>
            <w:vAlign w:val="center"/>
          </w:tcPr>
          <w:p w:rsidR="00314C17" w:rsidRPr="00370C66" w:rsidRDefault="00314C17" w:rsidP="00025B90">
            <w:pPr>
              <w:rPr>
                <w:b/>
                <w:bCs/>
                <w:color w:val="000000"/>
              </w:rPr>
            </w:pPr>
          </w:p>
        </w:tc>
        <w:tc>
          <w:tcPr>
            <w:tcW w:w="379" w:type="pct"/>
            <w:vMerge/>
            <w:tcBorders>
              <w:left w:val="single" w:sz="4" w:space="0" w:color="auto"/>
              <w:bottom w:val="single" w:sz="4" w:space="0" w:color="auto"/>
              <w:right w:val="single" w:sz="4" w:space="0" w:color="auto"/>
            </w:tcBorders>
            <w:vAlign w:val="center"/>
          </w:tcPr>
          <w:p w:rsidR="00314C17" w:rsidRPr="00370C66" w:rsidRDefault="00314C17" w:rsidP="00025B90">
            <w:pPr>
              <w:rPr>
                <w:b/>
                <w:bCs/>
                <w:color w:val="000000"/>
              </w:rPr>
            </w:pPr>
          </w:p>
        </w:tc>
      </w:tr>
      <w:tr w:rsidR="00AA0A35" w:rsidRPr="00370C66" w:rsidTr="00314C17">
        <w:trPr>
          <w:trHeight w:val="165"/>
        </w:trPr>
        <w:tc>
          <w:tcPr>
            <w:tcW w:w="178" w:type="pct"/>
            <w:tcBorders>
              <w:top w:val="single" w:sz="4" w:space="0" w:color="auto"/>
              <w:left w:val="single" w:sz="4" w:space="0" w:color="auto"/>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lastRenderedPageBreak/>
              <w:t>1</w:t>
            </w:r>
          </w:p>
        </w:tc>
        <w:tc>
          <w:tcPr>
            <w:tcW w:w="914" w:type="pct"/>
            <w:tcBorders>
              <w:top w:val="single" w:sz="4" w:space="0" w:color="auto"/>
              <w:left w:val="single" w:sz="4" w:space="0" w:color="auto"/>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t>2</w:t>
            </w:r>
          </w:p>
        </w:tc>
        <w:tc>
          <w:tcPr>
            <w:tcW w:w="228" w:type="pct"/>
            <w:tcBorders>
              <w:top w:val="single" w:sz="4" w:space="0" w:color="auto"/>
              <w:left w:val="single" w:sz="4" w:space="0" w:color="auto"/>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t>3</w:t>
            </w:r>
          </w:p>
        </w:tc>
        <w:tc>
          <w:tcPr>
            <w:tcW w:w="467" w:type="pct"/>
            <w:tcBorders>
              <w:top w:val="single" w:sz="4" w:space="0" w:color="auto"/>
              <w:left w:val="nil"/>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t>4</w:t>
            </w:r>
          </w:p>
        </w:tc>
        <w:tc>
          <w:tcPr>
            <w:tcW w:w="485" w:type="pct"/>
            <w:tcBorders>
              <w:top w:val="single" w:sz="4" w:space="0" w:color="auto"/>
              <w:left w:val="nil"/>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t>5</w:t>
            </w:r>
          </w:p>
        </w:tc>
        <w:tc>
          <w:tcPr>
            <w:tcW w:w="485" w:type="pct"/>
            <w:tcBorders>
              <w:top w:val="single" w:sz="4" w:space="0" w:color="auto"/>
              <w:left w:val="nil"/>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t>6</w:t>
            </w:r>
          </w:p>
        </w:tc>
        <w:tc>
          <w:tcPr>
            <w:tcW w:w="483" w:type="pct"/>
            <w:tcBorders>
              <w:top w:val="single" w:sz="4" w:space="0" w:color="auto"/>
              <w:left w:val="nil"/>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t>7</w:t>
            </w:r>
          </w:p>
        </w:tc>
        <w:tc>
          <w:tcPr>
            <w:tcW w:w="430" w:type="pct"/>
            <w:tcBorders>
              <w:top w:val="single" w:sz="4" w:space="0" w:color="auto"/>
              <w:left w:val="single" w:sz="4" w:space="0" w:color="auto"/>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t>8</w:t>
            </w:r>
          </w:p>
        </w:tc>
        <w:tc>
          <w:tcPr>
            <w:tcW w:w="523" w:type="pct"/>
            <w:tcBorders>
              <w:top w:val="single" w:sz="4" w:space="0" w:color="auto"/>
              <w:left w:val="single" w:sz="4" w:space="0" w:color="auto"/>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t>9</w:t>
            </w:r>
          </w:p>
        </w:tc>
        <w:tc>
          <w:tcPr>
            <w:tcW w:w="428" w:type="pct"/>
            <w:tcBorders>
              <w:top w:val="single" w:sz="4" w:space="0" w:color="auto"/>
              <w:left w:val="single" w:sz="4" w:space="0" w:color="auto"/>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t>10</w:t>
            </w:r>
          </w:p>
        </w:tc>
        <w:tc>
          <w:tcPr>
            <w:tcW w:w="379" w:type="pct"/>
            <w:tcBorders>
              <w:top w:val="single" w:sz="4" w:space="0" w:color="auto"/>
              <w:left w:val="single" w:sz="4" w:space="0" w:color="auto"/>
              <w:bottom w:val="single" w:sz="4" w:space="0" w:color="auto"/>
              <w:right w:val="single" w:sz="4" w:space="0" w:color="auto"/>
            </w:tcBorders>
            <w:vAlign w:val="center"/>
          </w:tcPr>
          <w:p w:rsidR="00D67A3D" w:rsidRPr="003468BA" w:rsidRDefault="00D67A3D" w:rsidP="00025B90">
            <w:pPr>
              <w:jc w:val="center"/>
              <w:rPr>
                <w:bCs/>
                <w:color w:val="000000"/>
                <w:sz w:val="22"/>
                <w:szCs w:val="22"/>
              </w:rPr>
            </w:pPr>
            <w:r>
              <w:rPr>
                <w:bCs/>
                <w:color w:val="000000"/>
                <w:sz w:val="22"/>
                <w:szCs w:val="22"/>
              </w:rPr>
              <w:t>11</w:t>
            </w:r>
          </w:p>
        </w:tc>
      </w:tr>
      <w:tr w:rsidR="00AA0A35" w:rsidRPr="00D42BAF" w:rsidTr="00314C17">
        <w:trPr>
          <w:trHeight w:val="851"/>
        </w:trPr>
        <w:tc>
          <w:tcPr>
            <w:tcW w:w="178" w:type="pct"/>
            <w:tcBorders>
              <w:top w:val="nil"/>
              <w:left w:val="single" w:sz="4" w:space="0" w:color="auto"/>
              <w:bottom w:val="single" w:sz="4" w:space="0" w:color="auto"/>
              <w:right w:val="single" w:sz="4" w:space="0" w:color="auto"/>
            </w:tcBorders>
            <w:vAlign w:val="center"/>
          </w:tcPr>
          <w:p w:rsidR="00D67A3D" w:rsidRPr="00D42BAF" w:rsidRDefault="00D67A3D" w:rsidP="00025B90">
            <w:pPr>
              <w:jc w:val="center"/>
              <w:rPr>
                <w:color w:val="000000"/>
                <w:sz w:val="22"/>
                <w:szCs w:val="22"/>
              </w:rPr>
            </w:pPr>
            <w:r w:rsidRPr="00D42BAF">
              <w:rPr>
                <w:color w:val="000000"/>
                <w:sz w:val="22"/>
                <w:szCs w:val="22"/>
              </w:rPr>
              <w:t>1</w:t>
            </w:r>
          </w:p>
        </w:tc>
        <w:tc>
          <w:tcPr>
            <w:tcW w:w="914" w:type="pct"/>
            <w:tcBorders>
              <w:top w:val="nil"/>
              <w:left w:val="nil"/>
              <w:bottom w:val="single" w:sz="4" w:space="0" w:color="auto"/>
              <w:right w:val="single" w:sz="4" w:space="0" w:color="auto"/>
            </w:tcBorders>
            <w:vAlign w:val="center"/>
          </w:tcPr>
          <w:p w:rsidR="00D67A3D" w:rsidRPr="005C4448" w:rsidRDefault="00481585" w:rsidP="005C4448">
            <w:pPr>
              <w:rPr>
                <w:color w:val="000000"/>
              </w:rPr>
            </w:pPr>
            <w:proofErr w:type="gramStart"/>
            <w:r w:rsidRPr="00481585">
              <w:rPr>
                <w:color w:val="334059"/>
                <w:shd w:val="clear" w:color="auto" w:fill="FFFFFF"/>
              </w:rPr>
              <w:t xml:space="preserve">Право использования программы для ЭВМ </w:t>
            </w:r>
            <w:proofErr w:type="spellStart"/>
            <w:r w:rsidRPr="00481585">
              <w:rPr>
                <w:color w:val="334059"/>
                <w:shd w:val="clear" w:color="auto" w:fill="FFFFFF"/>
              </w:rPr>
              <w:t>Ideco</w:t>
            </w:r>
            <w:proofErr w:type="spellEnd"/>
            <w:r w:rsidRPr="00481585">
              <w:rPr>
                <w:color w:val="334059"/>
                <w:shd w:val="clear" w:color="auto" w:fill="FFFFFF"/>
              </w:rPr>
              <w:t xml:space="preserve"> UTM ФСТЭК (продление подписки </w:t>
            </w:r>
            <w:proofErr w:type="spellStart"/>
            <w:r w:rsidRPr="00481585">
              <w:rPr>
                <w:color w:val="334059"/>
                <w:shd w:val="clear" w:color="auto" w:fill="FFFFFF"/>
              </w:rPr>
              <w:t>Security</w:t>
            </w:r>
            <w:proofErr w:type="spellEnd"/>
            <w:r w:rsidRPr="00481585">
              <w:rPr>
                <w:color w:val="334059"/>
                <w:shd w:val="clear" w:color="auto" w:fill="FFFFFF"/>
              </w:rPr>
              <w:t xml:space="preserve"> </w:t>
            </w:r>
            <w:proofErr w:type="spellStart"/>
            <w:r w:rsidRPr="00481585">
              <w:rPr>
                <w:color w:val="334059"/>
                <w:shd w:val="clear" w:color="auto" w:fill="FFFFFF"/>
              </w:rPr>
              <w:t>Update</w:t>
            </w:r>
            <w:proofErr w:type="spellEnd"/>
            <w:r w:rsidRPr="00481585">
              <w:rPr>
                <w:color w:val="334059"/>
                <w:shd w:val="clear" w:color="auto" w:fill="FFFFFF"/>
              </w:rPr>
              <w:t>:</w:t>
            </w:r>
            <w:proofErr w:type="gramEnd"/>
            <w:r w:rsidRPr="00481585">
              <w:rPr>
                <w:color w:val="334059"/>
                <w:shd w:val="clear" w:color="auto" w:fill="FFFFFF"/>
              </w:rPr>
              <w:t xml:space="preserve"> </w:t>
            </w:r>
            <w:proofErr w:type="gramStart"/>
            <w:r w:rsidRPr="00481585">
              <w:rPr>
                <w:color w:val="334059"/>
                <w:shd w:val="clear" w:color="auto" w:fill="FFFFFF"/>
              </w:rPr>
              <w:t xml:space="preserve">AC, IPS, CF, обновления, поддержка) - 50 </w:t>
            </w:r>
            <w:proofErr w:type="spellStart"/>
            <w:r w:rsidRPr="00481585">
              <w:rPr>
                <w:color w:val="334059"/>
                <w:shd w:val="clear" w:color="auto" w:fill="FFFFFF"/>
              </w:rPr>
              <w:t>Users</w:t>
            </w:r>
            <w:proofErr w:type="spellEnd"/>
            <w:r w:rsidRPr="00481585">
              <w:rPr>
                <w:color w:val="334059"/>
                <w:shd w:val="clear" w:color="auto" w:fill="FFFFFF"/>
              </w:rPr>
              <w:t xml:space="preserve"> (в рамках ИКТ)</w:t>
            </w:r>
            <w:proofErr w:type="gramEnd"/>
          </w:p>
        </w:tc>
        <w:tc>
          <w:tcPr>
            <w:tcW w:w="228" w:type="pct"/>
            <w:tcBorders>
              <w:top w:val="nil"/>
              <w:left w:val="nil"/>
              <w:bottom w:val="single" w:sz="4" w:space="0" w:color="auto"/>
              <w:right w:val="single" w:sz="4" w:space="0" w:color="auto"/>
            </w:tcBorders>
            <w:vAlign w:val="center"/>
          </w:tcPr>
          <w:p w:rsidR="00D67A3D" w:rsidRPr="00D42BAF" w:rsidRDefault="00481585" w:rsidP="00025B90">
            <w:pPr>
              <w:jc w:val="center"/>
              <w:rPr>
                <w:color w:val="000000"/>
                <w:sz w:val="22"/>
                <w:szCs w:val="22"/>
              </w:rPr>
            </w:pPr>
            <w:r>
              <w:rPr>
                <w:color w:val="000000"/>
                <w:sz w:val="22"/>
                <w:szCs w:val="22"/>
              </w:rPr>
              <w:t>1</w:t>
            </w:r>
          </w:p>
        </w:tc>
        <w:tc>
          <w:tcPr>
            <w:tcW w:w="467" w:type="pct"/>
            <w:tcBorders>
              <w:top w:val="nil"/>
              <w:left w:val="nil"/>
              <w:bottom w:val="single" w:sz="4" w:space="0" w:color="auto"/>
              <w:right w:val="single" w:sz="4" w:space="0" w:color="auto"/>
            </w:tcBorders>
            <w:vAlign w:val="center"/>
          </w:tcPr>
          <w:p w:rsidR="00D67A3D" w:rsidRPr="00D42BAF" w:rsidRDefault="00481585" w:rsidP="00025B90">
            <w:pPr>
              <w:jc w:val="center"/>
              <w:rPr>
                <w:color w:val="000000"/>
                <w:sz w:val="22"/>
                <w:szCs w:val="22"/>
              </w:rPr>
            </w:pPr>
            <w:proofErr w:type="spellStart"/>
            <w:proofErr w:type="gramStart"/>
            <w:r>
              <w:rPr>
                <w:color w:val="000000"/>
                <w:sz w:val="22"/>
                <w:szCs w:val="22"/>
              </w:rPr>
              <w:t>Ед</w:t>
            </w:r>
            <w:proofErr w:type="spellEnd"/>
            <w:proofErr w:type="gramEnd"/>
            <w:r>
              <w:rPr>
                <w:color w:val="000000"/>
                <w:sz w:val="22"/>
                <w:szCs w:val="22"/>
              </w:rPr>
              <w:t>/Год</w:t>
            </w:r>
          </w:p>
        </w:tc>
        <w:tc>
          <w:tcPr>
            <w:tcW w:w="485" w:type="pct"/>
            <w:tcBorders>
              <w:top w:val="nil"/>
              <w:left w:val="nil"/>
              <w:bottom w:val="single" w:sz="4" w:space="0" w:color="auto"/>
              <w:right w:val="single" w:sz="4" w:space="0" w:color="auto"/>
            </w:tcBorders>
            <w:vAlign w:val="center"/>
          </w:tcPr>
          <w:p w:rsidR="00D67A3D" w:rsidRPr="00D42BAF" w:rsidRDefault="00481585" w:rsidP="00025B90">
            <w:pPr>
              <w:jc w:val="center"/>
              <w:rPr>
                <w:sz w:val="22"/>
                <w:szCs w:val="22"/>
              </w:rPr>
            </w:pPr>
            <w:r>
              <w:rPr>
                <w:sz w:val="22"/>
                <w:szCs w:val="22"/>
              </w:rPr>
              <w:t>52 175,00</w:t>
            </w:r>
          </w:p>
        </w:tc>
        <w:tc>
          <w:tcPr>
            <w:tcW w:w="485" w:type="pct"/>
            <w:tcBorders>
              <w:top w:val="nil"/>
              <w:left w:val="nil"/>
              <w:bottom w:val="single" w:sz="4" w:space="0" w:color="auto"/>
              <w:right w:val="single" w:sz="4" w:space="0" w:color="auto"/>
            </w:tcBorders>
            <w:vAlign w:val="center"/>
          </w:tcPr>
          <w:p w:rsidR="00D67A3D" w:rsidRPr="00D42BAF" w:rsidRDefault="00481585" w:rsidP="005C4448">
            <w:pPr>
              <w:jc w:val="center"/>
              <w:rPr>
                <w:color w:val="000000"/>
                <w:sz w:val="22"/>
                <w:szCs w:val="22"/>
              </w:rPr>
            </w:pPr>
            <w:r>
              <w:rPr>
                <w:color w:val="000000"/>
                <w:sz w:val="22"/>
                <w:szCs w:val="22"/>
              </w:rPr>
              <w:t>0</w:t>
            </w:r>
          </w:p>
        </w:tc>
        <w:tc>
          <w:tcPr>
            <w:tcW w:w="483" w:type="pct"/>
            <w:tcBorders>
              <w:top w:val="nil"/>
              <w:left w:val="nil"/>
              <w:bottom w:val="single" w:sz="4" w:space="0" w:color="auto"/>
              <w:right w:val="single" w:sz="4" w:space="0" w:color="auto"/>
            </w:tcBorders>
            <w:vAlign w:val="center"/>
          </w:tcPr>
          <w:p w:rsidR="00D67A3D" w:rsidRPr="00D42BAF" w:rsidRDefault="00481585" w:rsidP="00883BBA">
            <w:pPr>
              <w:jc w:val="center"/>
              <w:rPr>
                <w:color w:val="000000"/>
                <w:sz w:val="22"/>
                <w:szCs w:val="22"/>
              </w:rPr>
            </w:pPr>
            <w:r>
              <w:rPr>
                <w:color w:val="000000"/>
                <w:sz w:val="22"/>
                <w:szCs w:val="22"/>
              </w:rPr>
              <w:t>0</w:t>
            </w:r>
          </w:p>
        </w:tc>
        <w:tc>
          <w:tcPr>
            <w:tcW w:w="430" w:type="pct"/>
            <w:tcBorders>
              <w:top w:val="single" w:sz="4" w:space="0" w:color="auto"/>
              <w:left w:val="single" w:sz="4" w:space="0" w:color="auto"/>
              <w:bottom w:val="single" w:sz="4" w:space="0" w:color="auto"/>
              <w:right w:val="single" w:sz="4" w:space="0" w:color="auto"/>
            </w:tcBorders>
            <w:vAlign w:val="center"/>
          </w:tcPr>
          <w:p w:rsidR="00D67A3D" w:rsidRPr="00D42BAF" w:rsidRDefault="00481585" w:rsidP="005C4448">
            <w:pPr>
              <w:jc w:val="center"/>
              <w:rPr>
                <w:sz w:val="22"/>
                <w:szCs w:val="22"/>
              </w:rPr>
            </w:pPr>
            <w:r>
              <w:rPr>
                <w:sz w:val="22"/>
                <w:szCs w:val="22"/>
              </w:rPr>
              <w:t>52 175</w:t>
            </w:r>
            <w:r w:rsidR="00D62D9E">
              <w:rPr>
                <w:sz w:val="22"/>
                <w:szCs w:val="22"/>
              </w:rPr>
              <w:t>,</w:t>
            </w:r>
            <w:r w:rsidR="00F36912">
              <w:rPr>
                <w:sz w:val="22"/>
                <w:szCs w:val="22"/>
              </w:rPr>
              <w:t>00</w:t>
            </w:r>
          </w:p>
        </w:tc>
        <w:tc>
          <w:tcPr>
            <w:tcW w:w="523" w:type="pct"/>
            <w:tcBorders>
              <w:top w:val="single" w:sz="4" w:space="0" w:color="auto"/>
              <w:left w:val="single" w:sz="4" w:space="0" w:color="auto"/>
              <w:bottom w:val="single" w:sz="4" w:space="0" w:color="auto"/>
              <w:right w:val="single" w:sz="4" w:space="0" w:color="auto"/>
            </w:tcBorders>
            <w:vAlign w:val="center"/>
          </w:tcPr>
          <w:p w:rsidR="00D67A3D" w:rsidRPr="00D42BAF" w:rsidRDefault="00481585" w:rsidP="00F36912">
            <w:pPr>
              <w:jc w:val="center"/>
              <w:rPr>
                <w:b/>
                <w:sz w:val="22"/>
                <w:szCs w:val="22"/>
              </w:rPr>
            </w:pPr>
            <w:r>
              <w:rPr>
                <w:b/>
                <w:sz w:val="22"/>
                <w:szCs w:val="22"/>
              </w:rPr>
              <w:t>52 175</w:t>
            </w:r>
            <w:r w:rsidR="00D62D9E">
              <w:rPr>
                <w:b/>
                <w:sz w:val="22"/>
                <w:szCs w:val="22"/>
              </w:rPr>
              <w:t>,</w:t>
            </w:r>
            <w:r w:rsidR="00F36912">
              <w:rPr>
                <w:b/>
                <w:sz w:val="22"/>
                <w:szCs w:val="22"/>
              </w:rPr>
              <w:t>00</w:t>
            </w:r>
          </w:p>
        </w:tc>
        <w:tc>
          <w:tcPr>
            <w:tcW w:w="428" w:type="pct"/>
            <w:tcBorders>
              <w:top w:val="nil"/>
              <w:left w:val="nil"/>
              <w:bottom w:val="single" w:sz="4" w:space="0" w:color="auto"/>
              <w:right w:val="single" w:sz="4" w:space="0" w:color="auto"/>
            </w:tcBorders>
            <w:vAlign w:val="center"/>
          </w:tcPr>
          <w:p w:rsidR="00D67A3D" w:rsidRPr="00D42BAF" w:rsidRDefault="00481585" w:rsidP="007C56B9">
            <w:pPr>
              <w:jc w:val="center"/>
              <w:rPr>
                <w:color w:val="000000"/>
                <w:sz w:val="22"/>
                <w:szCs w:val="22"/>
              </w:rPr>
            </w:pPr>
            <w:r>
              <w:rPr>
                <w:color w:val="000000"/>
                <w:sz w:val="22"/>
                <w:szCs w:val="22"/>
              </w:rPr>
              <w:t>0</w:t>
            </w:r>
          </w:p>
        </w:tc>
        <w:tc>
          <w:tcPr>
            <w:tcW w:w="379" w:type="pct"/>
            <w:tcBorders>
              <w:top w:val="nil"/>
              <w:left w:val="nil"/>
              <w:bottom w:val="single" w:sz="4" w:space="0" w:color="auto"/>
              <w:right w:val="single" w:sz="4" w:space="0" w:color="auto"/>
            </w:tcBorders>
            <w:vAlign w:val="center"/>
          </w:tcPr>
          <w:p w:rsidR="00D67A3D" w:rsidRPr="00D42BAF" w:rsidRDefault="00481585" w:rsidP="00883BBA">
            <w:pPr>
              <w:jc w:val="center"/>
              <w:rPr>
                <w:color w:val="000000"/>
                <w:sz w:val="22"/>
                <w:szCs w:val="22"/>
              </w:rPr>
            </w:pPr>
            <w:r>
              <w:rPr>
                <w:color w:val="000000"/>
                <w:sz w:val="22"/>
                <w:szCs w:val="22"/>
              </w:rPr>
              <w:t>0</w:t>
            </w:r>
          </w:p>
        </w:tc>
      </w:tr>
      <w:tr w:rsidR="00D67A3D" w:rsidRPr="00D42BAF" w:rsidTr="00314C17">
        <w:trPr>
          <w:trHeight w:val="329"/>
        </w:trPr>
        <w:tc>
          <w:tcPr>
            <w:tcW w:w="5000" w:type="pct"/>
            <w:gridSpan w:val="11"/>
            <w:tcBorders>
              <w:top w:val="single" w:sz="4" w:space="0" w:color="auto"/>
              <w:left w:val="single" w:sz="4" w:space="0" w:color="auto"/>
              <w:bottom w:val="single" w:sz="4" w:space="0" w:color="auto"/>
              <w:right w:val="single" w:sz="4" w:space="0" w:color="auto"/>
            </w:tcBorders>
          </w:tcPr>
          <w:p w:rsidR="00D67A3D" w:rsidRPr="00D42BAF" w:rsidRDefault="00D67A3D" w:rsidP="00481585">
            <w:pPr>
              <w:jc w:val="center"/>
              <w:rPr>
                <w:b/>
                <w:bCs/>
                <w:color w:val="000000"/>
                <w:sz w:val="22"/>
                <w:szCs w:val="22"/>
              </w:rPr>
            </w:pPr>
            <w:r w:rsidRPr="00D42BAF">
              <w:rPr>
                <w:b/>
                <w:bCs/>
                <w:color w:val="000000"/>
                <w:sz w:val="22"/>
                <w:szCs w:val="22"/>
              </w:rPr>
              <w:t xml:space="preserve">                                                                                                                                       ИТОГО</w:t>
            </w:r>
            <w:r w:rsidRPr="00481585">
              <w:rPr>
                <w:b/>
                <w:bCs/>
                <w:color w:val="000000"/>
                <w:sz w:val="22"/>
                <w:szCs w:val="22"/>
              </w:rPr>
              <w:t>:</w:t>
            </w:r>
            <w:r w:rsidRPr="00481585">
              <w:rPr>
                <w:b/>
                <w:sz w:val="22"/>
                <w:szCs w:val="22"/>
              </w:rPr>
              <w:t xml:space="preserve"> </w:t>
            </w:r>
            <w:r w:rsidR="00481585" w:rsidRPr="00481585">
              <w:rPr>
                <w:b/>
                <w:sz w:val="22"/>
                <w:szCs w:val="22"/>
              </w:rPr>
              <w:t>52</w:t>
            </w:r>
            <w:r w:rsidR="00D42BAF">
              <w:rPr>
                <w:b/>
                <w:sz w:val="22"/>
                <w:szCs w:val="22"/>
              </w:rPr>
              <w:t> </w:t>
            </w:r>
            <w:r w:rsidR="00481585">
              <w:rPr>
                <w:b/>
                <w:sz w:val="22"/>
                <w:szCs w:val="22"/>
              </w:rPr>
              <w:t>175</w:t>
            </w:r>
            <w:r w:rsidR="00D42BAF">
              <w:rPr>
                <w:b/>
                <w:sz w:val="22"/>
                <w:szCs w:val="22"/>
              </w:rPr>
              <w:t xml:space="preserve"> рублей </w:t>
            </w:r>
            <w:r w:rsidR="00F36912">
              <w:rPr>
                <w:b/>
                <w:sz w:val="22"/>
                <w:szCs w:val="22"/>
              </w:rPr>
              <w:t>00</w:t>
            </w:r>
            <w:r w:rsidR="00C54670" w:rsidRPr="00D42BAF">
              <w:rPr>
                <w:b/>
                <w:bCs/>
                <w:color w:val="000000"/>
                <w:sz w:val="22"/>
                <w:szCs w:val="22"/>
              </w:rPr>
              <w:t xml:space="preserve"> копеек</w:t>
            </w:r>
            <w:r w:rsidRPr="00D42BAF">
              <w:rPr>
                <w:b/>
                <w:bCs/>
                <w:color w:val="000000"/>
                <w:sz w:val="22"/>
                <w:szCs w:val="22"/>
              </w:rPr>
              <w:t xml:space="preserve">, в т.ч. НДС </w:t>
            </w:r>
          </w:p>
        </w:tc>
      </w:tr>
    </w:tbl>
    <w:p w:rsidR="00D67A3D" w:rsidRDefault="00D67A3D" w:rsidP="00D67A3D">
      <w:pPr>
        <w:jc w:val="center"/>
        <w:rPr>
          <w:rFonts w:eastAsia="Calibri"/>
          <w:lang w:eastAsia="en-US"/>
        </w:rPr>
      </w:pPr>
    </w:p>
    <w:p w:rsidR="00D67A3D" w:rsidRDefault="00D67A3D" w:rsidP="00D67A3D">
      <w:pPr>
        <w:autoSpaceDE w:val="0"/>
        <w:autoSpaceDN w:val="0"/>
        <w:adjustRightInd w:val="0"/>
        <w:ind w:firstLine="567"/>
        <w:jc w:val="both"/>
        <w:rPr>
          <w:b/>
          <w:bCs/>
        </w:rPr>
      </w:pPr>
      <w:r>
        <w:rPr>
          <w:rFonts w:eastAsia="Calibri"/>
          <w:bCs/>
          <w:lang w:eastAsia="en-US"/>
        </w:rPr>
        <w:t>Н</w:t>
      </w:r>
      <w:r w:rsidRPr="00AA66B0">
        <w:rPr>
          <w:rFonts w:eastAsia="Calibri"/>
          <w:bCs/>
          <w:lang w:eastAsia="en-US"/>
        </w:rPr>
        <w:t xml:space="preserve">ачальная (максимальная) цена Контракта определена Заказчиком и </w:t>
      </w:r>
      <w:r w:rsidRPr="001122A8">
        <w:rPr>
          <w:rFonts w:eastAsia="Calibri"/>
          <w:bCs/>
          <w:lang w:eastAsia="en-US"/>
        </w:rPr>
        <w:t xml:space="preserve">составляет </w:t>
      </w:r>
      <w:r w:rsidR="00481585">
        <w:rPr>
          <w:rFonts w:eastAsia="Calibri"/>
          <w:b/>
          <w:bCs/>
          <w:lang w:eastAsia="en-US"/>
        </w:rPr>
        <w:t>52 175</w:t>
      </w:r>
      <w:r w:rsidR="00C54670">
        <w:rPr>
          <w:b/>
          <w:bCs/>
        </w:rPr>
        <w:t>,</w:t>
      </w:r>
      <w:r w:rsidR="00F36912">
        <w:rPr>
          <w:b/>
          <w:bCs/>
        </w:rPr>
        <w:t>00</w:t>
      </w:r>
      <w:r>
        <w:rPr>
          <w:b/>
          <w:bCs/>
        </w:rPr>
        <w:t xml:space="preserve"> </w:t>
      </w:r>
      <w:r w:rsidRPr="00B50AE9">
        <w:rPr>
          <w:b/>
          <w:bCs/>
        </w:rPr>
        <w:t>(</w:t>
      </w:r>
      <w:r w:rsidR="00481585">
        <w:rPr>
          <w:b/>
          <w:bCs/>
        </w:rPr>
        <w:t>Пятьдесят две тысячи</w:t>
      </w:r>
      <w:r w:rsidR="005C4448">
        <w:rPr>
          <w:b/>
          <w:bCs/>
        </w:rPr>
        <w:t xml:space="preserve"> </w:t>
      </w:r>
      <w:r w:rsidR="00481585">
        <w:rPr>
          <w:b/>
          <w:bCs/>
        </w:rPr>
        <w:t>сто семьдесят пять</w:t>
      </w:r>
      <w:r w:rsidR="00D74207">
        <w:rPr>
          <w:b/>
          <w:bCs/>
        </w:rPr>
        <w:t>)</w:t>
      </w:r>
      <w:r w:rsidRPr="00B50AE9">
        <w:rPr>
          <w:b/>
          <w:bCs/>
        </w:rPr>
        <w:t xml:space="preserve"> рубл</w:t>
      </w:r>
      <w:r w:rsidR="00F36912">
        <w:rPr>
          <w:b/>
          <w:bCs/>
        </w:rPr>
        <w:t>ей</w:t>
      </w:r>
      <w:r w:rsidRPr="00B50AE9">
        <w:rPr>
          <w:b/>
          <w:bCs/>
        </w:rPr>
        <w:t xml:space="preserve"> </w:t>
      </w:r>
      <w:r w:rsidR="00F36912">
        <w:rPr>
          <w:b/>
          <w:bCs/>
        </w:rPr>
        <w:t>00</w:t>
      </w:r>
      <w:r>
        <w:rPr>
          <w:b/>
          <w:bCs/>
        </w:rPr>
        <w:t xml:space="preserve"> </w:t>
      </w:r>
      <w:r w:rsidRPr="00B50AE9">
        <w:rPr>
          <w:b/>
          <w:bCs/>
        </w:rPr>
        <w:t>копеек.</w:t>
      </w:r>
    </w:p>
    <w:p w:rsidR="00D67A3D" w:rsidRDefault="00D67A3D" w:rsidP="00D67A3D">
      <w:pPr>
        <w:autoSpaceDE w:val="0"/>
        <w:autoSpaceDN w:val="0"/>
        <w:adjustRightInd w:val="0"/>
        <w:ind w:firstLine="567"/>
        <w:jc w:val="both"/>
        <w:rPr>
          <w:b/>
          <w:bCs/>
        </w:rPr>
      </w:pPr>
    </w:p>
    <w:p w:rsidR="00D67A3D" w:rsidRPr="00AA66B0" w:rsidRDefault="00D67A3D" w:rsidP="00D67A3D">
      <w:pPr>
        <w:jc w:val="both"/>
        <w:rPr>
          <w:rFonts w:eastAsia="Calibri"/>
          <w:lang w:eastAsia="en-US"/>
        </w:rPr>
      </w:pPr>
      <w:r w:rsidRPr="00AA66B0">
        <w:rPr>
          <w:rFonts w:eastAsia="Calibri"/>
          <w:lang w:eastAsia="en-US"/>
        </w:rPr>
        <w:t xml:space="preserve">В целях определения однородности совокупности </w:t>
      </w:r>
      <w:proofErr w:type="gramStart"/>
      <w:r w:rsidRPr="00AA66B0">
        <w:rPr>
          <w:rFonts w:eastAsia="Calibri"/>
          <w:lang w:eastAsia="en-US"/>
        </w:rPr>
        <w:t>значений выявленных цен, используемых в расчете НМЦК определяем</w:t>
      </w:r>
      <w:proofErr w:type="gramEnd"/>
      <w:r w:rsidRPr="00AA66B0">
        <w:rPr>
          <w:rFonts w:eastAsia="Calibri"/>
          <w:lang w:eastAsia="en-US"/>
        </w:rPr>
        <w:t xml:space="preserve"> коэффициент вариации.</w:t>
      </w:r>
    </w:p>
    <w:p w:rsidR="00D67A3D" w:rsidRPr="00AA66B0" w:rsidRDefault="00D67A3D" w:rsidP="00D67A3D">
      <w:pPr>
        <w:jc w:val="both"/>
        <w:rPr>
          <w:rFonts w:eastAsia="Calibri"/>
          <w:lang w:eastAsia="en-US"/>
        </w:rPr>
      </w:pPr>
      <w:r w:rsidRPr="00AA66B0">
        <w:rPr>
          <w:rFonts w:eastAsia="Calibri"/>
          <w:lang w:eastAsia="en-US"/>
        </w:rPr>
        <w:t>Коэффициент вариации цены определяется по следующей формуле:</w:t>
      </w:r>
    </w:p>
    <w:p w:rsidR="00D67A3D" w:rsidRPr="00AA66B0" w:rsidRDefault="00D67A3D" w:rsidP="00D67A3D">
      <w:pPr>
        <w:jc w:val="both"/>
        <w:rPr>
          <w:rFonts w:eastAsia="Calibri"/>
          <w:lang w:eastAsia="en-US"/>
        </w:rPr>
      </w:pPr>
      <w:r>
        <w:rPr>
          <w:rFonts w:eastAsia="Calibri"/>
          <w:noProof/>
        </w:rPr>
        <w:drawing>
          <wp:inline distT="0" distB="0" distL="0" distR="0">
            <wp:extent cx="1133475" cy="323850"/>
            <wp:effectExtent l="0" t="0" r="9525"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323850"/>
                    </a:xfrm>
                    <a:prstGeom prst="rect">
                      <a:avLst/>
                    </a:prstGeom>
                    <a:noFill/>
                    <a:ln>
                      <a:noFill/>
                    </a:ln>
                  </pic:spPr>
                </pic:pic>
              </a:graphicData>
            </a:graphic>
          </wp:inline>
        </w:drawing>
      </w:r>
      <w:r w:rsidRPr="00AA66B0">
        <w:rPr>
          <w:rFonts w:eastAsia="Calibri"/>
          <w:lang w:eastAsia="en-US"/>
        </w:rPr>
        <w:t>,</w:t>
      </w:r>
    </w:p>
    <w:p w:rsidR="00D67A3D" w:rsidRPr="00AA66B0" w:rsidRDefault="00D67A3D" w:rsidP="00D67A3D">
      <w:pPr>
        <w:jc w:val="both"/>
        <w:rPr>
          <w:rFonts w:eastAsia="Calibri"/>
          <w:lang w:eastAsia="en-US"/>
        </w:rPr>
      </w:pPr>
      <w:r w:rsidRPr="00AA66B0">
        <w:rPr>
          <w:rFonts w:eastAsia="Calibri"/>
          <w:lang w:eastAsia="en-US"/>
        </w:rPr>
        <w:t>где:</w:t>
      </w:r>
    </w:p>
    <w:p w:rsidR="00D67A3D" w:rsidRPr="00AA66B0" w:rsidRDefault="00D67A3D" w:rsidP="00D67A3D">
      <w:pPr>
        <w:jc w:val="both"/>
        <w:rPr>
          <w:rFonts w:eastAsia="Calibri"/>
          <w:lang w:eastAsia="en-US"/>
        </w:rPr>
      </w:pPr>
      <w:r w:rsidRPr="00AA66B0">
        <w:rPr>
          <w:rFonts w:eastAsia="Calibri"/>
          <w:lang w:eastAsia="en-US"/>
        </w:rPr>
        <w:t>V - коэффициент вариации;</w:t>
      </w:r>
    </w:p>
    <w:p w:rsidR="00D67A3D" w:rsidRPr="00AA66B0" w:rsidRDefault="00D67A3D" w:rsidP="00D67A3D">
      <w:pPr>
        <w:jc w:val="both"/>
        <w:rPr>
          <w:rFonts w:eastAsia="Calibri"/>
          <w:lang w:eastAsia="en-US"/>
        </w:rPr>
      </w:pPr>
      <w:r>
        <w:rPr>
          <w:rFonts w:eastAsia="Calibri"/>
          <w:noProof/>
        </w:rPr>
        <w:drawing>
          <wp:inline distT="0" distB="0" distL="0" distR="0">
            <wp:extent cx="1333500" cy="43815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0" cy="438150"/>
                    </a:xfrm>
                    <a:prstGeom prst="rect">
                      <a:avLst/>
                    </a:prstGeom>
                    <a:noFill/>
                    <a:ln>
                      <a:noFill/>
                    </a:ln>
                  </pic:spPr>
                </pic:pic>
              </a:graphicData>
            </a:graphic>
          </wp:inline>
        </w:drawing>
      </w:r>
      <w:r w:rsidRPr="00AA66B0">
        <w:rPr>
          <w:rFonts w:eastAsia="Calibri"/>
          <w:lang w:eastAsia="en-US"/>
        </w:rPr>
        <w:t xml:space="preserve"> - среднее квадратичное отклонение;</w:t>
      </w:r>
    </w:p>
    <w:p w:rsidR="00D67A3D" w:rsidRPr="00AA66B0" w:rsidRDefault="00D67A3D" w:rsidP="00D67A3D">
      <w:pPr>
        <w:jc w:val="both"/>
        <w:rPr>
          <w:rFonts w:eastAsia="Calibri"/>
          <w:lang w:eastAsia="en-US"/>
        </w:rPr>
      </w:pPr>
      <w:r>
        <w:rPr>
          <w:rFonts w:eastAsia="Calibri"/>
          <w:noProof/>
        </w:rPr>
        <w:drawing>
          <wp:inline distT="0" distB="0" distL="0" distR="0">
            <wp:extent cx="123825" cy="219075"/>
            <wp:effectExtent l="0" t="0" r="9525" b="9525"/>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 cy="219075"/>
                    </a:xfrm>
                    <a:prstGeom prst="rect">
                      <a:avLst/>
                    </a:prstGeom>
                    <a:noFill/>
                    <a:ln>
                      <a:noFill/>
                    </a:ln>
                  </pic:spPr>
                </pic:pic>
              </a:graphicData>
            </a:graphic>
          </wp:inline>
        </w:drawing>
      </w:r>
      <w:r w:rsidRPr="00AA66B0">
        <w:rPr>
          <w:rFonts w:eastAsia="Calibri"/>
          <w:lang w:eastAsia="en-US"/>
        </w:rPr>
        <w:t xml:space="preserve"> - цена единицы товара, работы, услуги, указанная в источнике с номером </w:t>
      </w:r>
      <w:proofErr w:type="spellStart"/>
      <w:r w:rsidRPr="00AA66B0">
        <w:rPr>
          <w:rFonts w:eastAsia="Calibri"/>
          <w:lang w:eastAsia="en-US"/>
        </w:rPr>
        <w:t>i</w:t>
      </w:r>
      <w:proofErr w:type="spellEnd"/>
      <w:r w:rsidRPr="00AA66B0">
        <w:rPr>
          <w:rFonts w:eastAsia="Calibri"/>
          <w:lang w:eastAsia="en-US"/>
        </w:rPr>
        <w:t>;</w:t>
      </w:r>
    </w:p>
    <w:p w:rsidR="00D67A3D" w:rsidRPr="00AA66B0" w:rsidRDefault="00D67A3D" w:rsidP="00D67A3D">
      <w:pPr>
        <w:jc w:val="both"/>
        <w:rPr>
          <w:rFonts w:eastAsia="Calibri"/>
          <w:lang w:eastAsia="en-US"/>
        </w:rPr>
      </w:pPr>
      <w:r w:rsidRPr="00AA66B0">
        <w:rPr>
          <w:rFonts w:eastAsia="Calibri"/>
          <w:lang w:eastAsia="en-US"/>
        </w:rPr>
        <w:t>&lt;</w:t>
      </w:r>
      <w:proofErr w:type="spellStart"/>
      <w:r w:rsidRPr="00AA66B0">
        <w:rPr>
          <w:rFonts w:eastAsia="Calibri"/>
          <w:lang w:eastAsia="en-US"/>
        </w:rPr>
        <w:t>ц</w:t>
      </w:r>
      <w:proofErr w:type="spellEnd"/>
      <w:r w:rsidRPr="00AA66B0">
        <w:rPr>
          <w:rFonts w:eastAsia="Calibri"/>
          <w:lang w:eastAsia="en-US"/>
        </w:rPr>
        <w:t>&gt; - средняя арифметическая величина цены единицы товара, работы, услуги;</w:t>
      </w:r>
    </w:p>
    <w:p w:rsidR="00D67A3D" w:rsidRPr="00AA66B0" w:rsidRDefault="00D67A3D" w:rsidP="00D67A3D">
      <w:pPr>
        <w:jc w:val="both"/>
        <w:rPr>
          <w:rFonts w:eastAsia="Calibri"/>
          <w:lang w:eastAsia="en-US"/>
        </w:rPr>
      </w:pPr>
      <w:proofErr w:type="spellStart"/>
      <w:r w:rsidRPr="00AA66B0">
        <w:rPr>
          <w:rFonts w:eastAsia="Calibri"/>
          <w:lang w:eastAsia="en-US"/>
        </w:rPr>
        <w:t>n</w:t>
      </w:r>
      <w:proofErr w:type="spellEnd"/>
      <w:r w:rsidRPr="00AA66B0">
        <w:rPr>
          <w:rFonts w:eastAsia="Calibri"/>
          <w:lang w:eastAsia="en-US"/>
        </w:rPr>
        <w:t xml:space="preserve"> - количество значений, используемых в расчете.</w:t>
      </w:r>
    </w:p>
    <w:p w:rsidR="00D67A3D" w:rsidRPr="00CA177E" w:rsidRDefault="00D67A3D" w:rsidP="00D67A3D">
      <w:pPr>
        <w:ind w:firstLine="708"/>
        <w:jc w:val="both"/>
      </w:pPr>
      <w:r w:rsidRPr="00CA177E">
        <w:t xml:space="preserve">Цена Контракта включает все расходы </w:t>
      </w:r>
      <w:r w:rsidR="001B29B1">
        <w:t>Исполнителя</w:t>
      </w:r>
      <w:r w:rsidRPr="00CA177E">
        <w:t xml:space="preserve"> связанные с исполнением условий Контракта, в том числе цену поставляемого Товара, компенсацию всех издержек </w:t>
      </w:r>
      <w:r w:rsidR="001B29B1">
        <w:t>Исполнителя</w:t>
      </w:r>
      <w:r w:rsidRPr="00CA177E">
        <w:t xml:space="preserve"> и причитающееся ему вознаграждение, стоимость материалов, расходы на упаковку, доставку, погрузку/разгрузку, страхование, уплату таможенных пошлин, налогов, сборов и других обязательных платежей</w:t>
      </w:r>
      <w:r>
        <w:t>.</w:t>
      </w:r>
    </w:p>
    <w:p w:rsidR="004E119C" w:rsidRDefault="004E119C" w:rsidP="00D67A3D">
      <w:pPr>
        <w:ind w:left="709"/>
        <w:jc w:val="center"/>
        <w:rPr>
          <w:b/>
          <w:sz w:val="28"/>
          <w:szCs w:val="28"/>
          <w:u w:val="single"/>
        </w:rPr>
      </w:pPr>
    </w:p>
    <w:p w:rsidR="00314C17" w:rsidRDefault="00314C17" w:rsidP="00D67A3D">
      <w:pPr>
        <w:ind w:left="709"/>
        <w:jc w:val="center"/>
        <w:rPr>
          <w:b/>
          <w:sz w:val="28"/>
          <w:szCs w:val="28"/>
          <w:u w:val="single"/>
        </w:rPr>
      </w:pPr>
    </w:p>
    <w:p w:rsidR="00314C17" w:rsidRDefault="00314C17" w:rsidP="00314C17">
      <w:pPr>
        <w:ind w:left="709"/>
        <w:jc w:val="both"/>
      </w:pPr>
      <w:r w:rsidRPr="00407441">
        <w:t>Контрактный управляющий</w:t>
      </w:r>
      <w:r w:rsidRPr="00407441">
        <w:tab/>
      </w:r>
      <w:r w:rsidRPr="00407441">
        <w:tab/>
      </w:r>
      <w:r w:rsidRPr="00407441">
        <w:tab/>
      </w:r>
      <w:r w:rsidRPr="00407441">
        <w:tab/>
      </w:r>
      <w:r w:rsidRPr="00407441">
        <w:tab/>
        <w:t>И.</w:t>
      </w:r>
      <w:r w:rsidR="0089033B">
        <w:t>В</w:t>
      </w:r>
      <w:r w:rsidRPr="00407441">
        <w:t xml:space="preserve">. </w:t>
      </w:r>
      <w:proofErr w:type="spellStart"/>
      <w:r w:rsidRPr="00407441">
        <w:t>Евсевьева</w:t>
      </w:r>
      <w:proofErr w:type="spellEnd"/>
    </w:p>
    <w:sectPr w:rsidR="00314C17" w:rsidSect="00D42BAF">
      <w:pgSz w:w="16838" w:h="11906" w:orient="landscape"/>
      <w:pgMar w:top="56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D87" w:rsidRDefault="00DA6D87" w:rsidP="006D5491">
      <w:r>
        <w:separator/>
      </w:r>
    </w:p>
  </w:endnote>
  <w:endnote w:type="continuationSeparator" w:id="0">
    <w:p w:rsidR="00DA6D87" w:rsidRDefault="00DA6D87" w:rsidP="006D5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D87" w:rsidRDefault="00DA6D87" w:rsidP="006D5491">
      <w:r>
        <w:separator/>
      </w:r>
    </w:p>
  </w:footnote>
  <w:footnote w:type="continuationSeparator" w:id="0">
    <w:p w:rsidR="00DA6D87" w:rsidRDefault="00DA6D87" w:rsidP="006D54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E6FA8"/>
    <w:multiLevelType w:val="hybridMultilevel"/>
    <w:tmpl w:val="1A30EC30"/>
    <w:lvl w:ilvl="0" w:tplc="D9D8E5B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nsid w:val="58E505EF"/>
    <w:multiLevelType w:val="hybridMultilevel"/>
    <w:tmpl w:val="C7B4DC44"/>
    <w:lvl w:ilvl="0" w:tplc="D9D8E5B0">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0259DE"/>
    <w:multiLevelType w:val="multilevel"/>
    <w:tmpl w:val="8ACC6010"/>
    <w:lvl w:ilvl="0">
      <w:start w:val="1"/>
      <w:numFmt w:val="decimal"/>
      <w:lvlText w:val="%1."/>
      <w:lvlJc w:val="left"/>
      <w:pPr>
        <w:ind w:left="944" w:hanging="660"/>
      </w:pPr>
      <w:rPr>
        <w:rFonts w:eastAsia="Times New Roman" w:hint="default"/>
        <w:color w:val="auto"/>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F55DD"/>
    <w:rsid w:val="000045D0"/>
    <w:rsid w:val="00023323"/>
    <w:rsid w:val="000379B7"/>
    <w:rsid w:val="00060FF3"/>
    <w:rsid w:val="00073613"/>
    <w:rsid w:val="00076207"/>
    <w:rsid w:val="000853BF"/>
    <w:rsid w:val="0008711F"/>
    <w:rsid w:val="00092B26"/>
    <w:rsid w:val="00094F3A"/>
    <w:rsid w:val="00097556"/>
    <w:rsid w:val="000A60B0"/>
    <w:rsid w:val="000B2044"/>
    <w:rsid w:val="000B4319"/>
    <w:rsid w:val="000C67C6"/>
    <w:rsid w:val="000D0702"/>
    <w:rsid w:val="000D2ED3"/>
    <w:rsid w:val="000D5285"/>
    <w:rsid w:val="000D656E"/>
    <w:rsid w:val="000F55DD"/>
    <w:rsid w:val="001052B3"/>
    <w:rsid w:val="00117BFB"/>
    <w:rsid w:val="00121126"/>
    <w:rsid w:val="001224DC"/>
    <w:rsid w:val="0013685E"/>
    <w:rsid w:val="00137CDE"/>
    <w:rsid w:val="001437C4"/>
    <w:rsid w:val="00160631"/>
    <w:rsid w:val="0016350A"/>
    <w:rsid w:val="00170883"/>
    <w:rsid w:val="00173B60"/>
    <w:rsid w:val="00175DAA"/>
    <w:rsid w:val="00184690"/>
    <w:rsid w:val="001A41F6"/>
    <w:rsid w:val="001B29B1"/>
    <w:rsid w:val="001B3E2C"/>
    <w:rsid w:val="001C281C"/>
    <w:rsid w:val="001C4ACB"/>
    <w:rsid w:val="001D0F90"/>
    <w:rsid w:val="001E146A"/>
    <w:rsid w:val="001E2590"/>
    <w:rsid w:val="001E4CB9"/>
    <w:rsid w:val="001E786D"/>
    <w:rsid w:val="001E788F"/>
    <w:rsid w:val="002069F8"/>
    <w:rsid w:val="00207ED1"/>
    <w:rsid w:val="00215E40"/>
    <w:rsid w:val="00220D40"/>
    <w:rsid w:val="002320DF"/>
    <w:rsid w:val="0023369F"/>
    <w:rsid w:val="002521A7"/>
    <w:rsid w:val="002615DF"/>
    <w:rsid w:val="00263CD6"/>
    <w:rsid w:val="00265A0F"/>
    <w:rsid w:val="00271A6E"/>
    <w:rsid w:val="0027258A"/>
    <w:rsid w:val="002753B6"/>
    <w:rsid w:val="00276B44"/>
    <w:rsid w:val="0028292C"/>
    <w:rsid w:val="00282EDC"/>
    <w:rsid w:val="00282F94"/>
    <w:rsid w:val="002853B2"/>
    <w:rsid w:val="00294161"/>
    <w:rsid w:val="002A1AAC"/>
    <w:rsid w:val="002A1C13"/>
    <w:rsid w:val="002A59B7"/>
    <w:rsid w:val="002E2105"/>
    <w:rsid w:val="002E7165"/>
    <w:rsid w:val="002F05AA"/>
    <w:rsid w:val="003009BE"/>
    <w:rsid w:val="003144B4"/>
    <w:rsid w:val="00314C17"/>
    <w:rsid w:val="00321C7F"/>
    <w:rsid w:val="00323548"/>
    <w:rsid w:val="003259EA"/>
    <w:rsid w:val="00335D0D"/>
    <w:rsid w:val="0033626B"/>
    <w:rsid w:val="00354A08"/>
    <w:rsid w:val="00362287"/>
    <w:rsid w:val="00364489"/>
    <w:rsid w:val="003655FB"/>
    <w:rsid w:val="003843F2"/>
    <w:rsid w:val="00387225"/>
    <w:rsid w:val="0039044F"/>
    <w:rsid w:val="003A5630"/>
    <w:rsid w:val="003A74B1"/>
    <w:rsid w:val="003C2F4C"/>
    <w:rsid w:val="003D1616"/>
    <w:rsid w:val="003E4B12"/>
    <w:rsid w:val="003F1869"/>
    <w:rsid w:val="00403EEC"/>
    <w:rsid w:val="00421D11"/>
    <w:rsid w:val="004509BD"/>
    <w:rsid w:val="00450CFF"/>
    <w:rsid w:val="0045523C"/>
    <w:rsid w:val="00462839"/>
    <w:rsid w:val="00463C58"/>
    <w:rsid w:val="00474557"/>
    <w:rsid w:val="00476CE6"/>
    <w:rsid w:val="00477ED2"/>
    <w:rsid w:val="00481585"/>
    <w:rsid w:val="00483651"/>
    <w:rsid w:val="00486E5D"/>
    <w:rsid w:val="00490E3A"/>
    <w:rsid w:val="004B105D"/>
    <w:rsid w:val="004B28A8"/>
    <w:rsid w:val="004C5CE5"/>
    <w:rsid w:val="004D3D8E"/>
    <w:rsid w:val="004E119C"/>
    <w:rsid w:val="004F5B30"/>
    <w:rsid w:val="0051071B"/>
    <w:rsid w:val="0052051F"/>
    <w:rsid w:val="00521990"/>
    <w:rsid w:val="0052411C"/>
    <w:rsid w:val="005250C3"/>
    <w:rsid w:val="00534B43"/>
    <w:rsid w:val="005548F4"/>
    <w:rsid w:val="00583B1D"/>
    <w:rsid w:val="00591D34"/>
    <w:rsid w:val="00592381"/>
    <w:rsid w:val="00592716"/>
    <w:rsid w:val="00593F2D"/>
    <w:rsid w:val="005A35EA"/>
    <w:rsid w:val="005B1578"/>
    <w:rsid w:val="005B2495"/>
    <w:rsid w:val="005B6FAA"/>
    <w:rsid w:val="005C4448"/>
    <w:rsid w:val="005D79AD"/>
    <w:rsid w:val="005E731C"/>
    <w:rsid w:val="005F5954"/>
    <w:rsid w:val="00612E92"/>
    <w:rsid w:val="006375E7"/>
    <w:rsid w:val="00644AA9"/>
    <w:rsid w:val="00665A06"/>
    <w:rsid w:val="00670143"/>
    <w:rsid w:val="00677270"/>
    <w:rsid w:val="006804D1"/>
    <w:rsid w:val="00684155"/>
    <w:rsid w:val="006A2E12"/>
    <w:rsid w:val="006C5783"/>
    <w:rsid w:val="006C6610"/>
    <w:rsid w:val="006D5491"/>
    <w:rsid w:val="006E05E8"/>
    <w:rsid w:val="006E15DF"/>
    <w:rsid w:val="006E1C8E"/>
    <w:rsid w:val="006F420C"/>
    <w:rsid w:val="006F5626"/>
    <w:rsid w:val="00701C5B"/>
    <w:rsid w:val="00706441"/>
    <w:rsid w:val="0071089A"/>
    <w:rsid w:val="00712829"/>
    <w:rsid w:val="007156FE"/>
    <w:rsid w:val="00746806"/>
    <w:rsid w:val="00756B00"/>
    <w:rsid w:val="0076683E"/>
    <w:rsid w:val="007931B2"/>
    <w:rsid w:val="007A09BF"/>
    <w:rsid w:val="007A44A2"/>
    <w:rsid w:val="007B5994"/>
    <w:rsid w:val="007C0B21"/>
    <w:rsid w:val="007C220C"/>
    <w:rsid w:val="007C279A"/>
    <w:rsid w:val="007C56B9"/>
    <w:rsid w:val="007C7BA3"/>
    <w:rsid w:val="007E743D"/>
    <w:rsid w:val="007F5D93"/>
    <w:rsid w:val="00813D27"/>
    <w:rsid w:val="008172BB"/>
    <w:rsid w:val="008207ED"/>
    <w:rsid w:val="00820966"/>
    <w:rsid w:val="00834045"/>
    <w:rsid w:val="00845A88"/>
    <w:rsid w:val="0085456B"/>
    <w:rsid w:val="00856FFA"/>
    <w:rsid w:val="00863FD4"/>
    <w:rsid w:val="00874877"/>
    <w:rsid w:val="00874E92"/>
    <w:rsid w:val="008752A4"/>
    <w:rsid w:val="00881F9E"/>
    <w:rsid w:val="00882811"/>
    <w:rsid w:val="00882B8A"/>
    <w:rsid w:val="00883BBA"/>
    <w:rsid w:val="008866A4"/>
    <w:rsid w:val="0089033B"/>
    <w:rsid w:val="008A10CA"/>
    <w:rsid w:val="008A3941"/>
    <w:rsid w:val="008B2DA8"/>
    <w:rsid w:val="008B65F6"/>
    <w:rsid w:val="008C3507"/>
    <w:rsid w:val="008C5687"/>
    <w:rsid w:val="008D4966"/>
    <w:rsid w:val="008E3647"/>
    <w:rsid w:val="008E4211"/>
    <w:rsid w:val="008E43E2"/>
    <w:rsid w:val="008F32BD"/>
    <w:rsid w:val="008F7D58"/>
    <w:rsid w:val="009136E6"/>
    <w:rsid w:val="00922ADF"/>
    <w:rsid w:val="009364B2"/>
    <w:rsid w:val="009443E5"/>
    <w:rsid w:val="00960D19"/>
    <w:rsid w:val="00960E68"/>
    <w:rsid w:val="009637B8"/>
    <w:rsid w:val="009713F4"/>
    <w:rsid w:val="00982CB4"/>
    <w:rsid w:val="00985A6E"/>
    <w:rsid w:val="00994207"/>
    <w:rsid w:val="00995FE4"/>
    <w:rsid w:val="009A5109"/>
    <w:rsid w:val="009A78BA"/>
    <w:rsid w:val="009B0F6C"/>
    <w:rsid w:val="009B1367"/>
    <w:rsid w:val="009C1E6C"/>
    <w:rsid w:val="009E10E0"/>
    <w:rsid w:val="009F6750"/>
    <w:rsid w:val="00A005C5"/>
    <w:rsid w:val="00A05E12"/>
    <w:rsid w:val="00A25AEC"/>
    <w:rsid w:val="00A30547"/>
    <w:rsid w:val="00A312C0"/>
    <w:rsid w:val="00A35CC3"/>
    <w:rsid w:val="00A35DEC"/>
    <w:rsid w:val="00A539AD"/>
    <w:rsid w:val="00A61EDE"/>
    <w:rsid w:val="00A63598"/>
    <w:rsid w:val="00A7259C"/>
    <w:rsid w:val="00A7283D"/>
    <w:rsid w:val="00A74545"/>
    <w:rsid w:val="00A80AD1"/>
    <w:rsid w:val="00A80FDD"/>
    <w:rsid w:val="00A86D2C"/>
    <w:rsid w:val="00A95499"/>
    <w:rsid w:val="00A96EBF"/>
    <w:rsid w:val="00AA0A35"/>
    <w:rsid w:val="00AA1992"/>
    <w:rsid w:val="00AA2C04"/>
    <w:rsid w:val="00AB25A2"/>
    <w:rsid w:val="00AC6106"/>
    <w:rsid w:val="00AD7E3C"/>
    <w:rsid w:val="00AE1837"/>
    <w:rsid w:val="00B203A1"/>
    <w:rsid w:val="00B24989"/>
    <w:rsid w:val="00B2634D"/>
    <w:rsid w:val="00B37891"/>
    <w:rsid w:val="00B40116"/>
    <w:rsid w:val="00B53FB2"/>
    <w:rsid w:val="00B7500E"/>
    <w:rsid w:val="00B84322"/>
    <w:rsid w:val="00B84F2D"/>
    <w:rsid w:val="00B91752"/>
    <w:rsid w:val="00BA66B9"/>
    <w:rsid w:val="00BA75B6"/>
    <w:rsid w:val="00BB1A8F"/>
    <w:rsid w:val="00BB207E"/>
    <w:rsid w:val="00BB7085"/>
    <w:rsid w:val="00BB783C"/>
    <w:rsid w:val="00BC0046"/>
    <w:rsid w:val="00BC0167"/>
    <w:rsid w:val="00BC5CB1"/>
    <w:rsid w:val="00BC7CCF"/>
    <w:rsid w:val="00BD0A27"/>
    <w:rsid w:val="00BF1547"/>
    <w:rsid w:val="00BF1EB7"/>
    <w:rsid w:val="00BF35D0"/>
    <w:rsid w:val="00C020C5"/>
    <w:rsid w:val="00C127BA"/>
    <w:rsid w:val="00C1301B"/>
    <w:rsid w:val="00C13502"/>
    <w:rsid w:val="00C21729"/>
    <w:rsid w:val="00C32824"/>
    <w:rsid w:val="00C43AB8"/>
    <w:rsid w:val="00C53532"/>
    <w:rsid w:val="00C543B4"/>
    <w:rsid w:val="00C54670"/>
    <w:rsid w:val="00C60775"/>
    <w:rsid w:val="00C62EDB"/>
    <w:rsid w:val="00C7293F"/>
    <w:rsid w:val="00C76BB5"/>
    <w:rsid w:val="00C865A4"/>
    <w:rsid w:val="00C872EB"/>
    <w:rsid w:val="00C944D1"/>
    <w:rsid w:val="00CB48AB"/>
    <w:rsid w:val="00CB48CF"/>
    <w:rsid w:val="00CB522E"/>
    <w:rsid w:val="00CB5E1E"/>
    <w:rsid w:val="00CB6298"/>
    <w:rsid w:val="00CC7FB5"/>
    <w:rsid w:val="00CE4E5D"/>
    <w:rsid w:val="00CE6430"/>
    <w:rsid w:val="00CF619D"/>
    <w:rsid w:val="00D0281C"/>
    <w:rsid w:val="00D07DBC"/>
    <w:rsid w:val="00D273D9"/>
    <w:rsid w:val="00D30094"/>
    <w:rsid w:val="00D354F7"/>
    <w:rsid w:val="00D42BAF"/>
    <w:rsid w:val="00D50BCD"/>
    <w:rsid w:val="00D5640B"/>
    <w:rsid w:val="00D56994"/>
    <w:rsid w:val="00D62D9E"/>
    <w:rsid w:val="00D657D4"/>
    <w:rsid w:val="00D65E6C"/>
    <w:rsid w:val="00D67A3D"/>
    <w:rsid w:val="00D7067B"/>
    <w:rsid w:val="00D73202"/>
    <w:rsid w:val="00D74207"/>
    <w:rsid w:val="00D83262"/>
    <w:rsid w:val="00D97602"/>
    <w:rsid w:val="00DA21C7"/>
    <w:rsid w:val="00DA618B"/>
    <w:rsid w:val="00DA6D87"/>
    <w:rsid w:val="00DA7F1C"/>
    <w:rsid w:val="00DD0D24"/>
    <w:rsid w:val="00DD7F30"/>
    <w:rsid w:val="00DE4685"/>
    <w:rsid w:val="00DF1506"/>
    <w:rsid w:val="00DF353F"/>
    <w:rsid w:val="00DF3B4A"/>
    <w:rsid w:val="00E04C70"/>
    <w:rsid w:val="00E07E10"/>
    <w:rsid w:val="00E1189D"/>
    <w:rsid w:val="00E132C6"/>
    <w:rsid w:val="00E13795"/>
    <w:rsid w:val="00E217ED"/>
    <w:rsid w:val="00E249F7"/>
    <w:rsid w:val="00E31BBF"/>
    <w:rsid w:val="00E44377"/>
    <w:rsid w:val="00E60FD0"/>
    <w:rsid w:val="00E6444B"/>
    <w:rsid w:val="00E64B86"/>
    <w:rsid w:val="00E700F8"/>
    <w:rsid w:val="00E71DCF"/>
    <w:rsid w:val="00E75870"/>
    <w:rsid w:val="00E8388E"/>
    <w:rsid w:val="00E85E91"/>
    <w:rsid w:val="00E97DBC"/>
    <w:rsid w:val="00EB5906"/>
    <w:rsid w:val="00EC187D"/>
    <w:rsid w:val="00EC2359"/>
    <w:rsid w:val="00EC3CE0"/>
    <w:rsid w:val="00EE4F12"/>
    <w:rsid w:val="00EE7321"/>
    <w:rsid w:val="00EF21A5"/>
    <w:rsid w:val="00EF4E63"/>
    <w:rsid w:val="00F0140C"/>
    <w:rsid w:val="00F06189"/>
    <w:rsid w:val="00F068F4"/>
    <w:rsid w:val="00F22E09"/>
    <w:rsid w:val="00F239F5"/>
    <w:rsid w:val="00F331BC"/>
    <w:rsid w:val="00F36912"/>
    <w:rsid w:val="00F50B5D"/>
    <w:rsid w:val="00F50E0C"/>
    <w:rsid w:val="00F53F94"/>
    <w:rsid w:val="00F65E83"/>
    <w:rsid w:val="00F71236"/>
    <w:rsid w:val="00F7316E"/>
    <w:rsid w:val="00F83977"/>
    <w:rsid w:val="00F916D0"/>
    <w:rsid w:val="00F92285"/>
    <w:rsid w:val="00F94E3D"/>
    <w:rsid w:val="00F95CA0"/>
    <w:rsid w:val="00FA1C7E"/>
    <w:rsid w:val="00FC1A50"/>
    <w:rsid w:val="00FC4DD9"/>
    <w:rsid w:val="00FD07E2"/>
    <w:rsid w:val="00FD2114"/>
    <w:rsid w:val="00FD26F8"/>
    <w:rsid w:val="00FE5E7C"/>
    <w:rsid w:val="00FF48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5DD"/>
    <w:rPr>
      <w:sz w:val="24"/>
      <w:szCs w:val="24"/>
    </w:rPr>
  </w:style>
  <w:style w:type="paragraph" w:styleId="2">
    <w:name w:val="heading 2"/>
    <w:basedOn w:val="a"/>
    <w:qFormat/>
    <w:rsid w:val="000F55D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D0F90"/>
    <w:pPr>
      <w:widowControl w:val="0"/>
      <w:autoSpaceDE w:val="0"/>
      <w:autoSpaceDN w:val="0"/>
      <w:adjustRightInd w:val="0"/>
      <w:ind w:firstLine="720"/>
    </w:pPr>
    <w:rPr>
      <w:rFonts w:ascii="Arial" w:hAnsi="Arial" w:cs="Arial"/>
    </w:rPr>
  </w:style>
  <w:style w:type="paragraph" w:customStyle="1" w:styleId="1">
    <w:name w:val="Знак Знак1"/>
    <w:basedOn w:val="a"/>
    <w:rsid w:val="00B24989"/>
    <w:pPr>
      <w:spacing w:after="160" w:line="240" w:lineRule="exact"/>
    </w:pPr>
    <w:rPr>
      <w:rFonts w:ascii="Verdana" w:hAnsi="Verdana"/>
      <w:lang w:val="en-US" w:eastAsia="en-US"/>
    </w:rPr>
  </w:style>
  <w:style w:type="paragraph" w:styleId="a3">
    <w:name w:val="header"/>
    <w:basedOn w:val="a"/>
    <w:link w:val="a4"/>
    <w:rsid w:val="006D5491"/>
    <w:pPr>
      <w:tabs>
        <w:tab w:val="center" w:pos="4677"/>
        <w:tab w:val="right" w:pos="9355"/>
      </w:tabs>
    </w:pPr>
  </w:style>
  <w:style w:type="character" w:customStyle="1" w:styleId="a4">
    <w:name w:val="Верхний колонтитул Знак"/>
    <w:link w:val="a3"/>
    <w:rsid w:val="006D5491"/>
    <w:rPr>
      <w:sz w:val="24"/>
      <w:szCs w:val="24"/>
    </w:rPr>
  </w:style>
  <w:style w:type="paragraph" w:styleId="a5">
    <w:name w:val="footer"/>
    <w:basedOn w:val="a"/>
    <w:link w:val="a6"/>
    <w:uiPriority w:val="99"/>
    <w:rsid w:val="006D5491"/>
    <w:pPr>
      <w:tabs>
        <w:tab w:val="center" w:pos="4677"/>
        <w:tab w:val="right" w:pos="9355"/>
      </w:tabs>
    </w:pPr>
  </w:style>
  <w:style w:type="character" w:customStyle="1" w:styleId="a6">
    <w:name w:val="Нижний колонтитул Знак"/>
    <w:link w:val="a5"/>
    <w:uiPriority w:val="99"/>
    <w:rsid w:val="006D5491"/>
    <w:rPr>
      <w:sz w:val="24"/>
      <w:szCs w:val="24"/>
    </w:rPr>
  </w:style>
  <w:style w:type="table" w:styleId="a7">
    <w:name w:val="Table Grid"/>
    <w:basedOn w:val="a1"/>
    <w:rsid w:val="00AD7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E10E0"/>
    <w:rPr>
      <w:rFonts w:ascii="Tahoma" w:hAnsi="Tahoma"/>
      <w:sz w:val="16"/>
      <w:szCs w:val="16"/>
    </w:rPr>
  </w:style>
  <w:style w:type="character" w:customStyle="1" w:styleId="a9">
    <w:name w:val="Текст выноски Знак"/>
    <w:link w:val="a8"/>
    <w:uiPriority w:val="99"/>
    <w:semiHidden/>
    <w:rsid w:val="009E10E0"/>
    <w:rPr>
      <w:rFonts w:ascii="Tahoma" w:hAnsi="Tahoma" w:cs="Tahoma"/>
      <w:sz w:val="16"/>
      <w:szCs w:val="16"/>
    </w:rPr>
  </w:style>
  <w:style w:type="paragraph" w:styleId="aa">
    <w:name w:val="Body Text Indent"/>
    <w:basedOn w:val="a"/>
    <w:link w:val="ab"/>
    <w:rsid w:val="00EE4F12"/>
    <w:pPr>
      <w:widowControl w:val="0"/>
      <w:autoSpaceDE w:val="0"/>
      <w:autoSpaceDN w:val="0"/>
      <w:adjustRightInd w:val="0"/>
      <w:spacing w:after="120"/>
      <w:ind w:left="283"/>
    </w:pPr>
    <w:rPr>
      <w:sz w:val="20"/>
      <w:szCs w:val="20"/>
    </w:rPr>
  </w:style>
  <w:style w:type="character" w:customStyle="1" w:styleId="ab">
    <w:name w:val="Основной текст с отступом Знак"/>
    <w:basedOn w:val="a0"/>
    <w:link w:val="aa"/>
    <w:rsid w:val="00EE4F12"/>
  </w:style>
  <w:style w:type="paragraph" w:customStyle="1" w:styleId="ConsPlusCell">
    <w:name w:val="ConsPlusCell"/>
    <w:rsid w:val="00EE4F12"/>
    <w:pPr>
      <w:autoSpaceDE w:val="0"/>
      <w:autoSpaceDN w:val="0"/>
      <w:adjustRightInd w:val="0"/>
    </w:pPr>
    <w:rPr>
      <w:rFonts w:ascii="Arial" w:eastAsia="Calibri" w:hAnsi="Arial" w:cs="Arial"/>
      <w:lang w:eastAsia="en-US"/>
    </w:rPr>
  </w:style>
  <w:style w:type="paragraph" w:styleId="ac">
    <w:name w:val="No Spacing"/>
    <w:uiPriority w:val="1"/>
    <w:qFormat/>
    <w:rsid w:val="000379B7"/>
    <w:rPr>
      <w:rFonts w:ascii="Calibri" w:eastAsia="Calibri" w:hAnsi="Calibri"/>
      <w:sz w:val="22"/>
      <w:szCs w:val="22"/>
      <w:lang w:eastAsia="en-US"/>
    </w:rPr>
  </w:style>
  <w:style w:type="character" w:customStyle="1" w:styleId="ConsPlusNormal0">
    <w:name w:val="ConsPlusNormal Знак"/>
    <w:link w:val="ConsPlusNormal"/>
    <w:locked/>
    <w:rsid w:val="000379B7"/>
    <w:rPr>
      <w:rFonts w:ascii="Arial" w:hAnsi="Arial" w:cs="Arial"/>
    </w:rPr>
  </w:style>
  <w:style w:type="paragraph" w:styleId="ad">
    <w:name w:val="Body Text"/>
    <w:basedOn w:val="a"/>
    <w:link w:val="ae"/>
    <w:uiPriority w:val="99"/>
    <w:unhideWhenUsed/>
    <w:rsid w:val="000C67C6"/>
    <w:pPr>
      <w:spacing w:after="120"/>
    </w:pPr>
  </w:style>
  <w:style w:type="character" w:customStyle="1" w:styleId="ae">
    <w:name w:val="Основной текст Знак"/>
    <w:basedOn w:val="a0"/>
    <w:link w:val="ad"/>
    <w:uiPriority w:val="99"/>
    <w:rsid w:val="000C67C6"/>
    <w:rPr>
      <w:sz w:val="24"/>
      <w:szCs w:val="24"/>
    </w:rPr>
  </w:style>
  <w:style w:type="paragraph" w:styleId="af">
    <w:name w:val="List Paragraph"/>
    <w:aliases w:val="Bullet List,FooterText,numbered,SL_Абзац списка,Нумерованый список,List Paragraph1,it_List1,Абзац списка литеральный,lp1,Paragraphe de liste1,Шапка 1,Заговок Марина,List Paragraph,Bullet Number,Индексы,Num Bullet 1,Абзац маркированнный"/>
    <w:basedOn w:val="a"/>
    <w:uiPriority w:val="34"/>
    <w:qFormat/>
    <w:rsid w:val="00F95CA0"/>
    <w:pPr>
      <w:ind w:left="720"/>
      <w:contextualSpacing/>
    </w:pPr>
  </w:style>
  <w:style w:type="paragraph" w:styleId="af0">
    <w:name w:val="footnote text"/>
    <w:aliases w:val="Знак,Знак2,Знак21,Знак6,Footnote Text Char Знак Знак,Footnote Text Char Знак,Footnote Text Char Знак Знак Знак Знак,Знак8 Знак,Знак8,Знак6 Знак,Знак4 Знак,Текст сноски Знак1,Знак4 Знак Знак,Текст сноски Знак1 Знак"/>
    <w:basedOn w:val="a"/>
    <w:link w:val="af1"/>
    <w:rsid w:val="004E119C"/>
    <w:pPr>
      <w:spacing w:after="60"/>
      <w:ind w:left="-426"/>
      <w:jc w:val="both"/>
    </w:pPr>
    <w:rPr>
      <w:sz w:val="18"/>
      <w:szCs w:val="18"/>
    </w:rPr>
  </w:style>
  <w:style w:type="character" w:customStyle="1" w:styleId="af1">
    <w:name w:val="Текст сноски Знак"/>
    <w:aliases w:val="Знак Знак,Знак2 Знак,Знак21 Знак,Знак6 Знак1,Footnote Text Char Знак Знак Знак,Footnote Text Char Знак Знак1,Footnote Text Char Знак Знак Знак Знак Знак,Знак8 Знак Знак,Знак8 Знак1,Знак6 Знак Знак,Знак4 Знак Знак1,Знак4 Знак Знак Знак"/>
    <w:basedOn w:val="a0"/>
    <w:link w:val="af0"/>
    <w:rsid w:val="004E119C"/>
    <w:rPr>
      <w:sz w:val="18"/>
      <w:szCs w:val="18"/>
    </w:rPr>
  </w:style>
  <w:style w:type="character" w:styleId="af2">
    <w:name w:val="footnote reference"/>
    <w:aliases w:val="Ссылка на сноску 45,Знак сноски-FN,Ciae niinee-FN,Знак сноски 1"/>
    <w:qFormat/>
    <w:rsid w:val="004E119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98383383">
      <w:bodyDiv w:val="1"/>
      <w:marLeft w:val="0"/>
      <w:marRight w:val="0"/>
      <w:marTop w:val="0"/>
      <w:marBottom w:val="0"/>
      <w:divBdr>
        <w:top w:val="none" w:sz="0" w:space="0" w:color="auto"/>
        <w:left w:val="none" w:sz="0" w:space="0" w:color="auto"/>
        <w:bottom w:val="none" w:sz="0" w:space="0" w:color="auto"/>
        <w:right w:val="none" w:sz="0" w:space="0" w:color="auto"/>
      </w:divBdr>
    </w:div>
    <w:div w:id="109274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7242E-3494-4B89-AEC8-CC53331C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561</Words>
  <Characters>3200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gfu</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km80_koa</dc:creator>
  <cp:lastModifiedBy>Евсевьева</cp:lastModifiedBy>
  <cp:revision>36</cp:revision>
  <cp:lastPrinted>2026-03-30T13:13:00Z</cp:lastPrinted>
  <dcterms:created xsi:type="dcterms:W3CDTF">2023-01-13T06:14:00Z</dcterms:created>
  <dcterms:modified xsi:type="dcterms:W3CDTF">2026-06-25T13:40:00Z</dcterms:modified>
</cp:coreProperties>
</file>