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6667A">
      <w:pPr>
        <w:pStyle w:val="11"/>
        <w:snapToGrid w:val="0"/>
        <w:jc w:val="center"/>
        <w:rPr>
          <w:rFonts w:eastAsia="Times New Roman"/>
          <w:b/>
          <w:kern w:val="0"/>
          <w:sz w:val="22"/>
          <w:szCs w:val="22"/>
          <w:lang w:eastAsia="ru-RU"/>
        </w:rPr>
      </w:pPr>
      <w:r>
        <w:rPr>
          <w:rFonts w:eastAsia="Times New Roman"/>
          <w:b/>
          <w:kern w:val="0"/>
          <w:sz w:val="22"/>
          <w:szCs w:val="22"/>
          <w:lang w:eastAsia="ru-RU"/>
        </w:rPr>
        <w:t>Расчет цены</w:t>
      </w:r>
    </w:p>
    <w:p w:rsidR="00000000" w:rsidRDefault="008B342B">
      <w:pPr>
        <w:jc w:val="center"/>
        <w:rPr>
          <w:b/>
          <w:bCs/>
          <w:sz w:val="22"/>
          <w:szCs w:val="22"/>
        </w:rPr>
      </w:pPr>
    </w:p>
    <w:p w:rsidR="0086667A" w:rsidRDefault="0086667A" w:rsidP="0086667A">
      <w:pPr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на закупку печатной техники </w:t>
      </w:r>
    </w:p>
    <w:p w:rsidR="0086667A" w:rsidRDefault="0086667A" w:rsidP="0086667A">
      <w:pPr>
        <w:jc w:val="center"/>
        <w:rPr>
          <w:sz w:val="21"/>
          <w:szCs w:val="21"/>
        </w:rPr>
      </w:pPr>
      <w:proofErr w:type="gramStart"/>
      <w:r>
        <w:rPr>
          <w:sz w:val="21"/>
          <w:szCs w:val="21"/>
        </w:rPr>
        <w:t>(взамен вышедшей из строя) (в сфере ИКТ)</w:t>
      </w:r>
      <w:proofErr w:type="gramEnd"/>
    </w:p>
    <w:p w:rsidR="00000000" w:rsidRDefault="008B342B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000000" w:rsidRDefault="008B342B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В соответстви</w:t>
      </w:r>
      <w:r>
        <w:rPr>
          <w:rFonts w:ascii="Times New Roman" w:hAnsi="Times New Roman" w:cs="Times New Roman"/>
          <w:sz w:val="22"/>
          <w:szCs w:val="22"/>
        </w:rPr>
        <w:t>и с п. 1 ч. 1 ст</w:t>
      </w:r>
      <w:r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 xml:space="preserve">тьи 22 Федерального закона от 05.04.2013 N 44-ФЗ «О контрактной системе в сфере закупок товаров, работ, услуг для обеспечения государственных и муниципальных нужд» и </w:t>
      </w:r>
      <w:r>
        <w:rPr>
          <w:rFonts w:ascii="Times New Roman" w:hAnsi="Times New Roman" w:cs="Times New Roman"/>
          <w:sz w:val="22"/>
          <w:szCs w:val="22"/>
          <w:lang w:eastAsia="en-US"/>
        </w:rPr>
        <w:t>Приказом Министерства Экономического развития Российской Федер</w:t>
      </w:r>
      <w:r>
        <w:rPr>
          <w:rFonts w:ascii="Times New Roman" w:hAnsi="Times New Roman" w:cs="Times New Roman"/>
          <w:sz w:val="22"/>
          <w:szCs w:val="22"/>
          <w:lang w:eastAsia="en-US"/>
        </w:rPr>
        <w:t>а</w:t>
      </w:r>
      <w:r>
        <w:rPr>
          <w:rFonts w:ascii="Times New Roman" w:hAnsi="Times New Roman" w:cs="Times New Roman"/>
          <w:sz w:val="22"/>
          <w:szCs w:val="22"/>
          <w:lang w:eastAsia="en-US"/>
        </w:rPr>
        <w:t>ции от 2 о</w:t>
      </w:r>
      <w:r>
        <w:rPr>
          <w:rFonts w:ascii="Times New Roman" w:hAnsi="Times New Roman" w:cs="Times New Roman"/>
          <w:sz w:val="22"/>
          <w:szCs w:val="22"/>
          <w:lang w:eastAsia="en-US"/>
        </w:rPr>
        <w:t>ктября 2013 года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</w:t>
      </w:r>
      <w:proofErr w:type="gramEnd"/>
      <w:r>
        <w:rPr>
          <w:rFonts w:ascii="Times New Roman" w:hAnsi="Times New Roman" w:cs="Times New Roman"/>
          <w:sz w:val="22"/>
          <w:szCs w:val="22"/>
          <w:lang w:eastAsia="en-US"/>
        </w:rPr>
        <w:t xml:space="preserve"> п</w:t>
      </w:r>
      <w:r>
        <w:rPr>
          <w:rFonts w:ascii="Times New Roman" w:hAnsi="Times New Roman" w:cs="Times New Roman"/>
          <w:sz w:val="22"/>
          <w:szCs w:val="22"/>
          <w:lang w:eastAsia="en-US"/>
        </w:rPr>
        <w:t>о</w:t>
      </w:r>
      <w:r>
        <w:rPr>
          <w:rFonts w:ascii="Times New Roman" w:hAnsi="Times New Roman" w:cs="Times New Roman"/>
          <w:sz w:val="22"/>
          <w:szCs w:val="22"/>
          <w:lang w:eastAsia="en-US"/>
        </w:rPr>
        <w:t>ставщиком (подрядчиком, исполнителем) (далее – Приказ). Д</w:t>
      </w:r>
      <w:r>
        <w:rPr>
          <w:rFonts w:ascii="Times New Roman" w:hAnsi="Times New Roman" w:cs="Times New Roman"/>
          <w:sz w:val="22"/>
          <w:szCs w:val="22"/>
        </w:rPr>
        <w:t>анный метод я</w:t>
      </w:r>
      <w:r>
        <w:rPr>
          <w:rFonts w:ascii="Times New Roman" w:hAnsi="Times New Roman" w:cs="Times New Roman"/>
          <w:sz w:val="22"/>
          <w:szCs w:val="22"/>
        </w:rPr>
        <w:t>вляется приоритетным для определения и обоснования начальной (максимальной) цены контра</w:t>
      </w:r>
      <w:r>
        <w:rPr>
          <w:rFonts w:ascii="Times New Roman" w:hAnsi="Times New Roman" w:cs="Times New Roman"/>
          <w:sz w:val="22"/>
          <w:szCs w:val="22"/>
        </w:rPr>
        <w:t>к</w:t>
      </w:r>
      <w:r>
        <w:rPr>
          <w:rFonts w:ascii="Times New Roman" w:hAnsi="Times New Roman" w:cs="Times New Roman"/>
          <w:sz w:val="22"/>
          <w:szCs w:val="22"/>
        </w:rPr>
        <w:t>та.</w:t>
      </w:r>
    </w:p>
    <w:p w:rsidR="00000000" w:rsidRDefault="008B342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Согласно пункта 3.21 раздела 3 Приказа расчет НМЦК методом сопоставимых рыночных цен (анализа рынка) определяется по фо</w:t>
      </w:r>
      <w:r>
        <w:rPr>
          <w:rFonts w:eastAsia="Calibri"/>
          <w:sz w:val="22"/>
          <w:szCs w:val="22"/>
          <w:lang w:eastAsia="en-US"/>
        </w:rPr>
        <w:t>р</w:t>
      </w:r>
      <w:r>
        <w:rPr>
          <w:rFonts w:eastAsia="Calibri"/>
          <w:sz w:val="22"/>
          <w:szCs w:val="22"/>
          <w:lang w:eastAsia="en-US"/>
        </w:rPr>
        <w:t>муле</w:t>
      </w:r>
      <w:proofErr w:type="gramStart"/>
      <w:r>
        <w:rPr>
          <w:rFonts w:eastAsia="Calibri"/>
          <w:sz w:val="22"/>
          <w:szCs w:val="22"/>
          <w:lang w:eastAsia="en-US"/>
        </w:rPr>
        <w:t>:</w:t>
      </w:r>
      <w:proofErr w:type="gramEnd"/>
    </w:p>
    <w:p w:rsidR="00000000" w:rsidRDefault="008B342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position w:val="-24"/>
          <w:sz w:val="22"/>
          <w:szCs w:val="22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8.4pt;height:31.7pt">
            <v:imagedata r:id="rId8" o:title=""/>
          </v:shape>
        </w:pict>
      </w:r>
      <w:r>
        <w:rPr>
          <w:rFonts w:eastAsia="Calibri"/>
          <w:sz w:val="22"/>
          <w:szCs w:val="22"/>
          <w:lang w:eastAsia="en-US"/>
        </w:rPr>
        <w:t xml:space="preserve">, где: </w:t>
      </w:r>
      <w:r>
        <w:rPr>
          <w:rFonts w:eastAsia="Calibri"/>
          <w:position w:val="-10"/>
          <w:sz w:val="22"/>
          <w:szCs w:val="22"/>
          <w:lang w:eastAsia="en-US"/>
        </w:rPr>
        <w:pict>
          <v:shape id="_x0000_i1026" type="#_x0000_t75" style="width:53.2pt;height:17.75pt">
            <v:imagedata r:id="rId9" o:title=""/>
          </v:shape>
        </w:pict>
      </w:r>
      <w:r>
        <w:rPr>
          <w:rFonts w:eastAsia="Calibri"/>
          <w:sz w:val="22"/>
          <w:szCs w:val="22"/>
          <w:lang w:eastAsia="en-US"/>
        </w:rPr>
        <w:t xml:space="preserve"> - НМЦК, определяемая методом</w:t>
      </w:r>
      <w:r>
        <w:rPr>
          <w:rFonts w:eastAsia="Calibri"/>
          <w:sz w:val="22"/>
          <w:szCs w:val="22"/>
          <w:lang w:eastAsia="en-US"/>
        </w:rPr>
        <w:t xml:space="preserve"> сопоставимых рыночных цен (анализа рынка); </w:t>
      </w:r>
      <w:proofErr w:type="spellStart"/>
      <w:r>
        <w:rPr>
          <w:rFonts w:eastAsia="Calibri"/>
          <w:sz w:val="22"/>
          <w:szCs w:val="22"/>
          <w:lang w:eastAsia="en-US"/>
        </w:rPr>
        <w:t>v</w:t>
      </w:r>
      <w:proofErr w:type="spellEnd"/>
      <w:r>
        <w:rPr>
          <w:rFonts w:eastAsia="Calibri"/>
          <w:sz w:val="22"/>
          <w:szCs w:val="22"/>
          <w:lang w:eastAsia="en-US"/>
        </w:rPr>
        <w:t xml:space="preserve"> - количество (объем) зак</w:t>
      </w:r>
      <w:r>
        <w:rPr>
          <w:rFonts w:eastAsia="Calibri"/>
          <w:sz w:val="22"/>
          <w:szCs w:val="22"/>
          <w:lang w:eastAsia="en-US"/>
        </w:rPr>
        <w:t>у</w:t>
      </w:r>
      <w:r>
        <w:rPr>
          <w:rFonts w:eastAsia="Calibri"/>
          <w:sz w:val="22"/>
          <w:szCs w:val="22"/>
          <w:lang w:eastAsia="en-US"/>
        </w:rPr>
        <w:t>паемого товара (работы, услуги);</w:t>
      </w:r>
    </w:p>
    <w:p w:rsidR="00000000" w:rsidRDefault="008B342B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proofErr w:type="spellStart"/>
      <w:r>
        <w:rPr>
          <w:rFonts w:eastAsia="Calibri"/>
          <w:sz w:val="22"/>
          <w:szCs w:val="22"/>
          <w:lang w:eastAsia="en-US"/>
        </w:rPr>
        <w:t>n</w:t>
      </w:r>
      <w:proofErr w:type="spellEnd"/>
      <w:r>
        <w:rPr>
          <w:rFonts w:eastAsia="Calibri"/>
          <w:sz w:val="22"/>
          <w:szCs w:val="22"/>
          <w:lang w:eastAsia="en-US"/>
        </w:rPr>
        <w:t xml:space="preserve"> - количество значений, используемых в расчете; </w:t>
      </w:r>
      <w:proofErr w:type="spellStart"/>
      <w:r>
        <w:rPr>
          <w:rFonts w:eastAsia="Calibri"/>
          <w:sz w:val="22"/>
          <w:szCs w:val="22"/>
          <w:lang w:eastAsia="en-US"/>
        </w:rPr>
        <w:t>i</w:t>
      </w:r>
      <w:proofErr w:type="spellEnd"/>
      <w:r>
        <w:rPr>
          <w:rFonts w:eastAsia="Calibri"/>
          <w:sz w:val="22"/>
          <w:szCs w:val="22"/>
          <w:lang w:eastAsia="en-US"/>
        </w:rPr>
        <w:t xml:space="preserve"> - номер источника ценовой информации; </w:t>
      </w:r>
      <w:r>
        <w:rPr>
          <w:rFonts w:eastAsia="Calibri"/>
          <w:position w:val="-12"/>
          <w:sz w:val="22"/>
          <w:szCs w:val="22"/>
          <w:lang w:eastAsia="en-US"/>
        </w:rPr>
        <w:pict>
          <v:shape id="_x0000_i1027" type="#_x0000_t75" style="width:12.35pt;height:17.75pt">
            <v:imagedata r:id="rId10" o:title=""/>
          </v:shape>
        </w:pict>
      </w:r>
      <w:r>
        <w:rPr>
          <w:rFonts w:eastAsia="Calibri"/>
          <w:sz w:val="22"/>
          <w:szCs w:val="22"/>
          <w:lang w:eastAsia="en-US"/>
        </w:rPr>
        <w:t xml:space="preserve"> - ц</w:t>
      </w:r>
      <w:r>
        <w:rPr>
          <w:rFonts w:eastAsia="Calibri"/>
          <w:sz w:val="22"/>
          <w:szCs w:val="22"/>
          <w:lang w:eastAsia="en-US"/>
        </w:rPr>
        <w:t>е</w:t>
      </w:r>
      <w:r>
        <w:rPr>
          <w:rFonts w:eastAsia="Calibri"/>
          <w:sz w:val="22"/>
          <w:szCs w:val="22"/>
          <w:lang w:eastAsia="en-US"/>
        </w:rPr>
        <w:t>на единицы товара, работы, услуги, представленная в источ</w:t>
      </w:r>
      <w:r>
        <w:rPr>
          <w:rFonts w:eastAsia="Calibri"/>
          <w:sz w:val="22"/>
          <w:szCs w:val="22"/>
          <w:lang w:eastAsia="en-US"/>
        </w:rPr>
        <w:t xml:space="preserve">нике с номером </w:t>
      </w:r>
      <w:proofErr w:type="spellStart"/>
      <w:r>
        <w:rPr>
          <w:rFonts w:eastAsia="Calibri"/>
          <w:sz w:val="22"/>
          <w:szCs w:val="22"/>
          <w:lang w:eastAsia="en-US"/>
        </w:rPr>
        <w:t>i</w:t>
      </w:r>
      <w:proofErr w:type="spellEnd"/>
      <w:r>
        <w:rPr>
          <w:rFonts w:eastAsia="Calibri"/>
          <w:sz w:val="22"/>
          <w:szCs w:val="22"/>
          <w:lang w:eastAsia="en-US"/>
        </w:rPr>
        <w:t>.</w:t>
      </w:r>
    </w:p>
    <w:p w:rsidR="00000000" w:rsidRDefault="008B342B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000000" w:rsidRDefault="008B342B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47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5"/>
        <w:gridCol w:w="3124"/>
        <w:gridCol w:w="1474"/>
        <w:gridCol w:w="1176"/>
        <w:gridCol w:w="814"/>
        <w:gridCol w:w="1200"/>
        <w:gridCol w:w="1200"/>
        <w:gridCol w:w="1200"/>
        <w:gridCol w:w="1067"/>
        <w:gridCol w:w="1535"/>
        <w:gridCol w:w="1791"/>
      </w:tblGrid>
      <w:tr w:rsidR="00000000">
        <w:trPr>
          <w:trHeight w:val="1120"/>
          <w:jc w:val="center"/>
        </w:trPr>
        <w:tc>
          <w:tcPr>
            <w:tcW w:w="164" w:type="pct"/>
            <w:vAlign w:val="center"/>
          </w:tcPr>
          <w:p w:rsidR="00000000" w:rsidRDefault="008B342B">
            <w:pPr>
              <w:pStyle w:val="ConsPlusNormal"/>
              <w:ind w:left="-9" w:firstLine="0"/>
              <w:jc w:val="center"/>
              <w:rPr>
                <w:rFonts w:ascii="Times New Roman" w:hAnsi="Times New Roman" w:cs="Times New Roman"/>
                <w:b/>
                <w:bCs/>
                <w:position w:val="-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1036" w:type="pct"/>
            <w:vAlign w:val="center"/>
          </w:tcPr>
          <w:p w:rsidR="00000000" w:rsidRDefault="008B34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position w:val="-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продукции</w:t>
            </w:r>
          </w:p>
        </w:tc>
        <w:tc>
          <w:tcPr>
            <w:tcW w:w="489" w:type="pct"/>
            <w:vAlign w:val="center"/>
          </w:tcPr>
          <w:p w:rsidR="00000000" w:rsidRDefault="008B342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Коэффициент вариации цен,</w:t>
            </w:r>
          </w:p>
          <w:p w:rsidR="00000000" w:rsidRDefault="008B34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position w:val="-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390" w:type="pct"/>
            <w:vAlign w:val="center"/>
          </w:tcPr>
          <w:p w:rsidR="00000000" w:rsidRDefault="008B34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position w:val="-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Единица измерения</w:t>
            </w:r>
          </w:p>
        </w:tc>
        <w:tc>
          <w:tcPr>
            <w:tcW w:w="270" w:type="pct"/>
            <w:vAlign w:val="center"/>
          </w:tcPr>
          <w:p w:rsidR="00000000" w:rsidRDefault="008B34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position w:val="-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Коли-чество</w:t>
            </w:r>
            <w:proofErr w:type="spellEnd"/>
            <w:proofErr w:type="gramEnd"/>
          </w:p>
        </w:tc>
        <w:tc>
          <w:tcPr>
            <w:tcW w:w="398" w:type="pct"/>
            <w:shd w:val="clear" w:color="auto" w:fill="auto"/>
            <w:vAlign w:val="center"/>
          </w:tcPr>
          <w:p w:rsidR="00000000" w:rsidRDefault="008B34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№ 1 (входящий В-140-6140 от</w:t>
            </w:r>
            <w:proofErr w:type="gramEnd"/>
          </w:p>
          <w:p w:rsidR="00000000" w:rsidRDefault="008B342B">
            <w:pPr>
              <w:jc w:val="center"/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bCs/>
                <w:sz w:val="20"/>
                <w:szCs w:val="20"/>
              </w:rPr>
              <w:t>28.0</w:t>
            </w:r>
            <w:r>
              <w:rPr>
                <w:b/>
                <w:bCs/>
                <w:sz w:val="20"/>
                <w:szCs w:val="20"/>
                <w:lang w:val="en-US"/>
              </w:rPr>
              <w:t>7</w:t>
            </w:r>
            <w:r>
              <w:rPr>
                <w:b/>
                <w:bCs/>
                <w:sz w:val="20"/>
                <w:szCs w:val="20"/>
              </w:rPr>
              <w:t>.2026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b/>
                <w:bCs/>
                <w:sz w:val="20"/>
                <w:szCs w:val="20"/>
              </w:rPr>
              <w:t>(руб./шт.)</w:t>
            </w:r>
          </w:p>
        </w:tc>
        <w:tc>
          <w:tcPr>
            <w:tcW w:w="398" w:type="pct"/>
            <w:vAlign w:val="center"/>
          </w:tcPr>
          <w:p w:rsidR="00000000" w:rsidRDefault="008B342B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>
              <w:rPr>
                <w:b/>
                <w:bCs/>
                <w:sz w:val="20"/>
                <w:szCs w:val="20"/>
              </w:rPr>
              <w:t>№ 2 (входящий В-140-6139 от 28.07.2026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b/>
                <w:bCs/>
                <w:sz w:val="20"/>
                <w:szCs w:val="20"/>
              </w:rPr>
              <w:t>(руб./шт.)</w:t>
            </w:r>
          </w:p>
        </w:tc>
        <w:tc>
          <w:tcPr>
            <w:tcW w:w="398" w:type="pct"/>
            <w:vAlign w:val="center"/>
          </w:tcPr>
          <w:p w:rsidR="00000000" w:rsidRDefault="008B342B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>
              <w:rPr>
                <w:b/>
                <w:bCs/>
                <w:sz w:val="20"/>
                <w:szCs w:val="20"/>
              </w:rPr>
              <w:t>№ 3 (входящий В-140-6141 от 28.07.2026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b/>
                <w:bCs/>
                <w:sz w:val="20"/>
                <w:szCs w:val="20"/>
              </w:rPr>
              <w:t>(руб./шт.)</w:t>
            </w:r>
          </w:p>
        </w:tc>
        <w:tc>
          <w:tcPr>
            <w:tcW w:w="354" w:type="pct"/>
            <w:vAlign w:val="center"/>
          </w:tcPr>
          <w:p w:rsidR="00000000" w:rsidRDefault="008B34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position w:val="-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Средняя цена за ед. 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 (руб.)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>*</w:t>
            </w:r>
          </w:p>
        </w:tc>
        <w:tc>
          <w:tcPr>
            <w:tcW w:w="509" w:type="pct"/>
            <w:vAlign w:val="center"/>
          </w:tcPr>
          <w:p w:rsidR="00000000" w:rsidRDefault="008B34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position w:val="-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Средняя цена за единицу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 с учетом округления до сотых долей после запятой, руб.</w:t>
            </w:r>
          </w:p>
        </w:tc>
        <w:tc>
          <w:tcPr>
            <w:tcW w:w="594" w:type="pct"/>
            <w:vAlign w:val="center"/>
          </w:tcPr>
          <w:p w:rsidR="00000000" w:rsidRDefault="008B34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Н(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М)ЦК с учетом округления цены за ед. </w:t>
            </w:r>
            <w:proofErr w:type="spellStart"/>
            <w:r>
              <w:rPr>
                <w:b/>
                <w:bCs/>
                <w:sz w:val="20"/>
                <w:szCs w:val="20"/>
              </w:rPr>
              <w:t>изм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:rsidR="00000000" w:rsidRDefault="008B34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position w:val="-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(руб.)</w:t>
            </w:r>
          </w:p>
        </w:tc>
      </w:tr>
      <w:tr w:rsidR="00000000">
        <w:trPr>
          <w:trHeight w:val="70"/>
          <w:jc w:val="center"/>
        </w:trPr>
        <w:tc>
          <w:tcPr>
            <w:tcW w:w="164" w:type="pct"/>
            <w:vAlign w:val="center"/>
          </w:tcPr>
          <w:p w:rsidR="00000000" w:rsidRDefault="008B342B">
            <w:pPr>
              <w:pStyle w:val="ab"/>
              <w:numPr>
                <w:ilvl w:val="0"/>
                <w:numId w:val="15"/>
              </w:numPr>
              <w:tabs>
                <w:tab w:val="left" w:pos="720"/>
              </w:tabs>
              <w:autoSpaceDE w:val="0"/>
              <w:autoSpaceDN w:val="0"/>
              <w:adjustRightInd w:val="0"/>
              <w:spacing w:line="264" w:lineRule="auto"/>
              <w:ind w:left="-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pct"/>
          </w:tcPr>
          <w:p w:rsidR="00000000" w:rsidRDefault="008B3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Принтер</w:t>
            </w:r>
          </w:p>
        </w:tc>
        <w:tc>
          <w:tcPr>
            <w:tcW w:w="489" w:type="pct"/>
            <w:vAlign w:val="center"/>
          </w:tcPr>
          <w:p w:rsidR="00000000" w:rsidRDefault="008B342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1,</w:t>
            </w:r>
            <w:r>
              <w:rPr>
                <w:color w:val="000000"/>
                <w:sz w:val="20"/>
                <w:szCs w:val="20"/>
                <w:lang w:val="en-US"/>
              </w:rPr>
              <w:t>86</w:t>
            </w:r>
          </w:p>
        </w:tc>
        <w:tc>
          <w:tcPr>
            <w:tcW w:w="390" w:type="pct"/>
            <w:vAlign w:val="center"/>
          </w:tcPr>
          <w:p w:rsidR="00000000" w:rsidRDefault="008B34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70" w:type="pct"/>
            <w:vAlign w:val="center"/>
          </w:tcPr>
          <w:p w:rsidR="00000000" w:rsidRDefault="008B342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98" w:type="pct"/>
            <w:vAlign w:val="center"/>
          </w:tcPr>
          <w:p w:rsidR="00000000" w:rsidRDefault="008B342B">
            <w:pPr>
              <w:pStyle w:val="TableParagraph"/>
              <w:spacing w:line="182" w:lineRule="exact"/>
              <w:jc w:val="center"/>
              <w:rPr>
                <w:rFonts w:ascii="Times New Roman" w:eastAsia="Times New Roman" w:hAnsi="Times New Roman"/>
                <w:sz w:val="20"/>
                <w:szCs w:val="16"/>
              </w:rPr>
            </w:pPr>
            <w:r>
              <w:rPr>
                <w:rFonts w:ascii="Times New Roman" w:eastAsia="Times New Roman" w:hAnsi="Times New Roman"/>
                <w:sz w:val="20"/>
                <w:szCs w:val="16"/>
              </w:rPr>
              <w:t>20761</w:t>
            </w:r>
            <w:r>
              <w:rPr>
                <w:rFonts w:ascii="Times New Roman" w:eastAsia="Times New Roman" w:hAnsi="Times New Roman"/>
                <w:sz w:val="20"/>
                <w:szCs w:val="16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16"/>
              </w:rPr>
              <w:t>56</w:t>
            </w:r>
          </w:p>
        </w:tc>
        <w:tc>
          <w:tcPr>
            <w:tcW w:w="398" w:type="pct"/>
            <w:vAlign w:val="center"/>
          </w:tcPr>
          <w:p w:rsidR="00000000" w:rsidRDefault="008B342B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  <w:lang w:val="en-US"/>
              </w:rPr>
              <w:t>20114,22</w:t>
            </w:r>
            <w:r>
              <w:rPr>
                <w:sz w:val="20"/>
                <w:szCs w:val="16"/>
              </w:rPr>
              <w:t xml:space="preserve"> </w:t>
            </w:r>
          </w:p>
        </w:tc>
        <w:tc>
          <w:tcPr>
            <w:tcW w:w="398" w:type="pct"/>
            <w:vAlign w:val="center"/>
          </w:tcPr>
          <w:p w:rsidR="00000000" w:rsidRDefault="008B342B">
            <w:pPr>
              <w:pStyle w:val="TableParagraph"/>
              <w:jc w:val="center"/>
              <w:rPr>
                <w:rFonts w:ascii="Times New Roman" w:eastAsia="Times New Roman" w:hAnsi="Times New Roman"/>
                <w:sz w:val="20"/>
                <w:szCs w:val="16"/>
              </w:rPr>
            </w:pPr>
            <w:r>
              <w:rPr>
                <w:rFonts w:ascii="Times New Roman" w:eastAsia="Times New Roman" w:hAnsi="Times New Roman"/>
                <w:sz w:val="20"/>
                <w:szCs w:val="16"/>
              </w:rPr>
              <w:t>20792</w:t>
            </w:r>
            <w:r>
              <w:rPr>
                <w:rFonts w:ascii="Times New Roman" w:eastAsia="Times New Roman" w:hAnsi="Times New Roman"/>
                <w:sz w:val="20"/>
                <w:szCs w:val="16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16"/>
              </w:rPr>
              <w:t>22</w:t>
            </w:r>
          </w:p>
        </w:tc>
        <w:tc>
          <w:tcPr>
            <w:tcW w:w="354" w:type="pct"/>
            <w:vAlign w:val="center"/>
          </w:tcPr>
          <w:p w:rsidR="00000000" w:rsidRDefault="008B3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20556,00</w:t>
            </w:r>
          </w:p>
        </w:tc>
        <w:tc>
          <w:tcPr>
            <w:tcW w:w="509" w:type="pct"/>
            <w:vAlign w:val="center"/>
          </w:tcPr>
          <w:p w:rsidR="00000000" w:rsidRDefault="008B3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20556,00</w:t>
            </w:r>
          </w:p>
        </w:tc>
        <w:tc>
          <w:tcPr>
            <w:tcW w:w="594" w:type="pct"/>
            <w:vAlign w:val="center"/>
          </w:tcPr>
          <w:p w:rsidR="00000000" w:rsidRDefault="008B3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20556</w:t>
            </w:r>
            <w:r>
              <w:rPr>
                <w:sz w:val="20"/>
                <w:szCs w:val="20"/>
              </w:rPr>
              <w:t>,00</w:t>
            </w:r>
          </w:p>
        </w:tc>
      </w:tr>
      <w:tr w:rsidR="00000000">
        <w:trPr>
          <w:trHeight w:val="70"/>
          <w:jc w:val="center"/>
        </w:trPr>
        <w:tc>
          <w:tcPr>
            <w:tcW w:w="4406" w:type="pct"/>
            <w:gridSpan w:val="10"/>
            <w:vAlign w:val="center"/>
          </w:tcPr>
          <w:p w:rsidR="00000000" w:rsidRDefault="008B34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594" w:type="pct"/>
            <w:vAlign w:val="center"/>
          </w:tcPr>
          <w:p w:rsidR="00000000" w:rsidRDefault="008B342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20556,00</w:t>
            </w:r>
          </w:p>
        </w:tc>
      </w:tr>
    </w:tbl>
    <w:p w:rsidR="00000000" w:rsidRDefault="008B342B">
      <w:pPr>
        <w:jc w:val="both"/>
        <w:rPr>
          <w:rFonts w:eastAsia="Calibri"/>
          <w:sz w:val="22"/>
          <w:szCs w:val="22"/>
          <w:lang w:eastAsia="en-US"/>
        </w:rPr>
      </w:pPr>
    </w:p>
    <w:p w:rsidR="00000000" w:rsidRDefault="008B342B">
      <w:pPr>
        <w:ind w:firstLine="708"/>
        <w:jc w:val="both"/>
        <w:rPr>
          <w:color w:val="000000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Начальная (максимальная) цена государственного контракта, рассчитанная методом сопоставимых рыночных цен (анализа рынка), составляет </w:t>
      </w:r>
      <w:r>
        <w:rPr>
          <w:b/>
          <w:bCs/>
          <w:sz w:val="20"/>
          <w:szCs w:val="20"/>
        </w:rPr>
        <w:t>20556,00</w:t>
      </w:r>
      <w:r>
        <w:rPr>
          <w:rFonts w:eastAsia="Calibri"/>
          <w:b/>
          <w:sz w:val="22"/>
          <w:szCs w:val="22"/>
          <w:lang w:eastAsia="en-US"/>
        </w:rPr>
        <w:t xml:space="preserve"> </w:t>
      </w:r>
      <w:r>
        <w:rPr>
          <w:rFonts w:eastAsia="Calibri"/>
          <w:b/>
          <w:sz w:val="22"/>
          <w:szCs w:val="22"/>
          <w:lang w:eastAsia="en-US"/>
        </w:rPr>
        <w:br/>
        <w:t>(двадцать тысяч пятьсот пятьдесят шесть) рублей 00 коп.</w:t>
      </w:r>
    </w:p>
    <w:p w:rsidR="00000000" w:rsidRDefault="008B342B">
      <w:pPr>
        <w:pStyle w:val="ConsPlusNorma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Коэффициент вариации определен по форму</w:t>
      </w:r>
      <w:r>
        <w:rPr>
          <w:rFonts w:ascii="Times New Roman" w:hAnsi="Times New Roman" w:cs="Times New Roman"/>
          <w:sz w:val="22"/>
          <w:szCs w:val="22"/>
        </w:rPr>
        <w:t xml:space="preserve">ле     </w:t>
      </w:r>
      <w:r>
        <w:rPr>
          <w:rFonts w:ascii="Times New Roman" w:hAnsi="Times New Roman" w:cs="Times New Roman"/>
          <w:noProof/>
          <w:position w:val="-28"/>
          <w:sz w:val="22"/>
          <w:szCs w:val="22"/>
        </w:rPr>
        <w:pict>
          <v:shape id="Рисунок 2" o:spid="_x0000_i1028" type="#_x0000_t75" style="width:95.1pt;height:33.3pt;visibility:visible">
            <v:imagedata r:id="rId11" o:title=""/>
          </v:shape>
        </w:pict>
      </w:r>
      <w:r>
        <w:rPr>
          <w:rFonts w:ascii="Times New Roman" w:hAnsi="Times New Roman" w:cs="Times New Roman"/>
          <w:sz w:val="22"/>
          <w:szCs w:val="22"/>
        </w:rPr>
        <w:t xml:space="preserve"> (Приказ Министерства экономического развития № 567 от 02.10.2013 г.)  </w:t>
      </w:r>
    </w:p>
    <w:p w:rsidR="00000000" w:rsidRDefault="008B342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* Начальная максимальная цена контракта сформирована заказчиком в соответствии с Приказом Министерства экономического развития РФ от 2 октября 2013 г. N 567 "Об утверждении Мет</w:t>
      </w:r>
      <w:r>
        <w:rPr>
          <w:sz w:val="22"/>
          <w:szCs w:val="22"/>
        </w:rPr>
        <w:t>одических рекомендаций по применению методов определения начальной (максимальной) цены государственного контракта, цены контракта, заключаемого с единстве</w:t>
      </w:r>
      <w:r>
        <w:rPr>
          <w:sz w:val="22"/>
          <w:szCs w:val="22"/>
        </w:rPr>
        <w:t>н</w:t>
      </w:r>
      <w:r>
        <w:rPr>
          <w:sz w:val="22"/>
          <w:szCs w:val="22"/>
        </w:rPr>
        <w:t>ным поставщиком (подрядчиком, исполнителем)".</w:t>
      </w:r>
    </w:p>
    <w:p w:rsidR="00000000" w:rsidRDefault="008B342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Данный приказ не учитывает, что применение утвержденн</w:t>
      </w:r>
      <w:r>
        <w:rPr>
          <w:sz w:val="22"/>
          <w:szCs w:val="22"/>
        </w:rPr>
        <w:t xml:space="preserve">ых формул определения начальной максимальной цены  государственного контракта  может привести к формированию цены государственного контракта и цены за единицу товара  с </w:t>
      </w:r>
      <w:proofErr w:type="gramStart"/>
      <w:r>
        <w:rPr>
          <w:sz w:val="22"/>
          <w:szCs w:val="22"/>
        </w:rPr>
        <w:t>дробным</w:t>
      </w:r>
      <w:proofErr w:type="gramEnd"/>
      <w:r>
        <w:rPr>
          <w:sz w:val="22"/>
          <w:szCs w:val="22"/>
        </w:rPr>
        <w:t xml:space="preserve"> значениями (количес</w:t>
      </w:r>
      <w:r>
        <w:rPr>
          <w:sz w:val="22"/>
          <w:szCs w:val="22"/>
        </w:rPr>
        <w:t>т</w:t>
      </w:r>
      <w:r>
        <w:rPr>
          <w:sz w:val="22"/>
          <w:szCs w:val="22"/>
        </w:rPr>
        <w:t xml:space="preserve">во знаков после запятой превышает 2 знака). </w:t>
      </w:r>
    </w:p>
    <w:p w:rsidR="00000000" w:rsidRDefault="008B342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Программное </w:t>
      </w:r>
      <w:r>
        <w:rPr>
          <w:sz w:val="22"/>
          <w:szCs w:val="22"/>
        </w:rPr>
        <w:t>обеспечение не позволяет проводить операции с такими значениями, поэтому Заказчиком принято решение о применении о</w:t>
      </w:r>
      <w:r>
        <w:rPr>
          <w:sz w:val="22"/>
          <w:szCs w:val="22"/>
        </w:rPr>
        <w:t>к</w:t>
      </w:r>
      <w:r>
        <w:rPr>
          <w:sz w:val="22"/>
          <w:szCs w:val="22"/>
        </w:rPr>
        <w:t>ругления таких показателей</w:t>
      </w:r>
    </w:p>
    <w:p w:rsidR="008B342B" w:rsidRDefault="008B342B">
      <w:pPr>
        <w:jc w:val="both"/>
        <w:rPr>
          <w:sz w:val="22"/>
          <w:szCs w:val="22"/>
        </w:rPr>
      </w:pPr>
    </w:p>
    <w:sectPr w:rsidR="008B342B" w:rsidSect="0086667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42B" w:rsidRDefault="008B342B">
      <w:r>
        <w:separator/>
      </w:r>
    </w:p>
  </w:endnote>
  <w:endnote w:type="continuationSeparator" w:id="0">
    <w:p w:rsidR="008B342B" w:rsidRDefault="008B34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42B" w:rsidRDefault="008B342B">
      <w:r>
        <w:separator/>
      </w:r>
    </w:p>
  </w:footnote>
  <w:footnote w:type="continuationSeparator" w:id="0">
    <w:p w:rsidR="008B342B" w:rsidRDefault="008B34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AF843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C3EF4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EDC93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4C059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B30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6C4FE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8F6C3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81084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609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A92BA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0952F7"/>
    <w:multiLevelType w:val="hybridMultilevel"/>
    <w:tmpl w:val="4E08DF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74488B"/>
    <w:multiLevelType w:val="hybridMultilevel"/>
    <w:tmpl w:val="5044D346"/>
    <w:lvl w:ilvl="0" w:tplc="B9E04650">
      <w:start w:val="1"/>
      <w:numFmt w:val="decimal"/>
      <w:lvlText w:val="%1."/>
      <w:lvlJc w:val="left"/>
      <w:pPr>
        <w:ind w:left="70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>
    <w:nsid w:val="165C6E7C"/>
    <w:multiLevelType w:val="multilevel"/>
    <w:tmpl w:val="5FD60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4E3B14"/>
    <w:multiLevelType w:val="hybridMultilevel"/>
    <w:tmpl w:val="655E3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970E96"/>
    <w:multiLevelType w:val="hybridMultilevel"/>
    <w:tmpl w:val="B8C848B2"/>
    <w:lvl w:ilvl="0" w:tplc="53E60866">
      <w:start w:val="1"/>
      <w:numFmt w:val="decimal"/>
      <w:lvlText w:val="%1."/>
      <w:lvlJc w:val="right"/>
      <w:pPr>
        <w:tabs>
          <w:tab w:val="num" w:pos="56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0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667A"/>
    <w:rsid w:val="0086667A"/>
    <w:rsid w:val="008B3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aliases w:val=" Знак1 Знак Знак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Pr>
      <w:rFonts w:ascii="Arial" w:hAnsi="Arial" w:cs="Arial"/>
      <w:lang w:val="ru-RU" w:eastAsia="ru-RU" w:bidi="ar-SA"/>
    </w:rPr>
  </w:style>
  <w:style w:type="paragraph" w:customStyle="1" w:styleId="Normal">
    <w:name w:val="Normal"/>
    <w:pPr>
      <w:widowControl w:val="0"/>
      <w:ind w:firstLine="720"/>
    </w:pPr>
    <w:rPr>
      <w:rFonts w:ascii="Times New Roman" w:eastAsia="Times New Roman" w:hAnsi="Times New Roman"/>
      <w:snapToGrid w:val="0"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No Spacing"/>
    <w:basedOn w:val="a"/>
    <w:qFormat/>
    <w:rPr>
      <w:rFonts w:ascii="Calibri" w:hAnsi="Calibri"/>
      <w:sz w:val="22"/>
      <w:szCs w:val="22"/>
    </w:rPr>
  </w:style>
  <w:style w:type="character" w:styleId="a5">
    <w:name w:val="Hyperlink"/>
    <w:rPr>
      <w:color w:val="0000FF"/>
      <w:u w:val="single"/>
    </w:rPr>
  </w:style>
  <w:style w:type="paragraph" w:customStyle="1" w:styleId="11">
    <w:name w:val="Обычный11"/>
    <w:pPr>
      <w:suppressAutoHyphens/>
      <w:autoSpaceDE w:val="0"/>
    </w:pPr>
    <w:rPr>
      <w:rFonts w:ascii="Times New Roman" w:eastAsia="Arial" w:hAnsi="Times New Roman"/>
      <w:kern w:val="1"/>
      <w:lang w:eastAsia="ar-SA"/>
    </w:rPr>
  </w:style>
  <w:style w:type="table" w:styleId="a6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 Знак1"/>
    <w:basedOn w:val="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">
    <w:name w:val=" Знак3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0">
    <w:name w:val=" Знак Знак3 Знак"/>
    <w:basedOn w:val="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7">
    <w:name w:val="FollowedHyperlink"/>
    <w:rPr>
      <w:color w:val="800080"/>
      <w:u w:val="single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5">
    <w:name w:val="xl2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8">
    <w:name w:val=" Знак Знак Знак Знак Знак Знак"/>
    <w:basedOn w:val="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3">
    <w:name w:val="Основной текст Знак1"/>
    <w:link w:val="a9"/>
    <w:uiPriority w:val="99"/>
    <w:rPr>
      <w:rFonts w:ascii="Times New Roman" w:hAnsi="Times New Roman"/>
      <w:spacing w:val="10"/>
      <w:shd w:val="clear" w:color="auto" w:fill="FFFFFF"/>
    </w:rPr>
  </w:style>
  <w:style w:type="paragraph" w:styleId="a9">
    <w:name w:val="Body Text"/>
    <w:basedOn w:val="a"/>
    <w:link w:val="13"/>
    <w:uiPriority w:val="99"/>
    <w:pPr>
      <w:widowControl w:val="0"/>
      <w:shd w:val="clear" w:color="auto" w:fill="FFFFFF"/>
      <w:spacing w:after="600" w:line="302" w:lineRule="exact"/>
      <w:jc w:val="center"/>
    </w:pPr>
    <w:rPr>
      <w:rFonts w:eastAsia="Calibri"/>
      <w:spacing w:val="10"/>
      <w:sz w:val="20"/>
      <w:szCs w:val="20"/>
      <w:lang/>
    </w:rPr>
  </w:style>
  <w:style w:type="character" w:customStyle="1" w:styleId="aa">
    <w:name w:val="Основной текст Знак"/>
    <w:rPr>
      <w:rFonts w:ascii="Times New Roman" w:eastAsia="Times New Roman" w:hAnsi="Times New Roman"/>
      <w:sz w:val="24"/>
      <w:szCs w:val="24"/>
    </w:rPr>
  </w:style>
  <w:style w:type="character" w:customStyle="1" w:styleId="100">
    <w:name w:val="Основной текст + 10"/>
    <w:aliases w:val="5 pt20,Интервал 0 pt41"/>
    <w:uiPriority w:val="99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05">
    <w:name w:val="Основной текст + 105"/>
    <w:aliases w:val="5 pt19,Интервал 0 pt40"/>
    <w:uiPriority w:val="99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04">
    <w:name w:val="Основной текст + 104"/>
    <w:aliases w:val="5 pt17,Интервал 0 pt38"/>
    <w:uiPriority w:val="99"/>
    <w:rPr>
      <w:rFonts w:ascii="Times New Roman" w:hAnsi="Times New Roman" w:cs="Times New Roman"/>
      <w:noProof/>
      <w:spacing w:val="3"/>
      <w:sz w:val="21"/>
      <w:szCs w:val="21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b">
    <w:name w:val="List Paragraph"/>
    <w:basedOn w:val="a"/>
    <w:uiPriority w:val="99"/>
    <w:qFormat/>
    <w:pPr>
      <w:ind w:left="720"/>
    </w:p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089B39-9640-4A42-90CE-84AB7DC01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извещению о проведении запроса котировок</vt:lpstr>
    </vt:vector>
  </TitlesOfParts>
  <Company/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извещению о проведении запроса котировок</dc:title>
  <dc:creator>Дмитрий Зайцев</dc:creator>
  <cp:lastModifiedBy>Sirceva</cp:lastModifiedBy>
  <cp:revision>2</cp:revision>
  <cp:lastPrinted>2026-07-29T07:25:00Z</cp:lastPrinted>
  <dcterms:created xsi:type="dcterms:W3CDTF">2026-07-31T06:49:00Z</dcterms:created>
  <dcterms:modified xsi:type="dcterms:W3CDTF">2026-07-31T06:49:00Z</dcterms:modified>
</cp:coreProperties>
</file>