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32" w:leader="none"/>
        </w:tabs>
        <w:ind w:hanging="432" w:left="432"/>
        <w:jc w:val="right"/>
        <w:rPr>
          <w:rFonts w:ascii="Times New Roman CYR" w:hAnsi="Times New Roman CYR" w:cs="Times New Roman CYR"/>
          <w:b/>
          <w:bCs/>
        </w:rPr>
      </w:pPr>
      <w:r>
        <w:rPr>
          <w:rFonts w:cs="Times New Roman CYR" w:ascii="Times New Roman CYR" w:hAnsi="Times New Roman CYR"/>
          <w:b/>
          <w:bCs/>
        </w:rPr>
        <w:t>ПРОЕКТ</w:t>
      </w:r>
    </w:p>
    <w:p>
      <w:pPr>
        <w:pStyle w:val="Normal"/>
        <w:tabs>
          <w:tab w:val="clear" w:pos="708"/>
          <w:tab w:val="left" w:pos="432" w:leader="none"/>
        </w:tabs>
        <w:ind w:hanging="432" w:left="432"/>
        <w:jc w:val="center"/>
        <w:rPr>
          <w:rFonts w:ascii="Times New Roman CYR" w:hAnsi="Times New Roman CYR" w:cs="Times New Roman CYR"/>
          <w:b/>
          <w:bCs/>
        </w:rPr>
      </w:pPr>
      <w:r>
        <w:rPr>
          <w:rFonts w:cs="Times New Roman CYR" w:ascii="Times New Roman CYR" w:hAnsi="Times New Roman CYR"/>
          <w:b/>
          <w:bCs/>
        </w:rPr>
        <w:t xml:space="preserve">КОНТРАКТ № </w:t>
      </w:r>
    </w:p>
    <w:p>
      <w:pPr>
        <w:pStyle w:val="Normal"/>
        <w:tabs>
          <w:tab w:val="clear" w:pos="708"/>
          <w:tab w:val="left" w:pos="432" w:leader="none"/>
        </w:tabs>
        <w:ind w:hanging="432" w:left="432"/>
        <w:jc w:val="center"/>
        <w:rPr>
          <w:rFonts w:ascii="Times New Roman CYR" w:hAnsi="Times New Roman CYR" w:cs="Times New Roman CYR"/>
          <w:bCs/>
        </w:rPr>
      </w:pPr>
      <w:r>
        <w:rPr>
          <w:rFonts w:cs="Times New Roman CYR" w:ascii="Times New Roman CYR" w:hAnsi="Times New Roman CYR"/>
          <w:bCs/>
        </w:rPr>
        <w:t>оказание услуг по алмазному бурению отверстий</w:t>
      </w:r>
    </w:p>
    <w:p>
      <w:pPr>
        <w:pStyle w:val="Normal"/>
        <w:tabs>
          <w:tab w:val="clear" w:pos="708"/>
          <w:tab w:val="left" w:pos="432" w:leader="none"/>
        </w:tabs>
        <w:ind w:hanging="432" w:left="432"/>
        <w:jc w:val="center"/>
        <w:rPr>
          <w:rFonts w:ascii="Times New Roman CYR" w:hAnsi="Times New Roman CYR" w:cs="Times New Roman CYR"/>
          <w:b/>
          <w:bCs/>
        </w:rPr>
      </w:pPr>
      <w:r>
        <w:rPr>
          <w:rFonts w:cs="Times New Roman CYR" w:ascii="Times New Roman CYR" w:hAnsi="Times New Roman CYR"/>
          <w:b/>
          <w:bCs/>
        </w:rPr>
      </w:r>
    </w:p>
    <w:p>
      <w:pPr>
        <w:pStyle w:val="Normal"/>
        <w:numPr>
          <w:ilvl w:val="0"/>
          <w:numId w:val="0"/>
        </w:numPr>
        <w:tabs>
          <w:tab w:val="clear" w:pos="708"/>
          <w:tab w:val="right" w:pos="10490" w:leader="none"/>
        </w:tabs>
        <w:ind w:hanging="0" w:left="426"/>
        <w:jc w:val="both"/>
        <w:outlineLvl w:val="0"/>
        <w:rPr/>
      </w:pPr>
      <w:r>
        <w:rPr>
          <w:sz w:val="26"/>
          <w:szCs w:val="26"/>
        </w:rPr>
        <w:t>г. Белгород</w:t>
      </w:r>
      <w:r>
        <w:rPr>
          <w:sz w:val="28"/>
          <w:szCs w:val="28"/>
        </w:rPr>
        <w:t xml:space="preserve">                                                                         </w:t>
      </w:r>
      <w:r>
        <w:rPr>
          <w:sz w:val="26"/>
          <w:szCs w:val="26"/>
        </w:rPr>
        <w:t>«__» _______ 2026 г.</w:t>
      </w:r>
    </w:p>
    <w:p>
      <w:pPr>
        <w:pStyle w:val="Normal"/>
        <w:tabs>
          <w:tab w:val="clear" w:pos="708"/>
          <w:tab w:val="left" w:pos="1380" w:leader="none"/>
        </w:tabs>
        <w:jc w:val="both"/>
        <w:rPr>
          <w:sz w:val="28"/>
          <w:szCs w:val="28"/>
        </w:rPr>
      </w:pPr>
      <w:r>
        <w:rPr>
          <w:sz w:val="28"/>
          <w:szCs w:val="28"/>
        </w:rPr>
        <w:tab/>
      </w:r>
    </w:p>
    <w:p>
      <w:pPr>
        <w:pStyle w:val="Normal"/>
        <w:jc w:val="both"/>
        <w:rPr/>
      </w:pPr>
      <w:r>
        <w:rPr/>
        <w:tab/>
        <w:tab/>
      </w:r>
      <w:r>
        <w:rPr>
          <w:b/>
        </w:rPr>
        <w:t>Федеральное казенное учреждение «Главное бюро медико-социальной экспертизы по Белгородской области» Министерства труда и социальной защиты Российской Федерации</w:t>
      </w:r>
      <w:r>
        <w:rPr/>
        <w:t>, от</w:t>
      </w:r>
      <w:r>
        <w:rPr>
          <w:b/>
        </w:rPr>
        <w:t xml:space="preserve"> </w:t>
      </w:r>
      <w:r>
        <w:rPr/>
        <w:t>имени и в интересах Российской Федерации, в целях обеспечения государственных нужд, в лице Исполняющего обязанности руководителя-главного эксперта по медико-социальной экспертизе Курило Василия Ивановича, действующего на основании Устава, именуемый в дальнейшем «Заказчик» с одной стороны, и  _____________________, в лице _______________, действующего на основании _________________, именуемый в дальнейшем «Исполнитель»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pPr>
        <w:pStyle w:val="Normal"/>
        <w:jc w:val="both"/>
        <w:rPr>
          <w:b/>
          <w:bCs/>
          <w:sz w:val="26"/>
          <w:szCs w:val="26"/>
        </w:rPr>
      </w:pPr>
      <w:r>
        <w:rPr>
          <w:b/>
          <w:bCs/>
          <w:sz w:val="26"/>
          <w:szCs w:val="26"/>
        </w:rPr>
      </w:r>
    </w:p>
    <w:p>
      <w:pPr>
        <w:pStyle w:val="Normal"/>
        <w:numPr>
          <w:ilvl w:val="0"/>
          <w:numId w:val="2"/>
        </w:numPr>
        <w:jc w:val="center"/>
        <w:outlineLvl w:val="0"/>
        <w:rPr>
          <w:b/>
          <w:bCs/>
        </w:rPr>
      </w:pPr>
      <w:r>
        <w:rPr>
          <w:b/>
          <w:bCs/>
        </w:rPr>
        <w:t>ПРЕДМЕТ КОНТРАКТА</w:t>
      </w:r>
    </w:p>
    <w:p>
      <w:pPr>
        <w:pStyle w:val="Normal"/>
        <w:numPr>
          <w:ilvl w:val="1"/>
          <w:numId w:val="3"/>
        </w:numPr>
        <w:tabs>
          <w:tab w:val="clear" w:pos="708"/>
          <w:tab w:val="left" w:pos="993" w:leader="none"/>
        </w:tabs>
        <w:ind w:firstLine="567" w:left="0"/>
        <w:jc w:val="both"/>
        <w:rPr/>
      </w:pPr>
      <w:r>
        <w:rPr/>
        <w:t xml:space="preserve">По настоящему Контракту Исполнитель </w:t>
      </w:r>
      <w:r>
        <w:rPr>
          <w:rFonts w:cs="Times New Roman CYR" w:ascii="Times New Roman CYR" w:hAnsi="Times New Roman CYR"/>
          <w:bCs/>
        </w:rPr>
        <w:t>оказ</w:t>
      </w:r>
      <w:r>
        <w:rPr>
          <w:rFonts w:cs="Times New Roman CYR" w:ascii="Times New Roman CYR" w:hAnsi="Times New Roman CYR"/>
          <w:bCs/>
        </w:rPr>
        <w:t>ывает</w:t>
      </w:r>
      <w:r>
        <w:rPr>
          <w:rFonts w:cs="Times New Roman CYR" w:ascii="Times New Roman CYR" w:hAnsi="Times New Roman CYR"/>
          <w:bCs/>
        </w:rPr>
        <w:t xml:space="preserve"> услуг</w:t>
      </w:r>
      <w:r>
        <w:rPr>
          <w:rFonts w:cs="Times New Roman CYR" w:ascii="Times New Roman CYR" w:hAnsi="Times New Roman CYR"/>
          <w:bCs/>
        </w:rPr>
        <w:t>и</w:t>
      </w:r>
      <w:r>
        <w:rPr>
          <w:rFonts w:cs="Times New Roman CYR" w:ascii="Times New Roman CYR" w:hAnsi="Times New Roman CYR"/>
          <w:bCs/>
        </w:rPr>
        <w:t xml:space="preserve"> по алмазному бурению отверстий </w:t>
      </w:r>
      <w:r>
        <w:rPr>
          <w:rFonts w:cs="Times New Roman CYR" w:ascii="Times New Roman CYR" w:hAnsi="Times New Roman CYR"/>
          <w:bCs/>
        </w:rPr>
        <w:t>в стенах</w:t>
      </w:r>
      <w:r>
        <w:rPr/>
        <w:t xml:space="preserve">, в соответствии с Приложением 1 к настоящему Контракту. </w:t>
      </w:r>
      <w:r>
        <w:rPr>
          <w:sz w:val="24"/>
          <w:szCs w:val="24"/>
        </w:rPr>
        <w:t xml:space="preserve">В цену Контракта включена стоимость услуг, расходных материалов, </w:t>
      </w:r>
      <w:r>
        <w:rPr>
          <w:sz w:val="24"/>
          <w:szCs w:val="24"/>
          <w:lang w:eastAsia="zh-CN"/>
        </w:rPr>
        <w:t>налоги, сборы и иные обязательные платежи</w:t>
      </w:r>
      <w:r>
        <w:rPr/>
        <w:t xml:space="preserve">. </w:t>
      </w:r>
    </w:p>
    <w:p>
      <w:pPr>
        <w:pStyle w:val="Normal"/>
        <w:numPr>
          <w:ilvl w:val="1"/>
          <w:numId w:val="3"/>
        </w:numPr>
        <w:tabs>
          <w:tab w:val="clear" w:pos="708"/>
          <w:tab w:val="left" w:pos="993" w:leader="none"/>
        </w:tabs>
        <w:ind w:firstLine="567" w:left="0"/>
        <w:jc w:val="both"/>
        <w:rPr/>
      </w:pPr>
      <w:r>
        <w:rPr/>
        <w:t>Адрес оказания услуг — Белгородская обл., г. Старый Оскол ул. Мичурина, д. 4.</w:t>
      </w:r>
    </w:p>
    <w:p>
      <w:pPr>
        <w:pStyle w:val="Normal"/>
        <w:numPr>
          <w:ilvl w:val="1"/>
          <w:numId w:val="3"/>
        </w:numPr>
        <w:tabs>
          <w:tab w:val="clear" w:pos="708"/>
          <w:tab w:val="left" w:pos="993" w:leader="none"/>
        </w:tabs>
        <w:ind w:firstLine="567" w:left="0"/>
        <w:jc w:val="both"/>
        <w:rPr/>
      </w:pPr>
      <w:r>
        <w:rPr/>
        <w:t xml:space="preserve">Описание услуг — алмазное бурение отверстий в стенах. Количество отверстий — 5 шт, диаметр 20-50мм. </w:t>
      </w:r>
    </w:p>
    <w:p>
      <w:pPr>
        <w:pStyle w:val="Normal"/>
        <w:numPr>
          <w:ilvl w:val="1"/>
          <w:numId w:val="3"/>
        </w:numPr>
        <w:tabs>
          <w:tab w:val="clear" w:pos="708"/>
          <w:tab w:val="left" w:pos="993" w:leader="none"/>
        </w:tabs>
        <w:ind w:firstLine="567" w:left="0"/>
        <w:jc w:val="both"/>
        <w:rPr/>
      </w:pPr>
      <w:r>
        <w:rPr/>
        <w:t xml:space="preserve">Срок </w:t>
      </w:r>
      <w:r>
        <w:rPr/>
        <w:t>оказания услуг</w:t>
      </w:r>
      <w:r>
        <w:rPr/>
        <w:t xml:space="preserve"> – в течении </w:t>
      </w:r>
      <w:r>
        <w:rPr/>
        <w:t>7</w:t>
      </w:r>
      <w:r>
        <w:rPr/>
        <w:t xml:space="preserve"> календарных дней с даты заключения контракта. </w:t>
      </w:r>
    </w:p>
    <w:p>
      <w:pPr>
        <w:pStyle w:val="Normal"/>
        <w:numPr>
          <w:ilvl w:val="1"/>
          <w:numId w:val="3"/>
        </w:numPr>
        <w:tabs>
          <w:tab w:val="clear" w:pos="708"/>
          <w:tab w:val="left" w:pos="993" w:leader="none"/>
        </w:tabs>
        <w:ind w:firstLine="567" w:left="0"/>
        <w:jc w:val="both"/>
        <w:rPr/>
      </w:pPr>
      <w:r>
        <w:rPr>
          <w:bCs/>
          <w:sz w:val="22"/>
          <w:szCs w:val="22"/>
        </w:rPr>
        <w:t xml:space="preserve">ИКЗ 26 1 3123113850 312301001 0015 001 0000 244 </w:t>
      </w:r>
    </w:p>
    <w:p>
      <w:pPr>
        <w:pStyle w:val="ListParagraph"/>
        <w:rPr/>
      </w:pPr>
      <w:r>
        <w:rPr/>
      </w:r>
    </w:p>
    <w:p>
      <w:pPr>
        <w:pStyle w:val="Normal"/>
        <w:numPr>
          <w:ilvl w:val="0"/>
          <w:numId w:val="3"/>
        </w:numPr>
        <w:jc w:val="center"/>
        <w:outlineLvl w:val="0"/>
        <w:rPr>
          <w:rFonts w:ascii="Times New Roman CYR" w:hAnsi="Times New Roman CYR" w:cs="Times New Roman CYR"/>
          <w:b/>
          <w:bCs/>
        </w:rPr>
      </w:pPr>
      <w:r>
        <w:rPr>
          <w:rFonts w:cs="Times New Roman CYR" w:ascii="Times New Roman CYR" w:hAnsi="Times New Roman CYR"/>
          <w:b/>
          <w:bCs/>
        </w:rPr>
        <w:t>ЦЕНА КОНТРАКТА И ПОРЯДОК РАСЧЕТОВ.</w:t>
      </w:r>
    </w:p>
    <w:p>
      <w:pPr>
        <w:pStyle w:val="Normal"/>
        <w:widowControl/>
        <w:numPr>
          <w:ilvl w:val="0"/>
          <w:numId w:val="0"/>
        </w:numPr>
        <w:suppressAutoHyphens w:val="true"/>
        <w:bidi w:val="0"/>
        <w:spacing w:before="0" w:after="0"/>
        <w:ind w:firstLine="567" w:left="0" w:right="0"/>
        <w:jc w:val="both"/>
        <w:outlineLvl w:val="0"/>
        <w:rPr/>
      </w:pPr>
      <w:r>
        <w:rPr/>
        <w:t xml:space="preserve">2.1. Цена Контракта составляет – _____ (__________________) (в т.ч. НДС/НДС не предусмотрен) рублей 00 коп. Цена Контракта является твердой и определяется на весь срок исполнения Контракта. В цену включены стоимость запасных частей, расходных материалов, а так же работы по их замене.           </w:t>
      </w:r>
    </w:p>
    <w:p>
      <w:pPr>
        <w:pStyle w:val="Normal"/>
        <w:widowControl/>
        <w:suppressAutoHyphens w:val="true"/>
        <w:bidi w:val="0"/>
        <w:spacing w:before="0" w:after="0"/>
        <w:ind w:firstLine="567" w:left="0" w:right="0"/>
        <w:jc w:val="both"/>
        <w:rPr/>
      </w:pPr>
      <w:r>
        <w:rPr/>
        <w:t xml:space="preserve">2.2. Оплата  осуществляется Заказчиком по безналичному расчету в течение 7 рабочих дней с момента предоставления на акта выполненных работ, подписанной обеими сторонами. </w:t>
      </w:r>
    </w:p>
    <w:p>
      <w:pPr>
        <w:pStyle w:val="Normal"/>
        <w:widowControl/>
        <w:suppressAutoHyphens w:val="true"/>
        <w:bidi w:val="0"/>
        <w:spacing w:before="0" w:after="0"/>
        <w:ind w:firstLine="567" w:left="0" w:right="0"/>
        <w:jc w:val="both"/>
        <w:rPr/>
      </w:pPr>
      <w:r>
        <w:rPr/>
        <w:t>2.3. Обязательства Заказчика по оплате выполненных Исполнителем в отчетном периоде услуг считаются исполненными в полном объеме в момент списания денежных средств, с расчетного счета Заказчика.</w:t>
      </w:r>
    </w:p>
    <w:p>
      <w:pPr>
        <w:pStyle w:val="Normal"/>
        <w:widowControl/>
        <w:suppressAutoHyphens w:val="true"/>
        <w:bidi w:val="0"/>
        <w:spacing w:before="0" w:after="0"/>
        <w:ind w:firstLine="567" w:left="0" w:right="0"/>
        <w:jc w:val="both"/>
        <w:rPr/>
      </w:pPr>
      <w:r>
        <w:rPr/>
        <w:t>2.4. В случае изменения расчетного счета Исполнителя, Исполнитель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счете Исполнителя несет Исполнитель.</w:t>
      </w:r>
    </w:p>
    <w:p>
      <w:pPr>
        <w:pStyle w:val="Normal"/>
        <w:widowControl/>
        <w:suppressAutoHyphens w:val="true"/>
        <w:bidi w:val="0"/>
        <w:spacing w:before="0" w:after="0"/>
        <w:ind w:firstLine="567" w:left="0" w:right="0"/>
        <w:jc w:val="both"/>
        <w:rPr/>
      </w:pPr>
      <w:r>
        <w:rPr/>
        <w:t xml:space="preserve">2.5. Источник финансирования – средства федерального бюджета Российской </w:t>
      </w:r>
      <w:bookmarkStart w:id="0" w:name="_GoBack"/>
      <w:bookmarkEnd w:id="0"/>
      <w:r>
        <w:rPr/>
        <w:t>Федерации. Финансирование по настоящему контракту осуществляется за счет лимитов бюджетных обязательств 2026 года.</w:t>
      </w:r>
    </w:p>
    <w:p>
      <w:pPr>
        <w:pStyle w:val="Normal"/>
        <w:widowControl/>
        <w:suppressAutoHyphens w:val="true"/>
        <w:bidi w:val="0"/>
        <w:spacing w:before="0" w:after="0"/>
        <w:ind w:firstLine="567" w:left="0" w:right="0"/>
        <w:jc w:val="both"/>
        <w:rPr/>
      </w:pPr>
      <w:r>
        <w:rPr/>
        <w:t xml:space="preserve">2.6. КБК: 149 1002 04 4 02 90059 244 </w:t>
      </w:r>
    </w:p>
    <w:p>
      <w:pPr>
        <w:pStyle w:val="Normal"/>
        <w:widowControl/>
        <w:suppressAutoHyphens w:val="true"/>
        <w:bidi w:val="0"/>
        <w:spacing w:before="0" w:after="0"/>
        <w:ind w:firstLine="567" w:left="0" w:right="0"/>
        <w:jc w:val="both"/>
        <w:rPr/>
      </w:pPr>
      <w:r>
        <w:rPr/>
        <w:t xml:space="preserve">2.7. Авансирование не предусмотрено. </w:t>
      </w:r>
    </w:p>
    <w:p>
      <w:pPr>
        <w:pStyle w:val="Normal"/>
        <w:jc w:val="both"/>
        <w:rPr/>
      </w:pPr>
      <w:r>
        <w:rPr/>
      </w:r>
    </w:p>
    <w:p>
      <w:pPr>
        <w:pStyle w:val="Normal"/>
        <w:numPr>
          <w:ilvl w:val="0"/>
          <w:numId w:val="0"/>
        </w:numPr>
        <w:ind w:hanging="0" w:left="720"/>
        <w:jc w:val="center"/>
        <w:outlineLvl w:val="0"/>
        <w:rPr>
          <w:b/>
          <w:bCs/>
        </w:rPr>
      </w:pPr>
      <w:r>
        <w:rPr>
          <w:b/>
          <w:bCs/>
        </w:rPr>
        <w:t>3.СРОК ДЕЙСТВИЯ КОНТРАКТА</w:t>
      </w:r>
    </w:p>
    <w:p>
      <w:pPr>
        <w:pStyle w:val="Normal"/>
        <w:jc w:val="both"/>
        <w:rPr/>
      </w:pPr>
      <w:r>
        <w:rPr/>
        <w:t xml:space="preserve">           </w:t>
      </w:r>
      <w:r>
        <w:rPr/>
        <w:t xml:space="preserve">3.1. </w:t>
      </w:r>
      <w:r>
        <w:rPr>
          <w:rFonts w:cs="Times New Roman CYR" w:ascii="Times New Roman CYR" w:hAnsi="Times New Roman CYR"/>
        </w:rPr>
        <w:t xml:space="preserve">Настоящий </w:t>
      </w:r>
      <w:r>
        <w:rPr/>
        <w:t>Контракт</w:t>
      </w:r>
      <w:r>
        <w:rPr>
          <w:rFonts w:cs="Times New Roman CYR" w:ascii="Times New Roman CYR" w:hAnsi="Times New Roman CYR"/>
        </w:rPr>
        <w:t xml:space="preserve"> действует с момента заключения до полного исполнения обязательств по настоящему </w:t>
      </w:r>
      <w:r>
        <w:rPr/>
        <w:t>Контракт</w:t>
      </w:r>
      <w:r>
        <w:rPr>
          <w:rFonts w:cs="Times New Roman CYR" w:ascii="Times New Roman CYR" w:hAnsi="Times New Roman CYR"/>
        </w:rPr>
        <w:t>у, но не позднее 1</w:t>
      </w:r>
      <w:r>
        <w:rPr>
          <w:rFonts w:cs="Times New Roman CYR" w:ascii="Times New Roman CYR" w:hAnsi="Times New Roman CYR"/>
        </w:rPr>
        <w:t>0</w:t>
      </w:r>
      <w:r>
        <w:rPr>
          <w:rFonts w:cs="Times New Roman CYR" w:ascii="Times New Roman CYR" w:hAnsi="Times New Roman CYR"/>
        </w:rPr>
        <w:t xml:space="preserve"> августа 2026 года.</w:t>
      </w:r>
    </w:p>
    <w:p>
      <w:pPr>
        <w:pStyle w:val="Normal"/>
        <w:jc w:val="both"/>
        <w:rPr/>
      </w:pPr>
      <w:r>
        <w:rPr/>
        <w:tab/>
        <w:t>3.2. Настоящий Контракт может быть изменен или расторгнут по основаниям и в порядке, предусмотренном действующим законодательством.</w:t>
      </w:r>
    </w:p>
    <w:p>
      <w:pPr>
        <w:pStyle w:val="Normal"/>
        <w:ind w:firstLine="708"/>
        <w:jc w:val="both"/>
        <w:rPr/>
      </w:pPr>
      <w:r>
        <w:rPr/>
        <w:t>3.3. Настоящий Контракт составлен в 2-х экземплярах, имеющих одинаковую силу.</w:t>
      </w:r>
    </w:p>
    <w:p>
      <w:pPr>
        <w:pStyle w:val="Normal"/>
        <w:ind w:firstLine="708"/>
        <w:jc w:val="both"/>
        <w:rPr/>
      </w:pPr>
      <w:r>
        <w:rPr/>
      </w:r>
    </w:p>
    <w:p>
      <w:pPr>
        <w:pStyle w:val="Normal"/>
        <w:ind w:firstLine="709"/>
        <w:jc w:val="center"/>
        <w:rPr>
          <w:b/>
          <w:bCs/>
        </w:rPr>
      </w:pPr>
      <w:r>
        <w:rPr>
          <w:b/>
          <w:bCs/>
        </w:rPr>
        <w:t>4. ОБЯЗАННОСТИ СТОРОН</w:t>
      </w:r>
    </w:p>
    <w:p>
      <w:pPr>
        <w:pStyle w:val="Normal"/>
        <w:ind w:firstLine="567"/>
        <w:rPr/>
      </w:pPr>
      <w:r>
        <w:rPr/>
        <w:t xml:space="preserve">4.1. </w:t>
      </w:r>
      <w:r>
        <w:rPr>
          <w:b/>
        </w:rPr>
        <w:t>Исполнитель обязан</w:t>
      </w:r>
      <w:r>
        <w:rPr/>
        <w:t>:</w:t>
      </w:r>
    </w:p>
    <w:p>
      <w:pPr>
        <w:pStyle w:val="Normal"/>
        <w:ind w:firstLine="567"/>
        <w:jc w:val="both"/>
        <w:rPr/>
      </w:pPr>
      <w:r>
        <w:rPr/>
        <w:t>4.1.1. Оказать услуги, обеспечив их надлежащее качество в соответствии с требованиями соответствующих нормативно-правовых актов Российской Федерации, в сроки, объеме и на условиях, установленных Контрактом, в предусмотренный Контрактом срок;</w:t>
      </w:r>
    </w:p>
    <w:p>
      <w:pPr>
        <w:pStyle w:val="Normal"/>
        <w:ind w:firstLine="567"/>
        <w:jc w:val="both"/>
        <w:rPr/>
      </w:pPr>
      <w:r>
        <w:rPr/>
        <w:t>4.1.2.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ind w:firstLine="567"/>
        <w:jc w:val="both"/>
        <w:rPr/>
      </w:pPr>
      <w:r>
        <w:rPr/>
        <w:t>4.1.3.  Информировать Заказчика об изменении своего адреса и реквизитов.</w:t>
      </w:r>
    </w:p>
    <w:p>
      <w:pPr>
        <w:pStyle w:val="Normal"/>
        <w:ind w:firstLine="567"/>
        <w:jc w:val="both"/>
        <w:rPr/>
      </w:pPr>
      <w:r>
        <w:rPr/>
        <w:t xml:space="preserve">4.1.4. Обеспечить за свой счет устранение недостатков возникших по вине Исполнителя, выявленных при приемке Заказчиком услуг; </w:t>
      </w:r>
    </w:p>
    <w:p>
      <w:pPr>
        <w:pStyle w:val="Normal"/>
        <w:ind w:firstLine="567"/>
        <w:jc w:val="both"/>
        <w:rPr/>
      </w:pPr>
      <w:r>
        <w:rPr/>
        <w:t>4.1.5. Исполнять иные обязательства, предусмотренные действующим законодательством и Контрактом.</w:t>
      </w:r>
    </w:p>
    <w:p>
      <w:pPr>
        <w:pStyle w:val="Normal"/>
        <w:ind w:firstLine="567"/>
        <w:jc w:val="both"/>
        <w:rPr/>
      </w:pPr>
      <w:r>
        <w:rPr/>
        <w:t xml:space="preserve">4.2. </w:t>
      </w:r>
      <w:r>
        <w:rPr>
          <w:b/>
        </w:rPr>
        <w:t>Исполнитель вправе</w:t>
      </w:r>
      <w:r>
        <w:rPr/>
        <w:t>:</w:t>
      </w:r>
    </w:p>
    <w:p>
      <w:pPr>
        <w:pStyle w:val="Normal"/>
        <w:ind w:firstLine="567"/>
        <w:jc w:val="both"/>
        <w:rPr/>
      </w:pPr>
      <w:r>
        <w:rPr/>
        <w:t>4.2.1. Требовать от Заказчика произвести приемку оказанных услуг в порядке и сроки, предусмотренные Контрактом.</w:t>
      </w:r>
    </w:p>
    <w:p>
      <w:pPr>
        <w:pStyle w:val="Normal"/>
        <w:ind w:firstLine="567"/>
        <w:jc w:val="both"/>
        <w:rPr/>
      </w:pPr>
      <w:r>
        <w:rPr/>
        <w:t>4.2.2. Требовать от Заказчика своевременной оплаты оказанных услуг в порядке и на условиях, предусмотренных Контактом.</w:t>
      </w:r>
    </w:p>
    <w:p>
      <w:pPr>
        <w:pStyle w:val="Normal"/>
        <w:ind w:firstLine="567"/>
        <w:jc w:val="both"/>
        <w:rPr/>
      </w:pPr>
      <w:r>
        <w:rPr/>
        <w:t>4.2.3. Требовать от Заказчика предоставления имеющейся у него информации, необходимой для исполнения обязательств по Контракту.</w:t>
      </w:r>
    </w:p>
    <w:p>
      <w:pPr>
        <w:pStyle w:val="Normal"/>
        <w:ind w:firstLine="567"/>
        <w:jc w:val="both"/>
        <w:rPr/>
      </w:pPr>
      <w:r>
        <w:rPr/>
        <w:t>4.2.4. Запрашивать у Заказчика разъяснения и уточнения относительно оказания услуг в рамках Контракта.</w:t>
      </w:r>
    </w:p>
    <w:p>
      <w:pPr>
        <w:pStyle w:val="Normal"/>
        <w:ind w:firstLine="567"/>
        <w:jc w:val="both"/>
        <w:rPr/>
      </w:pPr>
      <w:r>
        <w:rPr/>
        <w:t>4.2.5. Совершать иные действия, предусмотренные Контрактом.</w:t>
      </w:r>
    </w:p>
    <w:p>
      <w:pPr>
        <w:pStyle w:val="Normal"/>
        <w:ind w:firstLine="567"/>
        <w:rPr/>
      </w:pPr>
      <w:r>
        <w:rPr/>
        <w:t xml:space="preserve">4.3. </w:t>
      </w:r>
      <w:r>
        <w:rPr>
          <w:b/>
        </w:rPr>
        <w:t>Заказчик обязан</w:t>
      </w:r>
      <w:r>
        <w:rPr/>
        <w:t>:</w:t>
      </w:r>
    </w:p>
    <w:p>
      <w:pPr>
        <w:pStyle w:val="ConsPlusNormal1"/>
        <w:ind w:firstLine="567"/>
        <w:jc w:val="both"/>
        <w:rPr/>
      </w:pPr>
      <w:r>
        <w:rPr>
          <w:rFonts w:cs="Times New Roman" w:ascii="Times New Roman" w:hAnsi="Times New Roman"/>
        </w:rPr>
        <w:t xml:space="preserve">4.3.1. Обеспечить приёмку услуг, оказанных Исполнителем, в соответствии с </w:t>
      </w:r>
      <w:hyperlink w:anchor="P143">
        <w:r>
          <w:rPr>
            <w:rStyle w:val="Hyperlink"/>
            <w:rFonts w:cs="Times New Roman" w:ascii="Times New Roman" w:hAnsi="Times New Roman"/>
          </w:rPr>
          <w:t>Приложением</w:t>
        </w:r>
      </w:hyperlink>
      <w:r>
        <w:rPr>
          <w:rFonts w:cs="Times New Roman" w:ascii="Times New Roman" w:hAnsi="Times New Roman"/>
        </w:rPr>
        <w:t xml:space="preserve"> №1 к Контракту, и при отсутствии претензий относительно их объёма, качества и соблюдения сроков их оказания подписать акт выполненных работ (оказанных услуг). </w:t>
      </w:r>
    </w:p>
    <w:p>
      <w:pPr>
        <w:pStyle w:val="ConsPlusNormal1"/>
        <w:ind w:firstLine="567"/>
        <w:jc w:val="both"/>
        <w:rPr>
          <w:rFonts w:ascii="Times New Roman" w:hAnsi="Times New Roman" w:cs="Times New Roman"/>
        </w:rPr>
      </w:pPr>
      <w:r>
        <w:rPr>
          <w:rFonts w:cs="Times New Roman" w:ascii="Times New Roman" w:hAnsi="Times New Roman"/>
        </w:rPr>
        <w:t>4.3.2.</w:t>
        <w:tab/>
        <w:t xml:space="preserve">Оплатить услуги, оказанные Исполнителем в порядке и в сроки, установленные настоящим Контрактом. </w:t>
      </w:r>
    </w:p>
    <w:p>
      <w:pPr>
        <w:pStyle w:val="Normal"/>
        <w:ind w:firstLine="567"/>
        <w:rPr/>
      </w:pPr>
      <w:r>
        <w:rPr/>
        <w:t xml:space="preserve">4.4. </w:t>
      </w:r>
      <w:r>
        <w:rPr>
          <w:b/>
        </w:rPr>
        <w:t>Заказчик вправе</w:t>
      </w:r>
      <w:r>
        <w:rPr/>
        <w:t>:</w:t>
      </w:r>
    </w:p>
    <w:p>
      <w:pPr>
        <w:pStyle w:val="ConsPlusNormal1"/>
        <w:ind w:firstLine="567"/>
        <w:jc w:val="both"/>
        <w:rPr>
          <w:rFonts w:ascii="Times New Roman" w:hAnsi="Times New Roman" w:cs="Times New Roman"/>
        </w:rPr>
      </w:pPr>
      <w:r>
        <w:rPr>
          <w:rFonts w:cs="Times New Roman" w:ascii="Times New Roman" w:hAnsi="Times New Roman"/>
        </w:rPr>
        <w:t>4.4.1. Требовать надлежащего и полного оказания услуг, а в случае если услуги не оказаны или оказаны ненадлежащим образом - устранения Исполнителем выявленных нарушений в установленный Заказчиком срок.</w:t>
      </w:r>
    </w:p>
    <w:p>
      <w:pPr>
        <w:pStyle w:val="ConsPlusNormal1"/>
        <w:ind w:firstLine="567"/>
        <w:jc w:val="both"/>
        <w:rPr>
          <w:rFonts w:ascii="Times New Roman" w:hAnsi="Times New Roman" w:cs="Times New Roman"/>
        </w:rPr>
      </w:pPr>
      <w:r>
        <w:rPr>
          <w:rFonts w:cs="Times New Roman" w:ascii="Times New Roman" w:hAnsi="Times New Roman"/>
        </w:rPr>
        <w:t xml:space="preserve">4.4.2. Требовать от Исполнителя предоставления надлежащим образом оформленной отчетной документации и материалов, подтверждающих факт оказания Услуг и исполнение обязательств. </w:t>
      </w:r>
    </w:p>
    <w:p>
      <w:pPr>
        <w:pStyle w:val="Normal"/>
        <w:ind w:firstLine="567"/>
        <w:rPr/>
      </w:pPr>
      <w:r>
        <w:rPr/>
        <w:t>4.4.3. Отказаться от приемки и оплаты услуг, не соответствующих условиям Контракта.</w:t>
      </w:r>
    </w:p>
    <w:p>
      <w:pPr>
        <w:pStyle w:val="ConsPlusNonformat1"/>
        <w:ind w:firstLine="567"/>
        <w:jc w:val="both"/>
        <w:rPr>
          <w:rFonts w:ascii="Times New Roman" w:hAnsi="Times New Roman" w:cs="Times New Roman"/>
        </w:rPr>
      </w:pPr>
      <w:r>
        <w:rPr>
          <w:rFonts w:cs="Times New Roman" w:ascii="Times New Roman" w:hAnsi="Times New Roman"/>
        </w:rPr>
        <w:t>4.4.4. Требовать от Исполнителя возмещения расходов на проведение экспертизы в случае подтверждения ненадлежащего качества оказанных услуг.</w:t>
      </w:r>
    </w:p>
    <w:p>
      <w:pPr>
        <w:pStyle w:val="Normal"/>
        <w:ind w:firstLine="567"/>
        <w:jc w:val="both"/>
        <w:rPr/>
      </w:pPr>
      <w:r>
        <w:rPr/>
        <w:t>4.4.5. Принять решение об одностороннем отказе от исполнения Контракта в соответствии с гражданским законодательством.</w:t>
      </w:r>
    </w:p>
    <w:p>
      <w:pPr>
        <w:pStyle w:val="Normal"/>
        <w:jc w:val="both"/>
        <w:rPr/>
      </w:pPr>
      <w:r>
        <w:rPr/>
        <w:t xml:space="preserve">          </w:t>
      </w:r>
      <w:r>
        <w:rPr/>
        <w:t xml:space="preserve">4.4.6.   Совершать иные действия, предусмотренные Контрактом.                                            </w:t>
      </w:r>
    </w:p>
    <w:p>
      <w:pPr>
        <w:pStyle w:val="Normal"/>
        <w:ind w:left="426"/>
        <w:jc w:val="both"/>
        <w:rPr>
          <w:b/>
          <w:bCs/>
        </w:rPr>
      </w:pPr>
      <w:r>
        <w:rPr>
          <w:b/>
          <w:bCs/>
        </w:rPr>
      </w:r>
    </w:p>
    <w:p>
      <w:pPr>
        <w:pStyle w:val="Normal"/>
        <w:jc w:val="center"/>
        <w:rPr/>
      </w:pPr>
      <w:r>
        <w:rPr>
          <w:b/>
          <w:bCs/>
        </w:rPr>
        <w:t xml:space="preserve">5. </w:t>
      </w:r>
      <w:r>
        <w:rPr>
          <w:rFonts w:cs="Times New Roman CYR" w:ascii="Times New Roman CYR" w:hAnsi="Times New Roman CYR"/>
          <w:b/>
          <w:bCs/>
        </w:rPr>
        <w:t>ОБСТОЯТЕЛЬСТВА НЕПРЕОДОЛИМОЙ СИЛЫ</w:t>
      </w:r>
    </w:p>
    <w:p>
      <w:pPr>
        <w:pStyle w:val="Normal"/>
        <w:ind w:firstLine="720"/>
        <w:jc w:val="both"/>
        <w:rPr/>
      </w:pPr>
      <w:r>
        <w:rPr/>
        <w:t xml:space="preserve">5.1. </w:t>
      </w:r>
      <w:r>
        <w:rPr>
          <w:rFonts w:cs="Times New Roman CYR" w:ascii="Times New Roman CYR" w:hAnsi="Times New Roman CYR"/>
        </w:rPr>
        <w:t xml:space="preserve">Стороны освобождаются от ответственности за полное или частичное неисполнение своих обязательств по настоящему </w:t>
      </w:r>
      <w:r>
        <w:rPr/>
        <w:t>Контракт</w:t>
      </w:r>
      <w:r>
        <w:rPr>
          <w:rFonts w:cs="Times New Roman CYR" w:ascii="Times New Roman CYR" w:hAnsi="Times New Roman CYR"/>
        </w:rPr>
        <w:t xml:space="preserve">у, в случае если оно явилось следствием обстоятельств непреодолимой силы, а именно наводнения,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t>Контракт</w:t>
      </w:r>
      <w:r>
        <w:rPr>
          <w:rFonts w:cs="Times New Roman CYR" w:ascii="Times New Roman CYR" w:hAnsi="Times New Roman CYR"/>
        </w:rPr>
        <w:t xml:space="preserve">у, а также других чрезвычайных обстоятельств, которые возникли после заключения настоящего </w:t>
      </w:r>
      <w:r>
        <w:rPr/>
        <w:t>Контракт</w:t>
      </w:r>
      <w:r>
        <w:rPr>
          <w:rFonts w:cs="Times New Roman CYR" w:ascii="Times New Roman CYR" w:hAnsi="Times New Roman CYR"/>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ind w:firstLine="720"/>
        <w:jc w:val="both"/>
        <w:rPr/>
      </w:pPr>
      <w:r>
        <w:rPr/>
        <w:t xml:space="preserve">5.2. </w:t>
      </w:r>
      <w:r>
        <w:rPr>
          <w:rFonts w:cs="Times New Roman CYR" w:ascii="Times New Roman CYR" w:hAnsi="Times New Roman CYR"/>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tabs>
          <w:tab w:val="clear" w:pos="708"/>
          <w:tab w:val="left" w:pos="3544" w:leader="none"/>
        </w:tabs>
        <w:jc w:val="center"/>
        <w:rPr/>
      </w:pPr>
      <w:r>
        <w:rPr>
          <w:b/>
          <w:bCs/>
        </w:rPr>
        <w:t xml:space="preserve">6. </w:t>
      </w:r>
      <w:r>
        <w:rPr>
          <w:rFonts w:cs="Times New Roman CYR" w:ascii="Times New Roman CYR" w:hAnsi="Times New Roman CYR"/>
          <w:b/>
          <w:bCs/>
        </w:rPr>
        <w:t>ОТВЕТСТВЕННОСТЬ СТОРОН</w:t>
      </w:r>
    </w:p>
    <w:p>
      <w:pPr>
        <w:pStyle w:val="Normal"/>
        <w:ind w:firstLine="709"/>
        <w:jc w:val="both"/>
        <w:rPr/>
      </w:pPr>
      <w:r>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pPr>
        <w:pStyle w:val="Normal"/>
        <w:ind w:firstLine="709"/>
        <w:jc w:val="both"/>
        <w:rPr/>
      </w:pPr>
      <w:r>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709"/>
        <w:jc w:val="both"/>
        <w:rPr/>
      </w:pPr>
      <w:r>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rPr>
        <w:instrText xml:space="preserve"> HYPERLINK "http://www.consultant.ru/document/cons_doc_LAW_227100/" \l "dst100012"</w:instrText>
      </w:r>
      <w:r>
        <w:rPr>
          <w:rStyle w:val="Hyperlink"/>
        </w:rPr>
        <w:fldChar w:fldCharType="separate"/>
      </w:r>
      <w:r>
        <w:rPr>
          <w:rStyle w:val="Hyperlink"/>
        </w:rPr>
        <w:t>порядке</w:t>
      </w:r>
      <w:r>
        <w:rPr>
          <w:rStyle w:val="Hyperlink"/>
        </w:rPr>
        <w:fldChar w:fldCharType="end"/>
      </w:r>
      <w:r>
        <w:rPr/>
        <w:t>, установленном Постановлением Правительства Российской Федерации от 30 августа 2017 г. № 1042 и составляет 1000 рублей 00 копеек.</w:t>
      </w:r>
    </w:p>
    <w:p>
      <w:pPr>
        <w:pStyle w:val="Normal"/>
        <w:ind w:firstLine="709"/>
        <w:jc w:val="both"/>
        <w:rPr/>
      </w:pPr>
      <w:r>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что составляет _________ (_______________) рублей 00 копеек.</w:t>
      </w:r>
    </w:p>
    <w:p>
      <w:pPr>
        <w:pStyle w:val="Normal"/>
        <w:ind w:firstLine="709"/>
        <w:jc w:val="both"/>
        <w:rPr/>
      </w:pPr>
      <w:r>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определенной в порядке, установленном Правительством Российской Федерации от 30 августа 2017 г. № 1042.</w:t>
      </w:r>
    </w:p>
    <w:p>
      <w:pPr>
        <w:pStyle w:val="Normal"/>
        <w:ind w:firstLine="709"/>
        <w:jc w:val="both"/>
        <w:rPr/>
      </w:pPr>
      <w:r>
        <w:rPr/>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ind w:firstLine="709"/>
        <w:jc w:val="both"/>
        <w:rPr/>
      </w:pPr>
      <w:r>
        <w:rPr/>
        <w:t xml:space="preserve">6.7. Общая сумма начисленных штрафов за ненадлежащее исполнение сторонами обязательств, предусмотренных Контрактом, не может превышать цену Контракта </w:t>
      </w:r>
    </w:p>
    <w:p>
      <w:pPr>
        <w:pStyle w:val="Normal"/>
        <w:ind w:firstLine="709"/>
        <w:jc w:val="both"/>
        <w:rPr/>
      </w:pPr>
      <w:r>
        <w:rPr/>
        <w:t>6.8.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9"/>
        <w:jc w:val="both"/>
        <w:rPr/>
      </w:pPr>
      <w:r>
        <w:rPr/>
        <w:t>6.9. Государственный заказчик при оплате Контракта вправе удержать суммы неисполненных Исполнителем требований об уплате неустоек (штрафов, пеней), предъявленных заказчиком в соответствии с пунктом 2 части 14 статьи 34 Федерального закона от 05.04.2013 № 44-ФЗ, из суммы, подлежащей оплате Поставщику.</w:t>
      </w:r>
    </w:p>
    <w:p>
      <w:pPr>
        <w:pStyle w:val="Normal"/>
        <w:ind w:firstLine="709"/>
        <w:jc w:val="both"/>
        <w:rPr/>
      </w:pPr>
      <w:r>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ind w:firstLine="709"/>
        <w:jc w:val="both"/>
        <w:rPr/>
      </w:pPr>
      <w:r>
        <w:rPr/>
        <w:t>6.11. В случае ненадлежащего исполнения своих обязательств по государственному Контракту Исполнителем возмещает Государственному заказчику, причиненные убытки, в том числе расходы, связанные с проведением экспертизы.</w:t>
      </w:r>
    </w:p>
    <w:p>
      <w:pPr>
        <w:pStyle w:val="Normal"/>
        <w:ind w:firstLine="709"/>
        <w:jc w:val="both"/>
        <w:rPr>
          <w:color w:val="000000"/>
          <w:sz w:val="10"/>
          <w:szCs w:val="10"/>
        </w:rPr>
      </w:pPr>
      <w:r>
        <w:rPr>
          <w:color w:val="000000"/>
          <w:sz w:val="10"/>
          <w:szCs w:val="10"/>
        </w:rPr>
      </w:r>
    </w:p>
    <w:p>
      <w:pPr>
        <w:pStyle w:val="Normal"/>
        <w:ind w:firstLine="709"/>
        <w:jc w:val="both"/>
        <w:rPr>
          <w:color w:val="FF0000"/>
          <w:sz w:val="10"/>
          <w:szCs w:val="10"/>
        </w:rPr>
      </w:pPr>
      <w:r>
        <w:rPr>
          <w:color w:val="FF0000"/>
          <w:sz w:val="10"/>
          <w:szCs w:val="10"/>
        </w:rPr>
      </w:r>
    </w:p>
    <w:p>
      <w:pPr>
        <w:pStyle w:val="Normal"/>
        <w:jc w:val="center"/>
        <w:rPr/>
      </w:pPr>
      <w:r>
        <w:rPr>
          <w:b/>
          <w:bCs/>
        </w:rPr>
        <w:t xml:space="preserve">7. </w:t>
      </w:r>
      <w:r>
        <w:rPr>
          <w:rFonts w:cs="Times New Roman CYR" w:ascii="Times New Roman CYR" w:hAnsi="Times New Roman CYR"/>
          <w:b/>
          <w:bCs/>
        </w:rPr>
        <w:t>ОСОБЫЕ УСЛОВИЯ</w:t>
      </w:r>
    </w:p>
    <w:p>
      <w:pPr>
        <w:pStyle w:val="Normal"/>
        <w:ind w:firstLine="720"/>
        <w:jc w:val="both"/>
        <w:rPr/>
      </w:pPr>
      <w:r>
        <w:rPr/>
        <w:t xml:space="preserve">7.1. </w:t>
      </w:r>
      <w:r>
        <w:rPr>
          <w:rFonts w:cs="Times New Roman CYR" w:ascii="Times New Roman CYR" w:hAnsi="Times New Roman CYR"/>
        </w:rPr>
        <w:t xml:space="preserve">Любые изменения и дополнения к настоящему </w:t>
      </w:r>
      <w:r>
        <w:rPr/>
        <w:t>Контракт</w:t>
      </w:r>
      <w:r>
        <w:rPr>
          <w:rFonts w:cs="Times New Roman CYR" w:ascii="Times New Roman CYR" w:hAnsi="Times New Roman CYR"/>
        </w:rPr>
        <w:t xml:space="preserve">у, не противоречащие действующему законодательству РФ, оформляются дополнительными соглашениями Сторон в письменной форме. </w:t>
      </w:r>
    </w:p>
    <w:p>
      <w:pPr>
        <w:pStyle w:val="Normal"/>
        <w:ind w:firstLine="720"/>
        <w:jc w:val="both"/>
        <w:rPr/>
      </w:pPr>
      <w:r>
        <w:rPr/>
        <w:t xml:space="preserve">7.2. </w:t>
      </w:r>
      <w:r>
        <w:rPr>
          <w:rFonts w:cs="Times New Roman CYR" w:ascii="Times New Roman CYR" w:hAnsi="Times New Roman CYR"/>
        </w:rPr>
        <w:t>Поставщик не вправе передавать свои права и обязанности по настоящему Контракту, полностью или частично, другому лицу.</w:t>
      </w:r>
    </w:p>
    <w:p>
      <w:pPr>
        <w:pStyle w:val="Normal"/>
        <w:ind w:firstLine="720"/>
        <w:jc w:val="both"/>
        <w:rPr/>
      </w:pPr>
      <w:r>
        <w:rPr/>
        <w:t xml:space="preserve">7.3. </w:t>
      </w:r>
      <w:r>
        <w:rPr>
          <w:rFonts w:cs="Times New Roman CYR" w:ascii="Times New Roman CYR" w:hAnsi="Times New Roman CYR"/>
        </w:rPr>
        <w:t>Во всем, что не предусмотрено настоящим Контрактом, стороны руководствуется действующим Законодательством РФ.</w:t>
      </w:r>
    </w:p>
    <w:p>
      <w:pPr>
        <w:pStyle w:val="Normal"/>
        <w:jc w:val="center"/>
        <w:rPr/>
      </w:pPr>
      <w:r>
        <w:rPr>
          <w:b/>
          <w:bCs/>
        </w:rPr>
        <w:t xml:space="preserve">8. </w:t>
      </w:r>
      <w:r>
        <w:rPr>
          <w:rFonts w:cs="Times New Roman CYR" w:ascii="Times New Roman CYR" w:hAnsi="Times New Roman CYR"/>
          <w:b/>
          <w:bCs/>
        </w:rPr>
        <w:t>ЮРИДИЧЕСКИЕ АДРЕСА, РЕКВИЗИТЫ СТОРОН И ПОДПИСИ СТОРОН</w:t>
      </w:r>
    </w:p>
    <w:p>
      <w:pPr>
        <w:pStyle w:val="Normal"/>
        <w:jc w:val="center"/>
        <w:rPr>
          <w:b/>
        </w:rPr>
      </w:pPr>
      <w:r>
        <w:rPr>
          <w:b/>
          <w:bCs/>
          <w:sz w:val="28"/>
          <w:szCs w:val="28"/>
        </w:rPr>
        <w:t>ЗАКАЗЧИК</w:t>
      </w:r>
      <w:r>
        <w:rPr>
          <w:b/>
        </w:rPr>
        <w:t xml:space="preserve">                                                            ИСПОЛНИТЕЛЬ</w:t>
      </w:r>
    </w:p>
    <w:tbl>
      <w:tblPr>
        <w:tblW w:w="9581" w:type="dxa"/>
        <w:jc w:val="left"/>
        <w:tblInd w:w="103" w:type="dxa"/>
        <w:tblLayout w:type="fixed"/>
        <w:tblCellMar>
          <w:top w:w="0" w:type="dxa"/>
          <w:left w:w="108" w:type="dxa"/>
          <w:bottom w:w="0" w:type="dxa"/>
          <w:right w:w="108" w:type="dxa"/>
        </w:tblCellMar>
        <w:tblLook w:val="04a0" w:firstRow="1" w:noVBand="1" w:lastRow="0" w:firstColumn="1" w:lastColumn="0" w:noHBand="0"/>
      </w:tblPr>
      <w:tblGrid>
        <w:gridCol w:w="4845"/>
        <w:gridCol w:w="4736"/>
      </w:tblGrid>
      <w:tr>
        <w:trPr>
          <w:trHeight w:val="2545" w:hRule="atLeast"/>
        </w:trPr>
        <w:tc>
          <w:tcPr>
            <w:tcW w:w="4845" w:type="dxa"/>
            <w:tcBorders>
              <w:top w:val="single" w:sz="2" w:space="0" w:color="000000"/>
              <w:left w:val="single" w:sz="2" w:space="0" w:color="000000"/>
              <w:bottom w:val="single" w:sz="2" w:space="0" w:color="000000"/>
            </w:tcBorders>
          </w:tcPr>
          <w:p>
            <w:pPr>
              <w:pStyle w:val="NoSpacing"/>
              <w:rPr>
                <w:b/>
                <w:sz w:val="24"/>
                <w:szCs w:val="24"/>
              </w:rPr>
            </w:pPr>
            <w:r>
              <w:rPr>
                <w:b/>
                <w:sz w:val="24"/>
                <w:szCs w:val="24"/>
              </w:rPr>
              <w:t>Федеральное казенное учреждение «Главное бюро медико-социальной экспертизы по Белгородской области» Министерства труда и социальной защиты Российской Федерации</w:t>
            </w:r>
          </w:p>
          <w:p>
            <w:pPr>
              <w:pStyle w:val="NoSpacing"/>
              <w:rPr>
                <w:b/>
                <w:sz w:val="24"/>
                <w:szCs w:val="24"/>
              </w:rPr>
            </w:pPr>
            <w:r>
              <w:rPr>
                <w:b/>
                <w:sz w:val="24"/>
                <w:szCs w:val="24"/>
              </w:rPr>
              <w:t>(ФКУ «ГБ МСЭ по Белгородской</w:t>
            </w:r>
          </w:p>
          <w:p>
            <w:pPr>
              <w:pStyle w:val="NoSpacing"/>
              <w:rPr>
                <w:sz w:val="24"/>
                <w:szCs w:val="24"/>
              </w:rPr>
            </w:pPr>
            <w:r>
              <w:rPr>
                <w:b/>
                <w:sz w:val="24"/>
                <w:szCs w:val="24"/>
              </w:rPr>
              <w:t>области» Минтруда России.»)</w:t>
            </w:r>
          </w:p>
          <w:p>
            <w:pPr>
              <w:pStyle w:val="NoSpacing"/>
              <w:rPr>
                <w:sz w:val="24"/>
                <w:szCs w:val="24"/>
              </w:rPr>
            </w:pPr>
            <w:r>
              <w:rPr>
                <w:sz w:val="24"/>
                <w:szCs w:val="24"/>
              </w:rPr>
              <w:t>Почтовый адрес: 308006, г. Белгород, ул.Корочанская, д. 48</w:t>
            </w:r>
          </w:p>
          <w:p>
            <w:pPr>
              <w:pStyle w:val="NoSpacing"/>
              <w:rPr>
                <w:sz w:val="24"/>
                <w:szCs w:val="24"/>
              </w:rPr>
            </w:pPr>
            <w:r>
              <w:rPr>
                <w:sz w:val="24"/>
                <w:szCs w:val="24"/>
              </w:rPr>
              <w:t>Юридический адрес: 308006, г. Белгород, ул.Корочанская, д. 48</w:t>
            </w:r>
          </w:p>
          <w:p>
            <w:pPr>
              <w:pStyle w:val="NoSpacing"/>
              <w:rPr>
                <w:sz w:val="24"/>
                <w:szCs w:val="24"/>
              </w:rPr>
            </w:pPr>
            <w:r>
              <w:rPr>
                <w:sz w:val="24"/>
                <w:szCs w:val="24"/>
              </w:rPr>
              <w:t>Тел.: 8-(4722)-37-61-91, 37-61-81</w:t>
            </w:r>
          </w:p>
          <w:p>
            <w:pPr>
              <w:pStyle w:val="NoSpacing"/>
              <w:rPr>
                <w:sz w:val="24"/>
                <w:szCs w:val="24"/>
              </w:rPr>
            </w:pPr>
            <w:r>
              <w:rPr>
                <w:sz w:val="24"/>
                <w:szCs w:val="24"/>
              </w:rPr>
              <w:t>ОГРН 1043107048160</w:t>
            </w:r>
          </w:p>
          <w:p>
            <w:pPr>
              <w:pStyle w:val="NoSpacing"/>
              <w:rPr>
                <w:sz w:val="24"/>
                <w:szCs w:val="24"/>
              </w:rPr>
            </w:pPr>
            <w:r>
              <w:rPr>
                <w:sz w:val="24"/>
                <w:szCs w:val="24"/>
              </w:rPr>
              <w:t>ИНН 3123113850</w:t>
            </w:r>
          </w:p>
          <w:p>
            <w:pPr>
              <w:pStyle w:val="NoSpacing"/>
              <w:rPr>
                <w:sz w:val="24"/>
                <w:szCs w:val="24"/>
              </w:rPr>
            </w:pPr>
            <w:r>
              <w:rPr>
                <w:sz w:val="24"/>
                <w:szCs w:val="24"/>
              </w:rPr>
              <w:t>КПП 312301001</w:t>
            </w:r>
          </w:p>
          <w:p>
            <w:pPr>
              <w:pStyle w:val="NoSpacing"/>
              <w:rPr>
                <w:sz w:val="24"/>
                <w:szCs w:val="24"/>
              </w:rPr>
            </w:pPr>
            <w:r>
              <w:rPr>
                <w:sz w:val="24"/>
                <w:szCs w:val="24"/>
              </w:rPr>
              <w:t>Номер казначейского счета: 03211643000000013226</w:t>
            </w:r>
          </w:p>
          <w:p>
            <w:pPr>
              <w:pStyle w:val="NoSpacing"/>
              <w:rPr>
                <w:sz w:val="24"/>
                <w:szCs w:val="24"/>
              </w:rPr>
            </w:pPr>
            <w:r>
              <w:rPr>
                <w:sz w:val="24"/>
                <w:szCs w:val="24"/>
              </w:rPr>
              <w:t>Наименование банка: ОКЦ №1 ВВГУ БАНКА РОССИИ//УФК по Нижегородской области, г. Нижний Новгород.</w:t>
            </w:r>
          </w:p>
          <w:p>
            <w:pPr>
              <w:pStyle w:val="NoSpacing"/>
              <w:rPr>
                <w:sz w:val="24"/>
                <w:szCs w:val="24"/>
              </w:rPr>
            </w:pPr>
            <w:r>
              <w:rPr>
                <w:sz w:val="24"/>
                <w:szCs w:val="24"/>
              </w:rPr>
              <w:t>Л/с 03261А74310</w:t>
            </w:r>
          </w:p>
          <w:p>
            <w:pPr>
              <w:pStyle w:val="NoSpacing"/>
              <w:rPr>
                <w:sz w:val="24"/>
                <w:szCs w:val="24"/>
              </w:rPr>
            </w:pPr>
            <w:r>
              <w:rPr>
                <w:sz w:val="24"/>
                <w:szCs w:val="24"/>
              </w:rPr>
              <w:t>Номер банковского счета, входящего в состав ЕКС: 40102810745370000024</w:t>
            </w:r>
          </w:p>
          <w:p>
            <w:pPr>
              <w:pStyle w:val="NoSpacing"/>
              <w:rPr>
                <w:sz w:val="24"/>
                <w:szCs w:val="24"/>
              </w:rPr>
            </w:pPr>
            <w:r>
              <w:rPr>
                <w:sz w:val="24"/>
                <w:szCs w:val="24"/>
              </w:rPr>
              <w:t>БИК 012202102</w:t>
            </w:r>
          </w:p>
          <w:p>
            <w:pPr>
              <w:pStyle w:val="NoSpacing"/>
              <w:rPr>
                <w:sz w:val="24"/>
                <w:szCs w:val="24"/>
              </w:rPr>
            </w:pPr>
            <w:r>
              <w:rPr>
                <w:sz w:val="24"/>
                <w:szCs w:val="24"/>
              </w:rPr>
              <w:t>ОКПО 74415685</w:t>
            </w:r>
          </w:p>
          <w:p>
            <w:pPr>
              <w:pStyle w:val="NoSpacing"/>
              <w:rPr>
                <w:sz w:val="24"/>
                <w:szCs w:val="24"/>
              </w:rPr>
            </w:pPr>
            <w:r>
              <w:rPr>
                <w:sz w:val="24"/>
                <w:szCs w:val="24"/>
              </w:rPr>
              <w:t>ОКАТО 14401370000</w:t>
            </w:r>
          </w:p>
          <w:p>
            <w:pPr>
              <w:pStyle w:val="NoSpacing"/>
              <w:rPr>
                <w:sz w:val="24"/>
                <w:szCs w:val="24"/>
              </w:rPr>
            </w:pPr>
            <w:r>
              <w:rPr>
                <w:sz w:val="24"/>
                <w:szCs w:val="24"/>
              </w:rPr>
              <w:t>эл.почта: gb@31mse.ru</w:t>
            </w:r>
          </w:p>
          <w:p>
            <w:pPr>
              <w:pStyle w:val="NoSpacing"/>
              <w:rPr>
                <w:sz w:val="24"/>
                <w:szCs w:val="24"/>
              </w:rPr>
            </w:pPr>
            <w:r>
              <w:rPr>
                <w:sz w:val="24"/>
                <w:szCs w:val="24"/>
              </w:rPr>
            </w:r>
          </w:p>
          <w:p>
            <w:pPr>
              <w:pStyle w:val="NoSpacing"/>
              <w:rPr>
                <w:sz w:val="24"/>
                <w:szCs w:val="24"/>
              </w:rPr>
            </w:pPr>
            <w:r>
              <w:rPr>
                <w:sz w:val="24"/>
                <w:szCs w:val="24"/>
              </w:rPr>
              <w:t>И.О. Руководителя-главного эксперта</w:t>
            </w:r>
          </w:p>
          <w:p>
            <w:pPr>
              <w:pStyle w:val="NoSpacing"/>
              <w:rPr>
                <w:sz w:val="24"/>
                <w:szCs w:val="24"/>
              </w:rPr>
            </w:pPr>
            <w:r>
              <w:rPr>
                <w:sz w:val="24"/>
                <w:szCs w:val="24"/>
              </w:rPr>
              <w:t>по медико-социальной экспертизе</w:t>
            </w:r>
          </w:p>
          <w:p>
            <w:pPr>
              <w:pStyle w:val="NoSpacing"/>
              <w:rPr>
                <w:sz w:val="24"/>
                <w:szCs w:val="24"/>
              </w:rPr>
            </w:pPr>
            <w:r>
              <w:rPr>
                <w:sz w:val="24"/>
                <w:szCs w:val="24"/>
              </w:rPr>
            </w:r>
          </w:p>
          <w:p>
            <w:pPr>
              <w:pStyle w:val="NoSpacing"/>
              <w:rPr>
                <w:sz w:val="24"/>
                <w:szCs w:val="24"/>
              </w:rPr>
            </w:pPr>
            <w:r>
              <w:rPr>
                <w:sz w:val="24"/>
                <w:szCs w:val="24"/>
              </w:rPr>
              <w:t>_____________________ В.И. Курило</w:t>
            </w:r>
          </w:p>
          <w:p>
            <w:pPr>
              <w:pStyle w:val="NoSpacing"/>
              <w:rPr>
                <w:sz w:val="24"/>
                <w:szCs w:val="24"/>
              </w:rPr>
            </w:pPr>
            <w:r>
              <w:rPr>
                <w:sz w:val="24"/>
                <w:szCs w:val="24"/>
              </w:rPr>
            </w:r>
          </w:p>
        </w:tc>
        <w:tc>
          <w:tcPr>
            <w:tcW w:w="4736" w:type="dxa"/>
            <w:tcBorders>
              <w:top w:val="single" w:sz="2" w:space="0" w:color="000000"/>
              <w:left w:val="single" w:sz="2" w:space="0" w:color="000000"/>
              <w:bottom w:val="single" w:sz="2" w:space="0" w:color="000000"/>
              <w:right w:val="single" w:sz="2" w:space="0" w:color="000000"/>
            </w:tcBorders>
          </w:tcPr>
          <w:p>
            <w:pPr>
              <w:pStyle w:val="Normal"/>
              <w:snapToGrid w:val="false"/>
              <w:jc w:val="both"/>
              <w:rPr>
                <w:rFonts w:ascii="Calibri" w:hAnsi="Calibri" w:cs="Calibri"/>
                <w:sz w:val="22"/>
                <w:szCs w:val="22"/>
              </w:rPr>
            </w:pPr>
            <w:r>
              <w:rPr>
                <w:rFonts w:cs="Calibri" w:ascii="Calibri" w:hAnsi="Calibri"/>
                <w:sz w:val="22"/>
                <w:szCs w:val="22"/>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t>__________________</w:t>
            </w:r>
          </w:p>
          <w:p>
            <w:pPr>
              <w:pStyle w:val="Normal"/>
              <w:jc w:val="both"/>
              <w:rPr/>
            </w:pPr>
            <w:r>
              <w:rPr>
                <w:sz w:val="16"/>
                <w:szCs w:val="16"/>
              </w:rPr>
              <w:t>(</w:t>
            </w:r>
            <w:r>
              <w:rPr>
                <w:rFonts w:cs="Times New Roman CYR" w:ascii="Times New Roman CYR" w:hAnsi="Times New Roman CYR"/>
                <w:sz w:val="16"/>
                <w:szCs w:val="16"/>
              </w:rPr>
              <w:t>подпись)</w:t>
            </w:r>
          </w:p>
          <w:p>
            <w:pPr>
              <w:pStyle w:val="Normal"/>
              <w:jc w:val="both"/>
              <w:rPr>
                <w:rFonts w:ascii="Times New Roman CYR" w:hAnsi="Times New Roman CYR" w:cs="Times New Roman CYR"/>
                <w:sz w:val="16"/>
                <w:szCs w:val="16"/>
              </w:rPr>
            </w:pPr>
            <w:r>
              <w:rPr>
                <w:rFonts w:cs="Times New Roman CYR" w:ascii="Times New Roman CYR" w:hAnsi="Times New Roman CYR"/>
                <w:sz w:val="16"/>
                <w:szCs w:val="16"/>
              </w:rPr>
            </w:r>
          </w:p>
        </w:tc>
      </w:tr>
    </w:tbl>
    <w:p>
      <w:pPr>
        <w:pStyle w:val="Normal"/>
        <w:jc w:val="right"/>
        <w:rPr/>
      </w:pPr>
      <w:r>
        <w:rPr/>
        <w:t xml:space="preserve">    </w:t>
      </w:r>
    </w:p>
    <w:p>
      <w:pPr>
        <w:pStyle w:val="Normal"/>
        <w:jc w:val="right"/>
        <w:rPr/>
      </w:pPr>
      <w:r>
        <w:rPr/>
      </w:r>
    </w:p>
    <w:p>
      <w:pPr>
        <w:pStyle w:val="Normal"/>
        <w:jc w:val="right"/>
        <w:rPr/>
      </w:pPr>
      <w:r>
        <w:rPr/>
        <w:t xml:space="preserve"> </w:t>
      </w:r>
      <w:r>
        <w:rPr/>
        <w:t>Приложение № 1</w:t>
      </w:r>
    </w:p>
    <w:p>
      <w:pPr>
        <w:pStyle w:val="Normal"/>
        <w:rPr/>
      </w:pPr>
      <w:r>
        <w:rPr/>
        <w:t xml:space="preserve">                                                                                                             </w:t>
      </w:r>
      <w:r>
        <w:rPr/>
        <w:t xml:space="preserve">к Контракту № </w:t>
      </w:r>
    </w:p>
    <w:p>
      <w:pPr>
        <w:pStyle w:val="Normal"/>
        <w:jc w:val="center"/>
        <w:rPr/>
      </w:pPr>
      <w:r>
        <w:rPr/>
        <w:t xml:space="preserve">                                                                                                     </w:t>
      </w:r>
      <w:r>
        <w:rPr/>
        <w:t>от «      » ________ 2026г.</w:t>
      </w:r>
    </w:p>
    <w:p>
      <w:pPr>
        <w:pStyle w:val="Normal"/>
        <w:jc w:val="center"/>
        <w:rPr/>
      </w:pPr>
      <w:r>
        <w:rPr/>
      </w:r>
    </w:p>
    <w:p>
      <w:pPr>
        <w:pStyle w:val="Normal"/>
        <w:jc w:val="center"/>
        <w:rPr>
          <w:b/>
        </w:rPr>
      </w:pPr>
      <w:r>
        <w:rPr>
          <w:b/>
        </w:rPr>
        <w:t>Спецификация</w:t>
      </w:r>
    </w:p>
    <w:p>
      <w:pPr>
        <w:pStyle w:val="Normal"/>
        <w:jc w:val="center"/>
        <w:rPr>
          <w:b/>
        </w:rPr>
      </w:pPr>
      <w:r>
        <w:rPr>
          <w:b/>
        </w:rPr>
      </w:r>
    </w:p>
    <w:tbl>
      <w:tblPr>
        <w:tblW w:w="9858" w:type="dxa"/>
        <w:jc w:val="left"/>
        <w:tblInd w:w="103" w:type="dxa"/>
        <w:tblLayout w:type="fixed"/>
        <w:tblCellMar>
          <w:top w:w="0" w:type="dxa"/>
          <w:left w:w="108" w:type="dxa"/>
          <w:bottom w:w="0" w:type="dxa"/>
          <w:right w:w="108" w:type="dxa"/>
        </w:tblCellMar>
        <w:tblLook w:val="04a0" w:firstRow="1" w:noVBand="1" w:lastRow="0" w:firstColumn="1" w:lastColumn="0" w:noHBand="0"/>
      </w:tblPr>
      <w:tblGrid>
        <w:gridCol w:w="508"/>
        <w:gridCol w:w="5269"/>
        <w:gridCol w:w="708"/>
        <w:gridCol w:w="1252"/>
        <w:gridCol w:w="1018"/>
        <w:gridCol w:w="1103"/>
      </w:tblGrid>
      <w:tr>
        <w:trPr/>
        <w:tc>
          <w:tcPr>
            <w:tcW w:w="508"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p>
            <w:pPr>
              <w:pStyle w:val="Normal"/>
              <w:jc w:val="center"/>
              <w:rPr/>
            </w:pPr>
            <w:r>
              <w:rPr/>
              <w:t>п/п</w:t>
            </w:r>
          </w:p>
        </w:tc>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w:t>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Кол-во</w:t>
            </w:r>
          </w:p>
          <w:p>
            <w:pPr>
              <w:pStyle w:val="Normal"/>
              <w:jc w:val="center"/>
              <w:rPr/>
            </w:pPr>
            <w:r>
              <w:rPr/>
            </w:r>
          </w:p>
        </w:tc>
        <w:tc>
          <w:tcPr>
            <w:tcW w:w="1252" w:type="dxa"/>
            <w:tcBorders>
              <w:top w:val="single" w:sz="4" w:space="0" w:color="000000"/>
              <w:left w:val="single" w:sz="4" w:space="0" w:color="000000"/>
              <w:bottom w:val="single" w:sz="4" w:space="0" w:color="000000"/>
              <w:right w:val="single" w:sz="4" w:space="0" w:color="000000"/>
            </w:tcBorders>
          </w:tcPr>
          <w:p>
            <w:pPr>
              <w:pStyle w:val="Normal"/>
              <w:jc w:val="center"/>
              <w:rPr/>
            </w:pPr>
            <w:r>
              <w:rPr/>
              <w:t>Единица измерения</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Цена единицу руб.</w:t>
            </w:r>
          </w:p>
        </w:tc>
        <w:tc>
          <w:tcPr>
            <w:tcW w:w="1103" w:type="dxa"/>
            <w:tcBorders>
              <w:top w:val="single" w:sz="4" w:space="0" w:color="000000"/>
              <w:left w:val="single" w:sz="4" w:space="0" w:color="000000"/>
              <w:bottom w:val="single" w:sz="4" w:space="0" w:color="000000"/>
              <w:right w:val="single" w:sz="4" w:space="0" w:color="000000"/>
            </w:tcBorders>
          </w:tcPr>
          <w:p>
            <w:pPr>
              <w:pStyle w:val="Normal"/>
              <w:jc w:val="center"/>
              <w:rPr/>
            </w:pPr>
            <w:r>
              <w:rPr/>
              <w:t>Сумма, руб.</w:t>
            </w:r>
          </w:p>
        </w:tc>
      </w:tr>
      <w:tr>
        <w:trPr/>
        <w:tc>
          <w:tcPr>
            <w:tcW w:w="508"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5269" w:type="dxa"/>
            <w:tcBorders>
              <w:top w:val="single" w:sz="4" w:space="0" w:color="000000"/>
              <w:left w:val="single" w:sz="4" w:space="0" w:color="000000"/>
              <w:bottom w:val="single" w:sz="4" w:space="0" w:color="000000"/>
              <w:right w:val="single" w:sz="4" w:space="0" w:color="000000"/>
            </w:tcBorders>
          </w:tcPr>
          <w:p>
            <w:pPr>
              <w:pStyle w:val="Normal"/>
              <w:jc w:val="left"/>
              <w:rPr/>
            </w:pPr>
            <w:r>
              <w:rPr>
                <w:rFonts w:cs="Times New Roman CYR" w:ascii="Times New Roman CYR" w:hAnsi="Times New Roman CYR"/>
                <w:b w:val="false"/>
                <w:bCs/>
              </w:rPr>
              <w:t>Оказание</w:t>
            </w:r>
            <w:r>
              <w:rPr>
                <w:rFonts w:cs="Times New Roman CYR" w:ascii="Times New Roman CYR" w:hAnsi="Times New Roman CYR"/>
                <w:b w:val="false"/>
                <w:bCs/>
                <w:lang w:val="ru-RU"/>
              </w:rPr>
              <w:t xml:space="preserve"> услуг по алмазному бурению отверстий в стене</w:t>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252" w:type="dxa"/>
            <w:tcBorders>
              <w:top w:val="single" w:sz="4" w:space="0" w:color="000000"/>
              <w:left w:val="single" w:sz="4" w:space="0" w:color="000000"/>
              <w:bottom w:val="single" w:sz="4" w:space="0" w:color="000000"/>
              <w:right w:val="single" w:sz="4" w:space="0" w:color="000000"/>
            </w:tcBorders>
          </w:tcPr>
          <w:p>
            <w:pPr>
              <w:pStyle w:val="Normal"/>
              <w:jc w:val="center"/>
              <w:rPr/>
            </w:pPr>
            <w:r>
              <w:rPr/>
              <w:t>шт</w:t>
            </w:r>
          </w:p>
        </w:tc>
        <w:tc>
          <w:tcPr>
            <w:tcW w:w="101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c>
          <w:tcPr>
            <w:tcW w:w="110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pPr>
            <w:r>
              <w:rPr/>
            </w:r>
          </w:p>
        </w:tc>
      </w:tr>
      <w:tr>
        <w:trPr/>
        <w:tc>
          <w:tcPr>
            <w:tcW w:w="9858" w:type="dxa"/>
            <w:gridSpan w:val="6"/>
            <w:tcBorders>
              <w:top w:val="single" w:sz="4" w:space="0" w:color="000000"/>
              <w:left w:val="single" w:sz="4" w:space="0" w:color="000000"/>
              <w:bottom w:val="single" w:sz="4" w:space="0" w:color="000000"/>
              <w:right w:val="single" w:sz="4" w:space="0" w:color="000000"/>
            </w:tcBorders>
          </w:tcPr>
          <w:p>
            <w:pPr>
              <w:pStyle w:val="Normal"/>
              <w:rPr/>
            </w:pPr>
            <w:r>
              <w:rPr/>
              <w:tab/>
              <w:t>ИТОГО</w:t>
            </w:r>
          </w:p>
        </w:tc>
      </w:tr>
    </w:tbl>
    <w:p>
      <w:pPr>
        <w:pStyle w:val="Normal"/>
        <w:widowControl/>
        <w:numPr>
          <w:ilvl w:val="0"/>
          <w:numId w:val="0"/>
        </w:numPr>
        <w:tabs>
          <w:tab w:val="clear" w:pos="708"/>
          <w:tab w:val="left" w:pos="993" w:leader="none"/>
        </w:tabs>
        <w:suppressAutoHyphens w:val="true"/>
        <w:bidi w:val="0"/>
        <w:spacing w:before="0" w:after="0"/>
        <w:ind w:hanging="0" w:left="0" w:right="0"/>
        <w:jc w:val="both"/>
        <w:rPr/>
      </w:pPr>
      <w:r>
        <w:rPr/>
      </w:r>
    </w:p>
    <w:p>
      <w:pPr>
        <w:pStyle w:val="Normal"/>
        <w:widowControl/>
        <w:numPr>
          <w:ilvl w:val="0"/>
          <w:numId w:val="0"/>
        </w:numPr>
        <w:tabs>
          <w:tab w:val="clear" w:pos="708"/>
          <w:tab w:val="left" w:pos="993" w:leader="none"/>
        </w:tabs>
        <w:suppressAutoHyphens w:val="true"/>
        <w:bidi w:val="0"/>
        <w:spacing w:before="0" w:after="0"/>
        <w:ind w:hanging="0" w:left="0" w:right="0"/>
        <w:jc w:val="both"/>
        <w:rPr/>
      </w:pPr>
      <w:r>
        <w:rPr/>
        <w:t>1. Адрес оказания услуг — Белгородская обл., г. Старый Оскол ул. Мичурина, д. 4.</w:t>
      </w:r>
    </w:p>
    <w:p>
      <w:pPr>
        <w:pStyle w:val="Normal"/>
        <w:numPr>
          <w:ilvl w:val="0"/>
          <w:numId w:val="0"/>
        </w:numPr>
        <w:tabs>
          <w:tab w:val="clear" w:pos="708"/>
          <w:tab w:val="left" w:pos="993" w:leader="none"/>
        </w:tabs>
        <w:ind w:hanging="0" w:left="0"/>
        <w:jc w:val="both"/>
        <w:rPr/>
      </w:pPr>
      <w:r>
        <w:rPr/>
        <w:t xml:space="preserve">2. Описание услуг — алмазное бурение отверстий в стенах. Количество отверстий — 5 шт, диаметр отверстий 20-50мм. </w:t>
      </w:r>
    </w:p>
    <w:p>
      <w:pPr>
        <w:pStyle w:val="Normal"/>
        <w:numPr>
          <w:ilvl w:val="0"/>
          <w:numId w:val="0"/>
        </w:numPr>
        <w:tabs>
          <w:tab w:val="clear" w:pos="708"/>
          <w:tab w:val="left" w:pos="993" w:leader="none"/>
        </w:tabs>
        <w:ind w:hanging="0" w:left="0"/>
        <w:jc w:val="both"/>
        <w:rPr/>
      </w:pPr>
      <w:r>
        <w:rPr/>
        <w:t xml:space="preserve">3. </w:t>
      </w:r>
      <w:r>
        <w:rPr/>
        <w:t xml:space="preserve">Срок </w:t>
      </w:r>
      <w:r>
        <w:rPr/>
        <w:t>оказания услуг</w:t>
      </w:r>
      <w:r>
        <w:rPr/>
        <w:t xml:space="preserve"> – в течении </w:t>
      </w:r>
      <w:r>
        <w:rPr/>
        <w:t>7</w:t>
      </w:r>
      <w:r>
        <w:rPr/>
        <w:t xml:space="preserve"> календарных дней с даты заключения контракта.</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both"/>
        <w:rPr/>
      </w:pPr>
      <w:r>
        <w:rPr/>
      </w:r>
    </w:p>
    <w:p>
      <w:pPr>
        <w:pStyle w:val="Normal"/>
        <w:jc w:val="both"/>
        <w:rPr/>
      </w:pPr>
      <w:r>
        <w:rPr/>
      </w:r>
    </w:p>
    <w:p>
      <w:pPr>
        <w:pStyle w:val="Normal"/>
        <w:rPr/>
      </w:pPr>
      <w:r>
        <w:rPr/>
      </w:r>
    </w:p>
    <w:p>
      <w:pPr>
        <w:pStyle w:val="Normal"/>
        <w:rPr/>
      </w:pPr>
      <w:r>
        <w:rPr/>
      </w:r>
    </w:p>
    <w:p>
      <w:pPr>
        <w:pStyle w:val="Normal"/>
        <w:rPr/>
      </w:pPr>
      <w:r>
        <w:rPr/>
        <w:t>Заказчик</w:t>
        <w:tab/>
        <w:tab/>
        <w:tab/>
        <w:tab/>
        <w:t xml:space="preserve">                                </w:t>
        <w:tab/>
        <w:t>Исполнитель</w:t>
      </w:r>
    </w:p>
    <w:p>
      <w:pPr>
        <w:pStyle w:val="Normal"/>
        <w:rPr/>
      </w:pPr>
      <w:r>
        <w:rPr/>
      </w:r>
    </w:p>
    <w:p>
      <w:pPr>
        <w:pStyle w:val="Normal"/>
        <w:rPr/>
      </w:pPr>
      <w:r>
        <w:rPr/>
      </w:r>
    </w:p>
    <w:p>
      <w:pPr>
        <w:pStyle w:val="Normal"/>
        <w:rPr/>
      </w:pPr>
      <w:r>
        <w:rPr/>
        <w:t>__________________ В.И. Курило</w:t>
        <w:tab/>
        <w:t xml:space="preserve">                      _________________                 </w:t>
      </w:r>
    </w:p>
    <w:p>
      <w:pPr>
        <w:pStyle w:val="Normal"/>
        <w:jc w:val="right"/>
        <w:rPr/>
      </w:pPr>
      <w:r>
        <w:rPr/>
      </w:r>
    </w:p>
    <w:p>
      <w:pPr>
        <w:pStyle w:val="Normal"/>
        <w:jc w:val="right"/>
        <w:rPr/>
      </w:pPr>
      <w:r>
        <w:rPr/>
      </w:r>
    </w:p>
    <w:p>
      <w:pPr>
        <w:pStyle w:val="Normal"/>
        <w:jc w:val="right"/>
        <w:rPr>
          <w:sz w:val="28"/>
          <w:szCs w:val="28"/>
        </w:rPr>
      </w:pPr>
      <w:r>
        <w:rPr>
          <w:sz w:val="28"/>
          <w:szCs w:val="28"/>
        </w:rPr>
      </w:r>
    </w:p>
    <w:sectPr>
      <w:type w:val="nextPage"/>
      <w:pgSz w:w="11906" w:h="16838"/>
      <w:pgMar w:left="1276" w:right="991"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Courier New">
    <w:charset w:val="cc"/>
    <w:family w:val="roman"/>
    <w:pitch w:val="variable"/>
  </w:font>
  <w:font w:name="Times New Roman CYR">
    <w:charset w:val="cc"/>
    <w:family w:val="roman"/>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lvl>
    <w:lvl w:ilvl="1">
      <w:start w:val="1"/>
      <w:numFmt w:val="decimal"/>
      <w:isLgl/>
      <w:lvlText w:val="%1.%2."/>
      <w:lvlJc w:val="left"/>
      <w:pPr>
        <w:tabs>
          <w:tab w:val="num" w:pos="0"/>
        </w:tabs>
        <w:ind w:left="720" w:hanging="360"/>
      </w:pPr>
      <w:rPr/>
    </w:lvl>
    <w:lvl w:ilvl="2">
      <w:start w:val="1"/>
      <w:numFmt w:val="decimal"/>
      <w:isLgl/>
      <w:lvlText w:val="%1.%2.%3."/>
      <w:lvlJc w:val="left"/>
      <w:pPr>
        <w:tabs>
          <w:tab w:val="num" w:pos="0"/>
        </w:tabs>
        <w:ind w:left="1080" w:hanging="720"/>
      </w:pPr>
      <w:rPr/>
    </w:lvl>
    <w:lvl w:ilvl="3">
      <w:start w:val="1"/>
      <w:numFmt w:val="decimal"/>
      <w:isLgl/>
      <w:lvlText w:val="%1.%2.%3.%4."/>
      <w:lvlJc w:val="left"/>
      <w:pPr>
        <w:tabs>
          <w:tab w:val="num" w:pos="0"/>
        </w:tabs>
        <w:ind w:left="1080" w:hanging="720"/>
      </w:pPr>
      <w:rPr/>
    </w:lvl>
    <w:lvl w:ilvl="4">
      <w:start w:val="1"/>
      <w:numFmt w:val="decimal"/>
      <w:isLgl/>
      <w:lvlText w:val="%1.%2.%3.%4.%5."/>
      <w:lvlJc w:val="left"/>
      <w:pPr>
        <w:tabs>
          <w:tab w:val="num" w:pos="0"/>
        </w:tabs>
        <w:ind w:left="1440" w:hanging="1080"/>
      </w:pPr>
      <w:rPr/>
    </w:lvl>
    <w:lvl w:ilvl="5">
      <w:start w:val="1"/>
      <w:numFmt w:val="decimal"/>
      <w:isLgl/>
      <w:lvlText w:val="%1.%2.%3.%4.%5.%6."/>
      <w:lvlJc w:val="left"/>
      <w:pPr>
        <w:tabs>
          <w:tab w:val="num" w:pos="0"/>
        </w:tabs>
        <w:ind w:left="1440" w:hanging="1080"/>
      </w:pPr>
      <w:rPr/>
    </w:lvl>
    <w:lvl w:ilvl="6">
      <w:start w:val="1"/>
      <w:numFmt w:val="decimal"/>
      <w:isLgl/>
      <w:lvlText w:val="%1.%2.%3.%4.%5.%6.%7."/>
      <w:lvlJc w:val="left"/>
      <w:pPr>
        <w:tabs>
          <w:tab w:val="num" w:pos="0"/>
        </w:tabs>
        <w:ind w:left="1800" w:hanging="1440"/>
      </w:pPr>
      <w:rPr/>
    </w:lvl>
    <w:lvl w:ilvl="7">
      <w:start w:val="1"/>
      <w:numFmt w:val="decimal"/>
      <w:isLgl/>
      <w:lvlText w:val="%1.%2.%3.%4.%5.%6.%7.%8."/>
      <w:lvlJc w:val="left"/>
      <w:pPr>
        <w:tabs>
          <w:tab w:val="num" w:pos="0"/>
        </w:tabs>
        <w:ind w:left="1800" w:hanging="1440"/>
      </w:pPr>
      <w:rPr/>
    </w:lvl>
    <w:lvl w:ilvl="8">
      <w:start w:val="1"/>
      <w:numFmt w:val="decimal"/>
      <w:isLgl/>
      <w:lvlText w:val="%1.%2.%3.%4.%5.%6.%7.%8.%9."/>
      <w:lvlJc w:val="left"/>
      <w:pPr>
        <w:tabs>
          <w:tab w:val="num" w:pos="0"/>
        </w:tabs>
        <w:ind w:left="216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hyphenationZone w:val="0"/>
  <w:compat>
    <w:doNotBreakWrappedTables/>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2a1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rsid w:val="003a2a16"/>
    <w:pPr>
      <w:keepNext w:val="true"/>
      <w:numPr>
        <w:ilvl w:val="0"/>
        <w:numId w:val="1"/>
      </w:numPr>
      <w:jc w:val="both"/>
      <w:outlineLvl w:val="0"/>
    </w:pPr>
    <w:rPr>
      <w:b/>
      <w:bCs/>
    </w:rPr>
  </w:style>
  <w:style w:type="paragraph" w:styleId="Heading2">
    <w:name w:val="heading 2"/>
    <w:basedOn w:val="Normal"/>
    <w:next w:val="Normal"/>
    <w:qFormat/>
    <w:rsid w:val="003a2a16"/>
    <w:pPr>
      <w:keepNext w:val="true"/>
      <w:numPr>
        <w:ilvl w:val="1"/>
        <w:numId w:val="1"/>
      </w:numPr>
      <w:outlineLvl w:val="1"/>
    </w:pPr>
    <w:rPr>
      <w:sz w:val="28"/>
    </w:rPr>
  </w:style>
  <w:style w:type="character" w:styleId="DefaultParagraphFont" w:default="1">
    <w:name w:val="Default Paragraph Font"/>
    <w:uiPriority w:val="1"/>
    <w:semiHidden/>
    <w:unhideWhenUsed/>
    <w:qFormat/>
    <w:rPr/>
  </w:style>
  <w:style w:type="character" w:styleId="WW8Num1z0" w:customStyle="1">
    <w:name w:val="WW8Num1z0"/>
    <w:qFormat/>
    <w:rsid w:val="003a2a16"/>
    <w:rPr/>
  </w:style>
  <w:style w:type="character" w:styleId="WW8Num2z0" w:customStyle="1">
    <w:name w:val="WW8Num2z0"/>
    <w:qFormat/>
    <w:rsid w:val="003a2a16"/>
    <w:rPr/>
  </w:style>
  <w:style w:type="character" w:styleId="Hyperlink">
    <w:name w:val="Hyperlink"/>
    <w:rsid w:val="003a2a16"/>
    <w:rPr>
      <w:color w:val="0000FF"/>
      <w:u w:val="single"/>
    </w:rPr>
  </w:style>
  <w:style w:type="character" w:styleId="Style12" w:customStyle="1">
    <w:name w:val="Текст выноски Знак"/>
    <w:qFormat/>
    <w:rsid w:val="003a2a16"/>
    <w:rPr>
      <w:rFonts w:ascii="Tahoma" w:hAnsi="Tahoma" w:cs="Tahoma"/>
      <w:sz w:val="16"/>
      <w:szCs w:val="16"/>
    </w:rPr>
  </w:style>
  <w:style w:type="character" w:styleId="Style13" w:customStyle="1">
    <w:name w:val="Текст концевой сноски Знак"/>
    <w:basedOn w:val="DefaultParagraphFont"/>
    <w:qFormat/>
    <w:rsid w:val="003a2a16"/>
    <w:rPr/>
  </w:style>
  <w:style w:type="character" w:styleId="Style14" w:customStyle="1">
    <w:name w:val="Символ концевой сноски"/>
    <w:qFormat/>
    <w:rsid w:val="003a2a16"/>
    <w:rPr>
      <w:vertAlign w:val="superscript"/>
    </w:rPr>
  </w:style>
  <w:style w:type="paragraph" w:styleId="Style15" w:customStyle="1">
    <w:name w:val="Заголовок"/>
    <w:basedOn w:val="Normal"/>
    <w:next w:val="BodyText"/>
    <w:qFormat/>
    <w:rsid w:val="003a2a16"/>
    <w:pPr>
      <w:jc w:val="center"/>
    </w:pPr>
    <w:rPr>
      <w:b/>
      <w:bCs/>
      <w:sz w:val="28"/>
    </w:rPr>
  </w:style>
  <w:style w:type="paragraph" w:styleId="BodyText">
    <w:name w:val="Body Text"/>
    <w:basedOn w:val="Normal"/>
    <w:rsid w:val="003a2a16"/>
    <w:pPr>
      <w:jc w:val="both"/>
    </w:pPr>
    <w:rPr/>
  </w:style>
  <w:style w:type="paragraph" w:styleId="List">
    <w:name w:val="List"/>
    <w:basedOn w:val="BodyText"/>
    <w:rsid w:val="003a2a16"/>
    <w:pPr/>
    <w:rPr>
      <w:rFonts w:cs="Arial Unicode MS"/>
    </w:rPr>
  </w:style>
  <w:style w:type="paragraph" w:styleId="Caption">
    <w:name w:val="caption"/>
    <w:basedOn w:val="Normal"/>
    <w:qFormat/>
    <w:rsid w:val="003a2a16"/>
    <w:pPr>
      <w:suppressLineNumbers/>
      <w:spacing w:before="120" w:after="120"/>
    </w:pPr>
    <w:rPr>
      <w:rFonts w:cs="Arial Unicode MS"/>
      <w:i/>
      <w:iCs/>
    </w:rPr>
  </w:style>
  <w:style w:type="paragraph" w:styleId="Style16">
    <w:name w:val="Указатель"/>
    <w:basedOn w:val="Normal"/>
    <w:qFormat/>
    <w:pPr>
      <w:suppressLineNumbers/>
    </w:pPr>
    <w:rPr>
      <w:rFonts w:cs="Arial Unicode MS"/>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user1">
    <w:name w:val="Указатель (user)"/>
    <w:basedOn w:val="Normal"/>
    <w:qFormat/>
    <w:pPr>
      <w:suppressLineNumbers/>
    </w:pPr>
    <w:rPr>
      <w:rFonts w:cs="Arial Unicode MS"/>
    </w:rPr>
  </w:style>
  <w:style w:type="paragraph" w:styleId="IndexHeading">
    <w:name w:val="index heading"/>
    <w:basedOn w:val="Normal"/>
    <w:qFormat/>
    <w:rsid w:val="003a2a16"/>
    <w:pPr>
      <w:suppressLineNumbers/>
    </w:pPr>
    <w:rPr>
      <w:rFonts w:cs="Arial Unicode MS"/>
    </w:rPr>
  </w:style>
  <w:style w:type="paragraph" w:styleId="BodyText2">
    <w:name w:val="Body Text 2"/>
    <w:basedOn w:val="Normal"/>
    <w:qFormat/>
    <w:rsid w:val="003a2a16"/>
    <w:pPr>
      <w:jc w:val="both"/>
    </w:pPr>
    <w:rPr>
      <w:sz w:val="28"/>
    </w:rPr>
  </w:style>
  <w:style w:type="paragraph" w:styleId="DocumentMap">
    <w:name w:val="Document Map"/>
    <w:basedOn w:val="Normal"/>
    <w:qFormat/>
    <w:rsid w:val="003a2a16"/>
    <w:pPr>
      <w:shd w:val="clear" w:color="auto" w:fill="000080"/>
    </w:pPr>
    <w:rPr>
      <w:rFonts w:ascii="Tahoma" w:hAnsi="Tahoma" w:cs="Tahoma"/>
      <w:sz w:val="20"/>
      <w:szCs w:val="20"/>
    </w:rPr>
  </w:style>
  <w:style w:type="paragraph" w:styleId="BalloonText">
    <w:name w:val="Balloon Text"/>
    <w:basedOn w:val="Normal"/>
    <w:qFormat/>
    <w:rsid w:val="003a2a16"/>
    <w:pPr/>
    <w:rPr>
      <w:rFonts w:ascii="Tahoma" w:hAnsi="Tahoma" w:cs="Tahoma"/>
      <w:sz w:val="16"/>
      <w:szCs w:val="16"/>
    </w:rPr>
  </w:style>
  <w:style w:type="paragraph" w:styleId="Standard" w:customStyle="1">
    <w:name w:val="Standard"/>
    <w:qFormat/>
    <w:rsid w:val="003a2a16"/>
    <w:pPr>
      <w:widowControl w:val="false"/>
      <w:suppressAutoHyphens w:val="true"/>
      <w:bidi w:val="0"/>
      <w:spacing w:before="0" w:after="0"/>
      <w:jc w:val="left"/>
      <w:textAlignment w:val="baseline"/>
    </w:pPr>
    <w:rPr>
      <w:rFonts w:ascii="Times New Roman" w:hAnsi="Times New Roman" w:eastAsia="Lucida Sans Unicode" w:cs="Tahoma"/>
      <w:color w:val="000000"/>
      <w:kern w:val="2"/>
      <w:sz w:val="24"/>
      <w:szCs w:val="24"/>
      <w:lang w:val="en-US" w:eastAsia="zh-CN" w:bidi="en-US"/>
    </w:rPr>
  </w:style>
  <w:style w:type="paragraph" w:styleId="EndnoteText">
    <w:name w:val="endnote text"/>
    <w:basedOn w:val="Normal"/>
    <w:rsid w:val="003a2a16"/>
    <w:pPr/>
    <w:rPr>
      <w:sz w:val="20"/>
      <w:szCs w:val="20"/>
    </w:rPr>
  </w:style>
  <w:style w:type="paragraph" w:styleId="ConsPlusNormal1" w:customStyle="1">
    <w:name w:val="ConsPlusNormal1"/>
    <w:qFormat/>
    <w:rsid w:val="003a2a16"/>
    <w:pPr>
      <w:widowControl w:val="false"/>
      <w:suppressAutoHyphens w:val="true"/>
      <w:bidi w:val="0"/>
      <w:spacing w:before="0" w:after="0"/>
      <w:jc w:val="left"/>
    </w:pPr>
    <w:rPr>
      <w:rFonts w:ascii="Arial" w:hAnsi="Arial" w:eastAsia="SimSun;宋体" w:cs="Arial"/>
      <w:color w:val="auto"/>
      <w:kern w:val="0"/>
      <w:sz w:val="24"/>
      <w:szCs w:val="24"/>
      <w:lang w:val="ru-RU" w:eastAsia="zh-CN" w:bidi="ar-SA"/>
    </w:rPr>
  </w:style>
  <w:style w:type="paragraph" w:styleId="ConsPlusNonformat1" w:customStyle="1">
    <w:name w:val="ConsPlusNonformat1"/>
    <w:next w:val="Normal"/>
    <w:qFormat/>
    <w:rsid w:val="003a2a16"/>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zh-CN" w:bidi="ar-SA"/>
    </w:rPr>
  </w:style>
  <w:style w:type="paragraph" w:styleId="Style17" w:customStyle="1">
    <w:name w:val="Содержимое таблицы"/>
    <w:basedOn w:val="Normal"/>
    <w:qFormat/>
    <w:rsid w:val="003a2a16"/>
    <w:pPr>
      <w:widowControl w:val="false"/>
      <w:suppressLineNumbers/>
    </w:pPr>
    <w:rPr/>
  </w:style>
  <w:style w:type="paragraph" w:styleId="Style18" w:customStyle="1">
    <w:name w:val="Заголовок таблицы"/>
    <w:basedOn w:val="Style17"/>
    <w:qFormat/>
    <w:rsid w:val="003a2a16"/>
    <w:pPr>
      <w:jc w:val="center"/>
    </w:pPr>
    <w:rPr>
      <w:b/>
      <w:bCs/>
    </w:rPr>
  </w:style>
  <w:style w:type="paragraph" w:styleId="Style19" w:customStyle="1">
    <w:name w:val="Содержимое врезки"/>
    <w:basedOn w:val="Normal"/>
    <w:qFormat/>
    <w:rsid w:val="003a2a16"/>
    <w:pPr/>
    <w:rPr/>
  </w:style>
  <w:style w:type="paragraph" w:styleId="NormalWeb">
    <w:name w:val="Normal (Web)"/>
    <w:basedOn w:val="Normal"/>
    <w:uiPriority w:val="99"/>
    <w:semiHidden/>
    <w:unhideWhenUsed/>
    <w:qFormat/>
    <w:rsid w:val="008f13b1"/>
    <w:pPr>
      <w:suppressAutoHyphens w:val="false"/>
      <w:spacing w:beforeAutospacing="1" w:afterAutospacing="1"/>
      <w:jc w:val="both"/>
    </w:pPr>
    <w:rPr>
      <w:color w:val="000000"/>
      <w:lang w:eastAsia="ru-RU"/>
    </w:rPr>
  </w:style>
  <w:style w:type="paragraph" w:styleId="NoSpacing">
    <w:name w:val="No Spacing"/>
    <w:uiPriority w:val="1"/>
    <w:qFormat/>
    <w:rsid w:val="008f13b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ListParagraph">
    <w:name w:val="List Paragraph"/>
    <w:basedOn w:val="Normal"/>
    <w:uiPriority w:val="34"/>
    <w:qFormat/>
    <w:rsid w:val="00fb0c69"/>
    <w:pPr>
      <w:spacing w:before="0" w:after="0"/>
      <w:ind w:left="720"/>
      <w:contextualSpacing/>
    </w:pPr>
    <w:rPr/>
  </w:style>
  <w:style w:type="paragraph" w:styleId="user2">
    <w:name w:val="Содержимое врезки (user)"/>
    <w:basedOn w:val="Normal"/>
    <w:qFormat/>
    <w:pPr/>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user5" w:default="1">
    <w:name w:val="Без списка (user)"/>
    <w:uiPriority w:val="99"/>
    <w:semiHidden/>
    <w:unhideWhenUsed/>
    <w:qFormat/>
  </w:style>
  <w:style w:type="numbering" w:styleId="WW8Num1" w:customStyle="1">
    <w:name w:val="WW8Num1"/>
    <w:qFormat/>
    <w:rsid w:val="003a2a16"/>
  </w:style>
  <w:style w:type="numbering" w:styleId="WW8Num2" w:customStyle="1">
    <w:name w:val="WW8Num2"/>
    <w:qFormat/>
    <w:rsid w:val="003a2a16"/>
  </w:style>
  <w:style w:type="numbering" w:styleId="WW8Num3" w:customStyle="1">
    <w:name w:val="WW8Num3"/>
    <w:qFormat/>
    <w:rsid w:val="003a2a16"/>
  </w:style>
  <w:style w:type="numbering" w:styleId="WW8Num4" w:customStyle="1">
    <w:name w:val="WW8Num4"/>
    <w:qFormat/>
    <w:rsid w:val="003a2a1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27B8E-75D2-47FC-AEC3-F3C1E1C0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LibreOffice/26.2.4.2$Windows_X86_64 LibreOffice_project/0229ac93fcf0d7cbc6376066c6f35021cef002dc</Application>
  <AppVersion>15.0000</AppVersion>
  <Pages>5</Pages>
  <Words>1554</Words>
  <Characters>11184</Characters>
  <CharactersWithSpaces>13159</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2025-09-30T14:33:00Z</dcterms:created>
  <dc:creator>nbezkorovaynaya</dc:creator>
  <dc:description/>
  <dc:language>ru-RU</dc:language>
  <cp:lastModifiedBy/>
  <cp:lastPrinted>2025-09-09T16:11:00Z</cp:lastPrinted>
  <dcterms:modified xsi:type="dcterms:W3CDTF">2026-06-29T09:47:58Z</dcterms:modified>
  <cp:revision>17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