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1134"/>
          <w:tab w:val="left" w:pos="1276"/>
        </w:tabs>
        <w:jc w:val="right"/>
        <w:rPr>
          <w:sz w:val="24"/>
          <w:szCs w:val="24"/>
        </w:rPr>
      </w:pPr>
      <w:r>
        <w:rPr>
          <w:b/>
          <w:color w:val="000000"/>
          <w:sz w:val="24"/>
          <w:szCs w:val="24"/>
          <w:lang w:eastAsia="ar-SA"/>
        </w:rPr>
        <w:t>Проект</w:t>
      </w:r>
    </w:p>
    <w:p>
      <w:pPr>
        <w:tabs>
          <w:tab w:val="left" w:pos="567"/>
        </w:tabs>
        <w:ind w:firstLine="709"/>
        <w:jc w:val="center"/>
        <w:rPr>
          <w:b/>
          <w:sz w:val="24"/>
          <w:szCs w:val="24"/>
        </w:rPr>
      </w:pPr>
      <w:r>
        <w:rPr>
          <w:b/>
          <w:color w:val="000000"/>
          <w:sz w:val="24"/>
          <w:szCs w:val="24"/>
          <w:lang w:eastAsia="ar-SA"/>
        </w:rPr>
        <w:t>ГОСУДАРСТВЕННЫЙ КОНТРАКТ</w:t>
      </w:r>
      <w:r>
        <w:rPr>
          <w:color w:val="000000"/>
          <w:sz w:val="24"/>
          <w:szCs w:val="24"/>
          <w:lang w:eastAsia="ar-SA"/>
        </w:rPr>
        <w:t xml:space="preserve"> </w:t>
      </w:r>
      <w:r>
        <w:rPr>
          <w:b/>
          <w:color w:val="000000"/>
          <w:sz w:val="24"/>
          <w:szCs w:val="24"/>
          <w:lang w:eastAsia="ar-SA"/>
        </w:rPr>
        <w:t>№ _____</w:t>
      </w:r>
    </w:p>
    <w:p>
      <w:pPr>
        <w:pStyle w:val="ConsPlusNormal"/>
        <w:tabs>
          <w:tab w:val="left" w:pos="1080"/>
        </w:tabs>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 поставку материалов для ремонта системы отопления объектов Главного управления МЧС России по Алтайскому краю</w:t>
      </w:r>
    </w:p>
    <w:p>
      <w:pPr>
        <w:pStyle w:val="ConsPlusNormal"/>
        <w:tabs>
          <w:tab w:val="left" w:pos="1080"/>
        </w:tabs>
        <w:jc w:val="center"/>
        <w:rPr>
          <w:rFonts w:ascii="Times New Roman" w:hAnsi="Times New Roman" w:cs="Times New Roman"/>
          <w:sz w:val="24"/>
          <w:szCs w:val="24"/>
        </w:rPr>
      </w:pPr>
      <w:r>
        <w:rPr>
          <w:rFonts w:ascii="Times New Roman" w:hAnsi="Times New Roman" w:cs="Times New Roman"/>
          <w:color w:val="000000"/>
          <w:sz w:val="24"/>
          <w:szCs w:val="24"/>
          <w:lang w:eastAsia="ar-SA"/>
        </w:rPr>
        <w:t xml:space="preserve">Идентификационный код закупки № </w:t>
      </w:r>
      <w:r>
        <w:rPr>
          <w:rFonts w:ascii="Times New Roman" w:hAnsi="Times New Roman" w:cs="Times New Roman"/>
          <w:color w:val="000000"/>
          <w:sz w:val="24"/>
          <w:szCs w:val="24"/>
          <w:shd w:val="clear" w:color="auto" w:fill="FAFAFA"/>
        </w:rPr>
        <w:t>261222506617022220100100310000000000</w:t>
      </w:r>
    </w:p>
    <w:p>
      <w:pPr>
        <w:rPr>
          <w:color w:val="000000"/>
          <w:sz w:val="24"/>
          <w:szCs w:val="24"/>
        </w:rPr>
      </w:pPr>
    </w:p>
    <w:p>
      <w:pPr>
        <w:rPr>
          <w:sz w:val="24"/>
          <w:szCs w:val="24"/>
        </w:rPr>
      </w:pPr>
      <w:r>
        <w:rPr>
          <w:color w:val="000000"/>
          <w:sz w:val="24"/>
          <w:szCs w:val="24"/>
          <w:lang w:eastAsia="ar-SA"/>
        </w:rPr>
        <w:t>«___» ___________ 2026 г.                                                                                                          г. Барнаул</w:t>
      </w:r>
    </w:p>
    <w:p>
      <w:pPr>
        <w:rPr>
          <w:color w:val="000000"/>
          <w:sz w:val="24"/>
          <w:szCs w:val="24"/>
          <w:lang w:eastAsia="ar-SA"/>
        </w:rPr>
      </w:pPr>
    </w:p>
    <w:p>
      <w:pPr>
        <w:ind w:firstLine="709"/>
        <w:jc w:val="both"/>
        <w:rPr>
          <w:rFonts w:eastAsia="Arial"/>
          <w:color w:val="000000"/>
          <w:sz w:val="24"/>
          <w:szCs w:val="24"/>
          <w:lang w:eastAsia="ar-SA"/>
        </w:rPr>
      </w:pPr>
      <w:r>
        <w:rPr>
          <w:rFonts w:eastAsia="Arial"/>
          <w:b/>
          <w:color w:val="000000"/>
          <w:sz w:val="24"/>
          <w:szCs w:val="24"/>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(далее – Главное управление МЧС России по Алтайскому краю),</w:t>
      </w:r>
      <w:r>
        <w:rPr>
          <w:rFonts w:eastAsia="Arial"/>
          <w:color w:val="000000"/>
          <w:sz w:val="24"/>
          <w:szCs w:val="24"/>
          <w:lang w:eastAsia="ar-SA"/>
        </w:rPr>
        <w:t xml:space="preserve"> именуемое в дальнейшем </w:t>
      </w:r>
      <w:r>
        <w:rPr>
          <w:rFonts w:eastAsia="Arial"/>
          <w:b/>
          <w:color w:val="000000"/>
          <w:sz w:val="24"/>
          <w:szCs w:val="24"/>
          <w:lang w:eastAsia="ar-SA"/>
        </w:rPr>
        <w:t>«Заказчик»,</w:t>
      </w:r>
      <w:r>
        <w:rPr>
          <w:rFonts w:eastAsia="Arial"/>
          <w:color w:val="000000"/>
          <w:sz w:val="24"/>
          <w:szCs w:val="24"/>
          <w:lang w:eastAsia="ar-SA"/>
        </w:rPr>
        <w:t xml:space="preserve"> в лице __________________________________________, действующего на основании __________________, с одной стороны,</w:t>
      </w:r>
    </w:p>
    <w:p>
      <w:pPr>
        <w:ind w:firstLine="709"/>
        <w:jc w:val="both"/>
        <w:rPr>
          <w:sz w:val="24"/>
          <w:szCs w:val="24"/>
        </w:rPr>
      </w:pPr>
      <w:proofErr w:type="gramStart"/>
      <w:r>
        <w:rPr>
          <w:rFonts w:eastAsia="Arial"/>
          <w:color w:val="000000"/>
          <w:sz w:val="24"/>
          <w:szCs w:val="24"/>
          <w:lang w:eastAsia="ar-SA"/>
        </w:rPr>
        <w:t xml:space="preserve">и __________________________, именуемое в дальнейшем </w:t>
      </w:r>
      <w:r>
        <w:rPr>
          <w:rFonts w:eastAsia="Arial"/>
          <w:b/>
          <w:color w:val="000000"/>
          <w:sz w:val="24"/>
          <w:szCs w:val="24"/>
          <w:lang w:eastAsia="ar-SA"/>
        </w:rPr>
        <w:t xml:space="preserve">«Поставщик», </w:t>
      </w:r>
      <w:r>
        <w:rPr>
          <w:rFonts w:eastAsia="Arial"/>
          <w:color w:val="000000"/>
          <w:sz w:val="24"/>
          <w:szCs w:val="24"/>
          <w:lang w:eastAsia="ar-SA"/>
        </w:rPr>
        <w:t>в лице______,</w:t>
      </w:r>
      <w:r>
        <w:rPr>
          <w:rFonts w:eastAsia="Arial"/>
          <w:b/>
          <w:color w:val="000000"/>
          <w:sz w:val="24"/>
          <w:szCs w:val="24"/>
          <w:lang w:eastAsia="ar-SA"/>
        </w:rPr>
        <w:t xml:space="preserve"> </w:t>
      </w:r>
      <w:r>
        <w:rPr>
          <w:rFonts w:eastAsia="Arial"/>
          <w:color w:val="000000"/>
          <w:sz w:val="24"/>
          <w:szCs w:val="24"/>
          <w:lang w:eastAsia="ar-SA"/>
        </w:rPr>
        <w:t xml:space="preserve">действующего на основании ________, с другой стороны, </w:t>
      </w:r>
      <w:r>
        <w:rPr>
          <w:color w:val="000000"/>
          <w:sz w:val="24"/>
          <w:szCs w:val="24"/>
        </w:rPr>
        <w:t xml:space="preserve">вместе именуемые в дальнейшем «Стороны», на основании </w:t>
      </w:r>
      <w:r>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4"/>
          <w:szCs w:val="24"/>
        </w:rPr>
        <w:t xml:space="preserve"> заключили настоящий Государственный контракт (далее - Контракт) о нижеследующем.</w:t>
      </w:r>
      <w:proofErr w:type="gramEnd"/>
    </w:p>
    <w:p>
      <w:pPr>
        <w:rPr>
          <w:sz w:val="24"/>
          <w:szCs w:val="24"/>
        </w:rPr>
      </w:pPr>
    </w:p>
    <w:p>
      <w:pPr>
        <w:numPr>
          <w:ilvl w:val="0"/>
          <w:numId w:val="1"/>
        </w:numPr>
        <w:ind w:left="0"/>
        <w:jc w:val="center"/>
        <w:rPr>
          <w:sz w:val="24"/>
          <w:szCs w:val="24"/>
        </w:rPr>
      </w:pPr>
      <w:r>
        <w:rPr>
          <w:b/>
          <w:color w:val="000000"/>
          <w:sz w:val="24"/>
          <w:szCs w:val="24"/>
          <w:lang w:eastAsia="ar-SA"/>
        </w:rPr>
        <w:t>Предмет контракта</w:t>
      </w:r>
    </w:p>
    <w:p>
      <w:pPr>
        <w:tabs>
          <w:tab w:val="left" w:pos="993"/>
        </w:tabs>
        <w:ind w:firstLine="709"/>
        <w:jc w:val="both"/>
        <w:rPr>
          <w:sz w:val="24"/>
          <w:szCs w:val="24"/>
        </w:rPr>
      </w:pPr>
      <w:r>
        <w:rPr>
          <w:color w:val="000000"/>
          <w:sz w:val="24"/>
          <w:szCs w:val="24"/>
          <w:lang w:eastAsia="ar-SA"/>
        </w:rPr>
        <w:t>1.1.</w:t>
      </w:r>
      <w:r>
        <w:rPr>
          <w:color w:val="000000"/>
          <w:sz w:val="24"/>
          <w:szCs w:val="24"/>
          <w:lang w:eastAsia="ar-SA"/>
        </w:rPr>
        <w:tab/>
        <w:t xml:space="preserve">Поставщик обязуется </w:t>
      </w:r>
      <w:r>
        <w:rPr>
          <w:b/>
          <w:color w:val="000000"/>
          <w:sz w:val="24"/>
          <w:szCs w:val="24"/>
          <w:lang w:eastAsia="ar-SA"/>
        </w:rPr>
        <w:t xml:space="preserve">поставить </w:t>
      </w:r>
      <w:r>
        <w:rPr>
          <w:b/>
          <w:color w:val="000000"/>
          <w:sz w:val="24"/>
          <w:szCs w:val="24"/>
          <w:lang w:eastAsia="ru-RU"/>
        </w:rPr>
        <w:t>материалы для ремонта системы отопления объектов Главного управления МЧС России по Алтайскому краю</w:t>
      </w:r>
      <w:r>
        <w:rPr>
          <w:color w:val="000000"/>
          <w:sz w:val="24"/>
          <w:szCs w:val="24"/>
          <w:lang w:eastAsia="ar-SA"/>
        </w:rPr>
        <w:t xml:space="preserve"> (далее - Товар), а Заказчик обязуется принять и оплатить Товар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lang w:eastAsia="ar-SA"/>
        </w:rPr>
        <w:t>1.2.</w:t>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rPr>
        <w:t>Наименование, количество и иные характеристики поставляемого Товара указаны в спецификации (</w:t>
      </w:r>
      <w:hyperlink w:anchor="P1909" w:tgtFrame="#P1909">
        <w:r>
          <w:rPr>
            <w:rStyle w:val="af1"/>
            <w:rFonts w:ascii="Times New Roman" w:hAnsi="Times New Roman" w:cs="Times New Roman"/>
            <w:color w:val="000000"/>
            <w:sz w:val="24"/>
            <w:szCs w:val="24"/>
            <w:u w:val="none"/>
          </w:rPr>
          <w:t>приложение</w:t>
        </w:r>
      </w:hyperlink>
      <w:r>
        <w:rPr>
          <w:rFonts w:ascii="Times New Roman" w:hAnsi="Times New Roman" w:cs="Times New Roman"/>
          <w:color w:val="000000"/>
          <w:sz w:val="24"/>
          <w:szCs w:val="24"/>
        </w:rPr>
        <w:t xml:space="preserve"> № 2 к Контракту) и Техническом </w:t>
      </w:r>
      <w:proofErr w:type="gramStart"/>
      <w:r>
        <w:rPr>
          <w:rFonts w:ascii="Times New Roman" w:hAnsi="Times New Roman" w:cs="Times New Roman"/>
          <w:color w:val="000000"/>
          <w:sz w:val="24"/>
          <w:szCs w:val="24"/>
        </w:rPr>
        <w:t>задании</w:t>
      </w:r>
      <w:proofErr w:type="gramEnd"/>
      <w:r>
        <w:rPr>
          <w:rFonts w:ascii="Times New Roman" w:hAnsi="Times New Roman" w:cs="Times New Roman"/>
          <w:color w:val="000000"/>
          <w:sz w:val="24"/>
          <w:szCs w:val="24"/>
        </w:rPr>
        <w:t xml:space="preserve"> (приложение № 1 к Контракту), являющимися неотъемлемой частью Контракта.</w:t>
      </w:r>
    </w:p>
    <w:p>
      <w:pPr>
        <w:jc w:val="both"/>
        <w:rPr>
          <w:bCs/>
          <w:color w:val="000000"/>
          <w:sz w:val="24"/>
          <w:szCs w:val="24"/>
          <w:lang w:eastAsia="ar-SA"/>
        </w:rPr>
      </w:pPr>
    </w:p>
    <w:p>
      <w:pPr>
        <w:numPr>
          <w:ilvl w:val="0"/>
          <w:numId w:val="1"/>
        </w:numPr>
        <w:ind w:left="0"/>
        <w:jc w:val="center"/>
        <w:rPr>
          <w:sz w:val="24"/>
          <w:szCs w:val="24"/>
        </w:rPr>
      </w:pPr>
      <w:r>
        <w:rPr>
          <w:b/>
          <w:color w:val="000000"/>
          <w:sz w:val="24"/>
          <w:szCs w:val="24"/>
          <w:lang w:eastAsia="ar-SA"/>
        </w:rPr>
        <w:t>Цена контракта и порядок расчётов</w:t>
      </w:r>
    </w:p>
    <w:p>
      <w:pPr>
        <w:ind w:firstLine="709"/>
        <w:jc w:val="both"/>
        <w:rPr>
          <w:sz w:val="24"/>
          <w:szCs w:val="24"/>
          <w:lang w:eastAsia="hi-IN" w:bidi="hi-IN"/>
        </w:rPr>
      </w:pPr>
      <w:r>
        <w:rPr>
          <w:color w:val="000000"/>
          <w:sz w:val="24"/>
          <w:szCs w:val="24"/>
          <w:lang w:eastAsia="ar-SA"/>
        </w:rPr>
        <w:t xml:space="preserve">2.1. </w:t>
      </w:r>
      <w:proofErr w:type="gramStart"/>
      <w:r>
        <w:rPr>
          <w:bCs/>
          <w:sz w:val="24"/>
          <w:szCs w:val="24"/>
          <w:lang w:eastAsia="ru-RU"/>
        </w:rPr>
        <w:t xml:space="preserve">Цена Контракта составляет </w:t>
      </w:r>
      <w:r>
        <w:rPr>
          <w:b/>
          <w:spacing w:val="-4"/>
          <w:sz w:val="24"/>
          <w:szCs w:val="24"/>
          <w:lang w:eastAsia="ru-RU"/>
        </w:rPr>
        <w:t>_________ (___________) рублей ___ копеек,</w:t>
      </w:r>
      <w:r>
        <w:rPr>
          <w:spacing w:val="-4"/>
          <w:sz w:val="24"/>
          <w:szCs w:val="24"/>
          <w:lang w:eastAsia="ru-RU"/>
        </w:rPr>
        <w:t xml:space="preserve"> </w:t>
      </w:r>
      <w:r>
        <w:rPr>
          <w:sz w:val="24"/>
          <w:szCs w:val="24"/>
          <w:lang w:eastAsia="ru-RU"/>
        </w:rPr>
        <w:t>в том числе НДС _____ (_____) рублей _____ копеек (</w:t>
      </w:r>
      <w:r>
        <w:rPr>
          <w:i/>
          <w:sz w:val="24"/>
          <w:szCs w:val="24"/>
          <w:lang w:eastAsia="ru-RU"/>
        </w:rPr>
        <w:t xml:space="preserve">Указывается в случае, если контракт заключается с лицами, являющимися в соответствии с Налоговым </w:t>
      </w:r>
      <w:hyperlink r:id="rId10">
        <w:r>
          <w:rPr>
            <w:i/>
            <w:sz w:val="24"/>
            <w:szCs w:val="24"/>
            <w:lang w:eastAsia="ru-RU"/>
          </w:rPr>
          <w:t>кодексом</w:t>
        </w:r>
      </w:hyperlink>
      <w:r>
        <w:rPr>
          <w:i/>
          <w:sz w:val="24"/>
          <w:szCs w:val="24"/>
          <w:lang w:eastAsia="ru-RU"/>
        </w:rPr>
        <w:t xml:space="preserve"> Российской Федерации (Собрание законодательства Российской Федерации, 2000, № 32, ст. 3340;</w:t>
      </w:r>
      <w:proofErr w:type="gramEnd"/>
      <w:r>
        <w:rPr>
          <w:i/>
          <w:sz w:val="24"/>
          <w:szCs w:val="24"/>
          <w:lang w:eastAsia="ru-RU"/>
        </w:rPr>
        <w:t xml:space="preserve"> </w:t>
      </w:r>
      <w:proofErr w:type="gramStart"/>
      <w:r>
        <w:rPr>
          <w:i/>
          <w:sz w:val="24"/>
          <w:szCs w:val="24"/>
          <w:lang w:eastAsia="ru-RU"/>
        </w:rPr>
        <w:t>2019, № 39, ст. 5375) плательщиками НДС)</w:t>
      </w:r>
      <w:r>
        <w:rPr>
          <w:sz w:val="24"/>
          <w:szCs w:val="24"/>
          <w:lang w:eastAsia="ru-RU"/>
        </w:rPr>
        <w:t xml:space="preserve"> (НДС не облагается) </w:t>
      </w:r>
      <w:r>
        <w:rPr>
          <w:i/>
          <w:sz w:val="24"/>
          <w:szCs w:val="24"/>
          <w:lang w:eastAsia="ru-RU"/>
        </w:rPr>
        <w:t xml:space="preserve">(Указывается в случае, если контракт заключается с лицами, не являющимися в соответствии с Налоговым </w:t>
      </w:r>
      <w:hyperlink r:id="rId11">
        <w:r>
          <w:rPr>
            <w:i/>
            <w:sz w:val="24"/>
            <w:szCs w:val="24"/>
            <w:lang w:eastAsia="ru-RU"/>
          </w:rPr>
          <w:t>кодексом</w:t>
        </w:r>
      </w:hyperlink>
      <w:r>
        <w:rPr>
          <w:i/>
          <w:sz w:val="24"/>
          <w:szCs w:val="24"/>
          <w:lang w:eastAsia="ru-RU"/>
        </w:rPr>
        <w:t xml:space="preserve"> Российской Федерации плательщиками НДС).</w:t>
      </w:r>
      <w:proofErr w:type="gramEnd"/>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2.2. </w:t>
      </w:r>
      <w:proofErr w:type="gramStart"/>
      <w:r>
        <w:rPr>
          <w:rFonts w:ascii="Times New Roman" w:hAnsi="Times New Roman" w:cs="Times New Roman"/>
          <w:color w:val="000000"/>
          <w:sz w:val="24"/>
          <w:szCs w:val="24"/>
          <w:lang w:eastAsia="ar-SA"/>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2.3. </w:t>
      </w:r>
      <w:proofErr w:type="gramStart"/>
      <w:r>
        <w:rPr>
          <w:rFonts w:ascii="Times New Roman" w:hAnsi="Times New Roman" w:cs="Times New Roman"/>
          <w:color w:val="000000"/>
          <w:sz w:val="24"/>
          <w:szCs w:val="24"/>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2.5. Источник финансирования Контракта - Федеральный бюджет на 2026 год.</w:t>
      </w:r>
    </w:p>
    <w:p>
      <w:pPr>
        <w:pStyle w:val="ConsPlusNormal"/>
        <w:ind w:firstLine="709"/>
        <w:jc w:val="both"/>
        <w:rPr>
          <w:color w:val="C9211E"/>
        </w:rPr>
      </w:pPr>
      <w:r>
        <w:rPr>
          <w:rFonts w:ascii="Times New Roman" w:hAnsi="Times New Roman" w:cs="Times New Roman"/>
          <w:color w:val="C9211E"/>
          <w:sz w:val="24"/>
          <w:szCs w:val="24"/>
          <w:lang w:eastAsia="ar-SA"/>
        </w:rPr>
        <w:t>КБК 177 0310 10401 90049 244.</w:t>
      </w:r>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2.6. Расчеты между Заказчиком и Поставщиком производятся в течение 7 (семи) рабочих дней </w:t>
      </w:r>
      <w:proofErr w:type="gramStart"/>
      <w:r>
        <w:rPr>
          <w:rFonts w:ascii="Times New Roman" w:hAnsi="Times New Roman" w:cs="Times New Roman"/>
          <w:color w:val="000000"/>
          <w:sz w:val="24"/>
          <w:szCs w:val="24"/>
          <w:lang w:eastAsia="ar-SA"/>
        </w:rPr>
        <w:t>с даты подписания</w:t>
      </w:r>
      <w:proofErr w:type="gramEnd"/>
      <w:r>
        <w:rPr>
          <w:rFonts w:ascii="Times New Roman" w:hAnsi="Times New Roman" w:cs="Times New Roman"/>
          <w:color w:val="000000"/>
          <w:sz w:val="24"/>
          <w:szCs w:val="24"/>
          <w:lang w:eastAsia="ar-SA"/>
        </w:rPr>
        <w:t xml:space="preserve"> Заказчиком документов о приемке (УПД или </w:t>
      </w:r>
      <w:r>
        <w:rPr>
          <w:rFonts w:ascii="Times New Roman" w:hAnsi="Times New Roman" w:cs="Times New Roman"/>
          <w:sz w:val="24"/>
          <w:szCs w:val="24"/>
        </w:rPr>
        <w:t>товарной накладной или иного документа, подтверждающего поставку Товара)</w:t>
      </w:r>
      <w:r>
        <w:rPr>
          <w:rFonts w:ascii="Times New Roman" w:hAnsi="Times New Roman" w:cs="Times New Roman"/>
          <w:color w:val="000000"/>
          <w:sz w:val="24"/>
          <w:szCs w:val="24"/>
          <w:lang w:eastAsia="ar-SA"/>
        </w:rPr>
        <w:t>.</w:t>
      </w:r>
    </w:p>
    <w:p>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
        <w:ind w:firstLine="0"/>
        <w:jc w:val="both"/>
        <w:rPr>
          <w:rFonts w:ascii="Times New Roman" w:hAnsi="Times New Roman" w:cs="Times New Roman"/>
          <w:color w:val="000000"/>
          <w:sz w:val="24"/>
          <w:szCs w:val="24"/>
          <w:lang w:eastAsia="ar-SA"/>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III. Порядок, сроки и условия поставки и приемки Товара</w:t>
      </w:r>
    </w:p>
    <w:p>
      <w:pPr>
        <w:pStyle w:val="ConsPlusNormal"/>
        <w:ind w:firstLine="709"/>
        <w:jc w:val="both"/>
        <w:rPr>
          <w:rFonts w:ascii="Times New Roman" w:hAnsi="Times New Roman" w:cs="Times New Roman"/>
          <w:sz w:val="24"/>
          <w:szCs w:val="24"/>
        </w:rPr>
      </w:pPr>
      <w:bookmarkStart w:id="0" w:name="P1480"/>
      <w:bookmarkEnd w:id="0"/>
      <w:r>
        <w:rPr>
          <w:rFonts w:ascii="Times New Roman" w:hAnsi="Times New Roman" w:cs="Times New Roman"/>
          <w:color w:val="000000"/>
          <w:sz w:val="24"/>
          <w:szCs w:val="24"/>
        </w:rPr>
        <w:t xml:space="preserve">3.1. Поставщик самостоятельно доставляет Товар Заказчику по адресу: Алтайский край, г. Барнаул, улица </w:t>
      </w:r>
      <w:proofErr w:type="spellStart"/>
      <w:r>
        <w:rPr>
          <w:rFonts w:ascii="Times New Roman" w:hAnsi="Times New Roman" w:cs="Times New Roman"/>
          <w:color w:val="000000"/>
          <w:sz w:val="24"/>
          <w:szCs w:val="24"/>
        </w:rPr>
        <w:t>Папанинцев</w:t>
      </w:r>
      <w:proofErr w:type="spellEnd"/>
      <w:r>
        <w:rPr>
          <w:rFonts w:ascii="Times New Roman" w:hAnsi="Times New Roman" w:cs="Times New Roman"/>
          <w:color w:val="000000"/>
          <w:sz w:val="24"/>
          <w:szCs w:val="24"/>
        </w:rPr>
        <w:t xml:space="preserve">, дом 190 (далее - место доставки) в течение </w:t>
      </w:r>
      <w:r>
        <w:rPr>
          <w:rFonts w:ascii="Times New Roman" w:hAnsi="Times New Roman" w:cs="Times New Roman"/>
          <w:sz w:val="24"/>
          <w:szCs w:val="24"/>
        </w:rPr>
        <w:t>10 (десяти) рабочих</w:t>
      </w:r>
      <w:r>
        <w:rPr>
          <w:rFonts w:ascii="Times New Roman" w:hAnsi="Times New Roman" w:cs="Times New Roman"/>
          <w:color w:val="000000"/>
          <w:sz w:val="24"/>
          <w:szCs w:val="24"/>
        </w:rPr>
        <w:t xml:space="preserve"> дней с даты заключения Контракта.</w:t>
      </w:r>
      <w:bookmarkStart w:id="1" w:name="_GoBack"/>
      <w:bookmarkEnd w:id="1"/>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
        <w:ind w:firstLine="709"/>
        <w:jc w:val="both"/>
        <w:rPr>
          <w:rFonts w:ascii="Times New Roman" w:hAnsi="Times New Roman" w:cs="Times New Roman"/>
          <w:sz w:val="24"/>
          <w:szCs w:val="24"/>
        </w:rPr>
      </w:pPr>
      <w:bookmarkStart w:id="2" w:name="P1482"/>
      <w:bookmarkStart w:id="3" w:name="P1485"/>
      <w:bookmarkEnd w:id="2"/>
      <w:bookmarkEnd w:id="3"/>
      <w:r>
        <w:rPr>
          <w:rFonts w:ascii="Times New Roman" w:hAnsi="Times New Roman" w:cs="Times New Roman"/>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tgtFrame="consultantplus://offline/ref=782E9CC4CCC6932545801925E3B536176E50B53C1FD70BD7655CABC93DB89C27024180C10398FB96372E7F1F5737VEP">
        <w:r>
          <w:rPr>
            <w:rStyle w:val="af1"/>
            <w:rFonts w:ascii="Times New Roman" w:hAnsi="Times New Roman" w:cs="Times New Roman"/>
            <w:color w:val="000000"/>
            <w:sz w:val="24"/>
            <w:szCs w:val="24"/>
            <w:u w:val="none"/>
          </w:rPr>
          <w:t>законом</w:t>
        </w:r>
      </w:hyperlink>
      <w:r>
        <w:rPr>
          <w:rFonts w:ascii="Times New Roman" w:hAnsi="Times New Roman" w:cs="Times New Roman"/>
          <w:color w:val="000000"/>
          <w:sz w:val="24"/>
          <w:szCs w:val="24"/>
        </w:rPr>
        <w:t xml:space="preserve"> </w:t>
      </w:r>
      <w:r>
        <w:rPr>
          <w:rFonts w:ascii="Times New Roman" w:hAnsi="Times New Roman" w:cs="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bookmarkStart w:id="4" w:name="P1489"/>
      <w:bookmarkEnd w:id="4"/>
      <w:r>
        <w:rPr>
          <w:rFonts w:ascii="Times New Roman" w:hAnsi="Times New Roman" w:cs="Times New Roman"/>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p>
    <w:p>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3.6. </w:t>
      </w:r>
      <w:proofErr w:type="gramStart"/>
      <w:r>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w:t>
      </w:r>
      <w:r>
        <w:rPr>
          <w:rFonts w:ascii="Times New Roman" w:hAnsi="Times New Roman" w:cs="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w:t>
      </w:r>
      <w:proofErr w:type="gramEnd"/>
      <w:r>
        <w:rPr>
          <w:rFonts w:ascii="Times New Roman" w:hAnsi="Times New Roman" w:cs="Times New Roman"/>
          <w:color w:val="000000"/>
          <w:sz w:val="24"/>
          <w:szCs w:val="24"/>
        </w:rPr>
        <w:t xml:space="preserve"> в </w:t>
      </w:r>
      <w:hyperlink w:anchor="P1489" w:tgtFrame="#P1489">
        <w:r>
          <w:rPr>
            <w:rStyle w:val="af1"/>
            <w:rFonts w:ascii="Times New Roman" w:hAnsi="Times New Roman" w:cs="Times New Roman"/>
            <w:color w:val="000000"/>
            <w:sz w:val="24"/>
            <w:szCs w:val="24"/>
            <w:u w:val="none"/>
          </w:rPr>
          <w:t>пункте 3.</w:t>
        </w:r>
      </w:hyperlink>
      <w:r>
        <w:rPr>
          <w:rFonts w:ascii="Times New Roman" w:hAnsi="Times New Roman" w:cs="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Pr>
            <w:rStyle w:val="af1"/>
            <w:rFonts w:ascii="Times New Roman" w:hAnsi="Times New Roman" w:cs="Times New Roman"/>
            <w:color w:val="000000"/>
            <w:sz w:val="24"/>
            <w:szCs w:val="24"/>
            <w:u w:val="none"/>
          </w:rPr>
          <w:t>пункте 3.</w:t>
        </w:r>
      </w:hyperlink>
      <w:r>
        <w:rPr>
          <w:rFonts w:ascii="Times New Roman" w:hAnsi="Times New Roman" w:cs="Times New Roman"/>
          <w:color w:val="000000"/>
          <w:sz w:val="24"/>
          <w:szCs w:val="24"/>
        </w:rPr>
        <w:t>5 Контракта.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ConsPlusNormal"/>
        <w:ind w:firstLine="0"/>
        <w:jc w:val="both"/>
        <w:rPr>
          <w:rFonts w:ascii="Times New Roman" w:hAnsi="Times New Roman" w:cs="Times New Roman"/>
          <w:color w:val="000000"/>
          <w:sz w:val="24"/>
          <w:szCs w:val="24"/>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IV. Взаимодействие Сторон</w:t>
      </w:r>
    </w:p>
    <w:p>
      <w:pPr>
        <w:pStyle w:val="ConsPlusNormal"/>
        <w:ind w:firstLine="709"/>
        <w:jc w:val="both"/>
        <w:rPr>
          <w:rFonts w:ascii="Times New Roman" w:hAnsi="Times New Roman" w:cs="Times New Roman"/>
          <w:b/>
          <w:color w:val="000000"/>
          <w:sz w:val="24"/>
          <w:szCs w:val="24"/>
        </w:rPr>
      </w:pPr>
      <w:bookmarkStart w:id="5" w:name="P1497"/>
      <w:bookmarkEnd w:id="5"/>
      <w:r>
        <w:rPr>
          <w:rFonts w:ascii="Times New Roman" w:hAnsi="Times New Roman" w:cs="Times New Roman"/>
          <w:b/>
          <w:color w:val="000000"/>
          <w:sz w:val="24"/>
          <w:szCs w:val="24"/>
        </w:rPr>
        <w:t>4.1. Поставщик обязан:</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4.2. Поставщик вправе:</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4.2.1. требовать от Заказчика произвести приемку Товара в порядке и в сроки, предусмотренные Контрактом;</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4.2.3.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4.2.4. требовать возмещения убытков,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w:t>
      </w:r>
      <w:proofErr w:type="gramEnd"/>
      <w:r>
        <w:rPr>
          <w:rFonts w:ascii="Times New Roman" w:hAnsi="Times New Roman" w:cs="Times New Roman"/>
          <w:color w:val="000000"/>
          <w:sz w:val="24"/>
          <w:szCs w:val="24"/>
        </w:rPr>
        <w:t xml:space="preserve">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4.3. Заказчик обязуется:</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4.3.1. обеспечить своевременную приемку и оплату поставленного Товара надлежащего качества в </w:t>
      </w:r>
      <w:proofErr w:type="gramStart"/>
      <w:r>
        <w:rPr>
          <w:rFonts w:ascii="Times New Roman" w:hAnsi="Times New Roman" w:cs="Times New Roman"/>
          <w:color w:val="000000"/>
          <w:sz w:val="24"/>
          <w:szCs w:val="24"/>
        </w:rPr>
        <w:t>порядке</w:t>
      </w:r>
      <w:proofErr w:type="gramEnd"/>
      <w:r>
        <w:rPr>
          <w:rFonts w:ascii="Times New Roman" w:hAnsi="Times New Roman" w:cs="Times New Roman"/>
          <w:color w:val="000000"/>
          <w:sz w:val="24"/>
          <w:szCs w:val="24"/>
        </w:rPr>
        <w:t xml:space="preserve"> и сроки, предусмотренные Контрактом; </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4.3.2. принять решение об одностороннем отказе от исполнения Контракта в случаях, если в ходе исполнения Контракта установлено, что:</w:t>
      </w:r>
    </w:p>
    <w:p>
      <w:pPr>
        <w:pStyle w:val="ConsPlusNormal"/>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«О контрактной системе в сфере закупок товаров, работ, услуг для обеспечения государственных и муниципальных нужд»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w:t>
      </w:r>
      <w:proofErr w:type="gramEnd"/>
      <w:r>
        <w:rPr>
          <w:rFonts w:ascii="Times New Roman" w:hAnsi="Times New Roman" w:cs="Times New Roman"/>
          <w:color w:val="000000"/>
          <w:sz w:val="24"/>
          <w:szCs w:val="24"/>
        </w:rPr>
        <w:t xml:space="preserve"> от 05.04.2013 № 44-ФЗ «О </w:t>
      </w:r>
      <w:r>
        <w:rPr>
          <w:rFonts w:ascii="Times New Roman" w:hAnsi="Times New Roman" w:cs="Times New Roman"/>
          <w:color w:val="000000"/>
          <w:sz w:val="24"/>
          <w:szCs w:val="24"/>
        </w:rPr>
        <w:lastRenderedPageBreak/>
        <w:t>контрактной системе в сфере закупок товаров, работ, услуг для обеспечения государственных и муниципальных нужд») и (или) поставляемому Товару;</w:t>
      </w:r>
    </w:p>
    <w:p>
      <w:pPr>
        <w:pStyle w:val="ConsPlusNormal"/>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пункта 1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что позволило ему стать победителем определения Поставщика;</w:t>
      </w:r>
      <w:proofErr w:type="gramEnd"/>
    </w:p>
    <w:p>
      <w:pPr>
        <w:pStyle w:val="ConsPlusNormal"/>
        <w:ind w:firstLine="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«О контрактной системе в сфере закупок товаров, работ, услуг для обеспечения государственных и</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муниципальных нужд»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Pr>
          <w:rFonts w:ascii="Times New Roman" w:hAnsi="Times New Roman" w:cs="Times New Roman"/>
          <w:color w:val="000000"/>
          <w:sz w:val="24"/>
          <w:szCs w:val="24"/>
        </w:rPr>
        <w:t xml:space="preserve"> нужд»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4.3.4. требовать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4.4. Заказчик вправе:</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4.4.1. требовать от Поставщика надлежащего исполнения обязательств по Контракту;</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4.4.4. требовать возмещения убытков в соответствии с разделом VI Контракта, причиненных по вине Поставщика;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4.4.6. отказаться от приемки и оплаты Товара, не соответствующего условиям Контракта;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
        <w:ind w:firstLine="0"/>
        <w:jc w:val="both"/>
        <w:rPr>
          <w:rFonts w:ascii="Times New Roman" w:hAnsi="Times New Roman" w:cs="Times New Roman"/>
          <w:color w:val="000000"/>
          <w:sz w:val="24"/>
          <w:szCs w:val="24"/>
        </w:rPr>
      </w:pPr>
    </w:p>
    <w:p>
      <w:pPr>
        <w:pStyle w:val="ConsPlusNormal"/>
        <w:ind w:firstLine="709"/>
        <w:jc w:val="center"/>
        <w:rPr>
          <w:rFonts w:ascii="Times New Roman" w:hAnsi="Times New Roman" w:cs="Times New Roman"/>
          <w:sz w:val="24"/>
          <w:szCs w:val="24"/>
        </w:rPr>
      </w:pPr>
      <w:bookmarkStart w:id="6" w:name="P1539"/>
      <w:bookmarkEnd w:id="6"/>
      <w:r>
        <w:rPr>
          <w:rFonts w:ascii="Times New Roman" w:hAnsi="Times New Roman" w:cs="Times New Roman"/>
          <w:b/>
          <w:color w:val="000000"/>
          <w:sz w:val="24"/>
          <w:szCs w:val="24"/>
        </w:rPr>
        <w:t>V. Качество Товара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5.1. Поставщик гарантирует, что поставляемый Товар соответствует требованиям, установленным Контрактом.</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5.3. Товар должен быть упакован и замаркирован в соответствии с действующими стандартами.</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
        <w:ind w:firstLine="0"/>
        <w:jc w:val="both"/>
        <w:rPr>
          <w:rFonts w:ascii="Times New Roman" w:hAnsi="Times New Roman" w:cs="Times New Roman"/>
          <w:color w:val="000000"/>
          <w:sz w:val="24"/>
          <w:szCs w:val="24"/>
        </w:rPr>
      </w:pPr>
      <w:bookmarkStart w:id="7" w:name="P1546"/>
      <w:bookmarkEnd w:id="7"/>
    </w:p>
    <w:p>
      <w:pPr>
        <w:pStyle w:val="ConsPlusNormal"/>
        <w:ind w:firstLine="709"/>
        <w:jc w:val="center"/>
        <w:rPr>
          <w:rFonts w:ascii="Times New Roman" w:hAnsi="Times New Roman" w:cs="Times New Roman"/>
          <w:sz w:val="24"/>
          <w:szCs w:val="24"/>
        </w:rPr>
      </w:pPr>
      <w:bookmarkStart w:id="8" w:name="P1550"/>
      <w:bookmarkEnd w:id="8"/>
      <w:r>
        <w:rPr>
          <w:rFonts w:ascii="Times New Roman" w:hAnsi="Times New Roman" w:cs="Times New Roman"/>
          <w:b/>
          <w:color w:val="000000"/>
          <w:sz w:val="24"/>
          <w:szCs w:val="24"/>
        </w:rPr>
        <w:t>VI. Ответственность Сторон</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
        <w:ind w:firstLine="709"/>
        <w:jc w:val="both"/>
        <w:rPr>
          <w:rFonts w:ascii="Times New Roman" w:hAnsi="Times New Roman" w:cs="Times New Roman"/>
          <w:sz w:val="24"/>
          <w:szCs w:val="24"/>
        </w:rPr>
      </w:pPr>
      <w:bookmarkStart w:id="9" w:name="P1554"/>
      <w:bookmarkEnd w:id="9"/>
      <w:r>
        <w:rPr>
          <w:rFonts w:ascii="Times New Roman" w:hAnsi="Times New Roman" w:cs="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Pr>
          <w:rFonts w:ascii="Times New Roman" w:hAnsi="Times New Roman" w:cs="Times New Roman"/>
          <w:color w:val="000000"/>
          <w:sz w:val="24"/>
          <w:szCs w:val="24"/>
        </w:rPr>
        <w:t xml:space="preserve">Размер штрафа определяется в соответствии с </w:t>
      </w:r>
      <w:hyperlink r:id="rId13" w:tgtFrame="consultantplus://offline/ref=782E9CC4CCC6932545801925E3B536176E57B6381BDA0BD7655CABC93DB89C271041D8CF0ACBB4D2653D7F184B7ED2198541ED34VBP">
        <w:r>
          <w:rPr>
            <w:rStyle w:val="af1"/>
            <w:rFonts w:ascii="Times New Roman" w:hAnsi="Times New Roman" w:cs="Times New Roman"/>
            <w:color w:val="000000"/>
            <w:sz w:val="24"/>
            <w:szCs w:val="24"/>
            <w:u w:val="none"/>
          </w:rPr>
          <w:t>Правилами</w:t>
        </w:r>
      </w:hyperlink>
      <w:r>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2019, № 32, ст. 4721) (далее - Правила), и составляет: </w:t>
      </w:r>
      <w:proofErr w:type="gramEnd"/>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 процентов цены Контракта (этапа) в случае, если цена Контракта (этапа) не превышает 3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5 процентов цены Контракта (этапа) в случае, если цена Контракта (этапа) составляет от 3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50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 процент цены Контракта (этапа) в случае, если цена Контракта (этапа) составляет от 50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100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0,5 процента цены Контракта (этапа) в случае, если цена Контракта (этапа) составляет от 100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500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0,4 процента цены Контракта (этапа) в случае, если цена Контракта (этапа) составляет от 500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1 млрд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0,3 процента цены Контракта (этапа) в случае, если цена Контракта (этапа) составляет от 1 </w:t>
      </w:r>
      <w:proofErr w:type="gramStart"/>
      <w:r>
        <w:rPr>
          <w:rFonts w:ascii="Times New Roman" w:hAnsi="Times New Roman" w:cs="Times New Roman"/>
          <w:color w:val="000000"/>
          <w:sz w:val="24"/>
          <w:szCs w:val="24"/>
        </w:rPr>
        <w:t>млрд</w:t>
      </w:r>
      <w:proofErr w:type="gramEnd"/>
      <w:r>
        <w:rPr>
          <w:rFonts w:ascii="Times New Roman" w:hAnsi="Times New Roman" w:cs="Times New Roman"/>
          <w:color w:val="000000"/>
          <w:sz w:val="24"/>
          <w:szCs w:val="24"/>
        </w:rPr>
        <w:t xml:space="preserve"> рублей до 2 млрд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0,25 процента цены Контракта (этапа) в случае, если цена Контракта (этапа) составляет от 2 </w:t>
      </w:r>
      <w:proofErr w:type="gramStart"/>
      <w:r>
        <w:rPr>
          <w:rFonts w:ascii="Times New Roman" w:hAnsi="Times New Roman" w:cs="Times New Roman"/>
          <w:color w:val="000000"/>
          <w:sz w:val="24"/>
          <w:szCs w:val="24"/>
        </w:rPr>
        <w:t>млрд</w:t>
      </w:r>
      <w:proofErr w:type="gramEnd"/>
      <w:r>
        <w:rPr>
          <w:rFonts w:ascii="Times New Roman" w:hAnsi="Times New Roman" w:cs="Times New Roman"/>
          <w:color w:val="000000"/>
          <w:sz w:val="24"/>
          <w:szCs w:val="24"/>
        </w:rPr>
        <w:t xml:space="preserve"> рублей до 5 млрд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0,2 процента цены Контракта (этапа) в случае, если цена Контракта (этапа) составляет от 5 </w:t>
      </w:r>
      <w:proofErr w:type="gramStart"/>
      <w:r>
        <w:rPr>
          <w:rFonts w:ascii="Times New Roman" w:hAnsi="Times New Roman" w:cs="Times New Roman"/>
          <w:color w:val="000000"/>
          <w:sz w:val="24"/>
          <w:szCs w:val="24"/>
        </w:rPr>
        <w:t>млрд</w:t>
      </w:r>
      <w:proofErr w:type="gramEnd"/>
      <w:r>
        <w:rPr>
          <w:rFonts w:ascii="Times New Roman" w:hAnsi="Times New Roman" w:cs="Times New Roman"/>
          <w:color w:val="000000"/>
          <w:sz w:val="24"/>
          <w:szCs w:val="24"/>
        </w:rPr>
        <w:t xml:space="preserve"> рублей до 10 млрд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0,1 процента цены Контракта (этапа) в случае, если цена Контракта (этапа) превышает 10 </w:t>
      </w:r>
      <w:proofErr w:type="gramStart"/>
      <w:r>
        <w:rPr>
          <w:rFonts w:ascii="Times New Roman" w:hAnsi="Times New Roman" w:cs="Times New Roman"/>
          <w:color w:val="000000"/>
          <w:sz w:val="24"/>
          <w:szCs w:val="24"/>
        </w:rPr>
        <w:t>млрд</w:t>
      </w:r>
      <w:proofErr w:type="gramEnd"/>
      <w:r>
        <w:rPr>
          <w:rFonts w:ascii="Times New Roman" w:hAnsi="Times New Roman" w:cs="Times New Roman"/>
          <w:color w:val="000000"/>
          <w:sz w:val="24"/>
          <w:szCs w:val="24"/>
        </w:rPr>
        <w:t xml:space="preserve"> рублей.</w:t>
      </w:r>
    </w:p>
    <w:p>
      <w:pPr>
        <w:pStyle w:val="ConsPlusNormal"/>
        <w:ind w:firstLine="709"/>
        <w:jc w:val="both"/>
        <w:rPr>
          <w:rFonts w:ascii="Times New Roman" w:hAnsi="Times New Roman" w:cs="Times New Roman"/>
          <w:sz w:val="24"/>
          <w:szCs w:val="24"/>
        </w:rPr>
      </w:pPr>
      <w:bookmarkStart w:id="10" w:name="P1556"/>
      <w:bookmarkEnd w:id="10"/>
      <w:r>
        <w:rPr>
          <w:rFonts w:ascii="Times New Roman" w:hAnsi="Times New Roman" w:cs="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tgtFrame="consultantplus://offline/ref=782E9CC4CCC6932545801925E3B536176E57B6381BDA0BD7655CABC93DB89C271041D8CF0ACBB4D2653D7F184B7ED2198541ED34VBP">
        <w:r>
          <w:rPr>
            <w:rStyle w:val="af1"/>
            <w:rFonts w:ascii="Times New Roman" w:hAnsi="Times New Roman" w:cs="Times New Roman"/>
            <w:color w:val="000000"/>
            <w:sz w:val="24"/>
            <w:szCs w:val="24"/>
            <w:u w:val="none"/>
          </w:rPr>
          <w:t>Правилами</w:t>
        </w:r>
      </w:hyperlink>
      <w:r>
        <w:rPr>
          <w:rFonts w:ascii="Times New Roman" w:hAnsi="Times New Roman" w:cs="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1000 рублей, если цена Контракта не превышает 3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5000 рублей, если цена Контракта составляет от 3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50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10000 рублей, если цена Контракта составляет от 50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100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100000 рублей, если цена Контракта превышает 100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w:t>
      </w:r>
    </w:p>
    <w:p>
      <w:pPr>
        <w:pStyle w:val="ConsPlusNormal"/>
        <w:ind w:firstLine="709"/>
        <w:jc w:val="both"/>
        <w:rPr>
          <w:rFonts w:ascii="Times New Roman" w:hAnsi="Times New Roman" w:cs="Times New Roman"/>
          <w:sz w:val="24"/>
          <w:szCs w:val="24"/>
        </w:rPr>
      </w:pPr>
      <w:bookmarkStart w:id="11" w:name="P1557"/>
      <w:bookmarkStart w:id="12" w:name="P1558"/>
      <w:bookmarkEnd w:id="11"/>
      <w:bookmarkEnd w:id="12"/>
      <w:r>
        <w:rPr>
          <w:rFonts w:ascii="Times New Roman" w:hAnsi="Times New Roman" w:cs="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tgtFrame="consultantplus://offline/ref=782E9CC4CCC6932545801925E3B536176E57B6381BDA0BD7655CABC93DB89C271041D8CF0ACBB4D2653D7F184B7ED2198541ED34VBP">
        <w:r>
          <w:rPr>
            <w:rStyle w:val="af1"/>
            <w:rFonts w:ascii="Times New Roman" w:hAnsi="Times New Roman" w:cs="Times New Roman"/>
            <w:color w:val="000000"/>
            <w:sz w:val="24"/>
            <w:szCs w:val="24"/>
            <w:u w:val="none"/>
          </w:rPr>
          <w:t>Правилами</w:t>
        </w:r>
      </w:hyperlink>
      <w:r>
        <w:rPr>
          <w:rFonts w:ascii="Times New Roman" w:hAnsi="Times New Roman" w:cs="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1000 рублей, если цена Контракта не превышает 3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5000 рублей, если цена Контракта составляет от 3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50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10000 рублей, если цена Контракта составляет от 50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 до 100 млн рублей (включительно);</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100000 рублей, если цена Контракта превышает 100 </w:t>
      </w:r>
      <w:proofErr w:type="gramStart"/>
      <w:r>
        <w:rPr>
          <w:rFonts w:ascii="Times New Roman" w:hAnsi="Times New Roman" w:cs="Times New Roman"/>
          <w:color w:val="000000"/>
          <w:sz w:val="24"/>
          <w:szCs w:val="24"/>
        </w:rPr>
        <w:t>млн</w:t>
      </w:r>
      <w:proofErr w:type="gramEnd"/>
      <w:r>
        <w:rPr>
          <w:rFonts w:ascii="Times New Roman" w:hAnsi="Times New Roman" w:cs="Times New Roman"/>
          <w:color w:val="000000"/>
          <w:sz w:val="24"/>
          <w:szCs w:val="24"/>
        </w:rPr>
        <w:t xml:space="preserve"> рублей.</w:t>
      </w:r>
    </w:p>
    <w:p>
      <w:pPr>
        <w:pStyle w:val="ConsPlusNormal"/>
        <w:ind w:firstLine="709"/>
        <w:jc w:val="both"/>
        <w:rPr>
          <w:rFonts w:ascii="Times New Roman" w:hAnsi="Times New Roman" w:cs="Times New Roman"/>
          <w:sz w:val="24"/>
          <w:szCs w:val="24"/>
        </w:rPr>
      </w:pPr>
      <w:bookmarkStart w:id="13" w:name="P1561"/>
      <w:bookmarkEnd w:id="13"/>
      <w:r>
        <w:rPr>
          <w:rFonts w:ascii="Times New Roman" w:hAnsi="Times New Roman" w:cs="Times New Roman"/>
          <w:color w:val="000000"/>
          <w:sz w:val="24"/>
          <w:szCs w:val="24"/>
        </w:rPr>
        <w:t>6.8. Применение неустойки (штрафа, пени) не освобождает Стороны от исполнения обязательств по Контракту.</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Pr>
          <w:rFonts w:ascii="Times New Roman" w:hAnsi="Times New Roman" w:cs="Times New Roman"/>
          <w:color w:val="000000"/>
          <w:sz w:val="24"/>
          <w:szCs w:val="24"/>
        </w:rPr>
        <w:t>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w:t>
      </w:r>
      <w:proofErr w:type="gramEnd"/>
      <w:r>
        <w:rPr>
          <w:rFonts w:ascii="Times New Roman" w:hAnsi="Times New Roman" w:cs="Times New Roman"/>
          <w:color w:val="000000"/>
          <w:sz w:val="24"/>
          <w:szCs w:val="24"/>
        </w:rPr>
        <w:t xml:space="preserve">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pPr>
        <w:pStyle w:val="ConsPlusNormal"/>
        <w:ind w:firstLine="0"/>
        <w:jc w:val="both"/>
        <w:rPr>
          <w:rFonts w:ascii="Times New Roman" w:hAnsi="Times New Roman" w:cs="Times New Roman"/>
          <w:sz w:val="24"/>
          <w:szCs w:val="24"/>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VII. Обеспечение исполнения Контракта</w:t>
      </w:r>
    </w:p>
    <w:p>
      <w:pPr>
        <w:pStyle w:val="ConsPlusNormal"/>
        <w:ind w:firstLine="709"/>
        <w:jc w:val="both"/>
        <w:rPr>
          <w:rFonts w:ascii="Times New Roman" w:hAnsi="Times New Roman" w:cs="Times New Roman"/>
          <w:sz w:val="24"/>
          <w:szCs w:val="24"/>
        </w:rPr>
      </w:pPr>
      <w:bookmarkStart w:id="14" w:name="P1570"/>
      <w:bookmarkEnd w:id="14"/>
      <w:r>
        <w:rPr>
          <w:rFonts w:ascii="Times New Roman" w:hAnsi="Times New Roman" w:cs="Times New Roman"/>
          <w:color w:val="000000"/>
          <w:sz w:val="24"/>
          <w:szCs w:val="24"/>
        </w:rPr>
        <w:t>7.1. Обеспечение исполнения Контракта не устанавливается.</w:t>
      </w:r>
    </w:p>
    <w:p>
      <w:pPr>
        <w:pStyle w:val="ConsPlusNormal"/>
        <w:ind w:firstLine="0"/>
        <w:jc w:val="both"/>
        <w:rPr>
          <w:rFonts w:ascii="Times New Roman" w:hAnsi="Times New Roman" w:cs="Times New Roman"/>
          <w:color w:val="000000"/>
          <w:sz w:val="24"/>
          <w:szCs w:val="24"/>
        </w:rPr>
      </w:pPr>
    </w:p>
    <w:p>
      <w:pPr>
        <w:pStyle w:val="ConsPlusNormal"/>
        <w:ind w:firstLine="709"/>
        <w:jc w:val="center"/>
        <w:rPr>
          <w:rFonts w:ascii="Times New Roman" w:hAnsi="Times New Roman" w:cs="Times New Roman"/>
          <w:sz w:val="24"/>
          <w:szCs w:val="24"/>
        </w:rPr>
      </w:pPr>
      <w:bookmarkStart w:id="15" w:name="P1587"/>
      <w:bookmarkEnd w:id="15"/>
      <w:r>
        <w:rPr>
          <w:rFonts w:ascii="Times New Roman" w:hAnsi="Times New Roman" w:cs="Times New Roman"/>
          <w:b/>
          <w:color w:val="000000"/>
          <w:sz w:val="24"/>
          <w:szCs w:val="24"/>
        </w:rPr>
        <w:lastRenderedPageBreak/>
        <w:t>VIII. Обеспечение гарантийных обязательств</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8.1. Обеспечение гарантийных обязательств не устанавливается.</w:t>
      </w:r>
    </w:p>
    <w:p>
      <w:pPr>
        <w:pStyle w:val="ConsPlusNormal"/>
        <w:ind w:firstLine="0"/>
        <w:jc w:val="both"/>
        <w:rPr>
          <w:rFonts w:ascii="Times New Roman" w:hAnsi="Times New Roman" w:cs="Times New Roman"/>
          <w:color w:val="000000"/>
          <w:sz w:val="24"/>
          <w:szCs w:val="24"/>
        </w:rPr>
      </w:pPr>
      <w:bookmarkStart w:id="16" w:name="P1600"/>
      <w:bookmarkEnd w:id="16"/>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IX. Обстоятельства непреодолимой силы</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
        <w:ind w:firstLine="0"/>
        <w:jc w:val="both"/>
        <w:rPr>
          <w:rFonts w:ascii="Times New Roman" w:hAnsi="Times New Roman" w:cs="Times New Roman"/>
          <w:b/>
          <w:color w:val="000000"/>
          <w:sz w:val="24"/>
          <w:szCs w:val="24"/>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X. Рассмотрение и разрешение споров</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10.4. При </w:t>
      </w:r>
      <w:proofErr w:type="spellStart"/>
      <w:r>
        <w:rPr>
          <w:rFonts w:ascii="Times New Roman" w:hAnsi="Times New Roman" w:cs="Times New Roman"/>
          <w:color w:val="000000"/>
          <w:sz w:val="24"/>
          <w:szCs w:val="24"/>
        </w:rPr>
        <w:t>неурегулировании</w:t>
      </w:r>
      <w:proofErr w:type="spellEnd"/>
      <w:r>
        <w:rPr>
          <w:rFonts w:ascii="Times New Roman" w:hAnsi="Times New Roman" w:cs="Times New Roman"/>
          <w:color w:val="000000"/>
          <w:sz w:val="24"/>
          <w:szCs w:val="24"/>
        </w:rPr>
        <w:t xml:space="preserve"> Сторонами спора в досудебном порядке, спор разрешается в судебном порядке в Арбитражном суде Алтайского края.</w:t>
      </w:r>
    </w:p>
    <w:p>
      <w:pPr>
        <w:pStyle w:val="ConsPlusNormal"/>
        <w:ind w:firstLine="0"/>
        <w:jc w:val="both"/>
        <w:rPr>
          <w:rFonts w:ascii="Times New Roman" w:hAnsi="Times New Roman" w:cs="Times New Roman"/>
          <w:color w:val="000000"/>
          <w:sz w:val="24"/>
          <w:szCs w:val="24"/>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XI. Срок действия и порядок расторжения Контракта</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11.1. Контра</w:t>
      </w:r>
      <w:proofErr w:type="gramStart"/>
      <w:r>
        <w:rPr>
          <w:rFonts w:ascii="Times New Roman" w:hAnsi="Times New Roman" w:cs="Times New Roman"/>
          <w:color w:val="000000"/>
          <w:sz w:val="24"/>
          <w:szCs w:val="24"/>
        </w:rPr>
        <w:t>кт вст</w:t>
      </w:r>
      <w:proofErr w:type="gramEnd"/>
      <w:r>
        <w:rPr>
          <w:rFonts w:ascii="Times New Roman" w:hAnsi="Times New Roman" w:cs="Times New Roman"/>
          <w:color w:val="000000"/>
          <w:sz w:val="24"/>
          <w:szCs w:val="24"/>
        </w:rPr>
        <w:t>упает в силу с даты его подписания обеими Сторонами и действует по 31.12.2026 г. включительно, а в части принятых обязательств Сторонами по Контракту – до полного их исполнения.</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Окончание срока действия Контракта не влечет прекращения неисполненных обязатель</w:t>
      </w:r>
      <w:proofErr w:type="gramStart"/>
      <w:r>
        <w:rPr>
          <w:rFonts w:ascii="Times New Roman" w:hAnsi="Times New Roman" w:cs="Times New Roman"/>
          <w:color w:val="000000"/>
          <w:sz w:val="24"/>
          <w:szCs w:val="24"/>
        </w:rPr>
        <w:t>ств Ст</w:t>
      </w:r>
      <w:proofErr w:type="gramEnd"/>
      <w:r>
        <w:rPr>
          <w:rFonts w:ascii="Times New Roman" w:hAnsi="Times New Roman" w:cs="Times New Roman"/>
          <w:color w:val="000000"/>
          <w:sz w:val="24"/>
          <w:szCs w:val="24"/>
        </w:rPr>
        <w:t xml:space="preserve">орон по Контракту. </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11.2. </w:t>
      </w:r>
      <w:proofErr w:type="gramStart"/>
      <w:r>
        <w:rPr>
          <w:rFonts w:ascii="Times New Roman" w:hAnsi="Times New Roman" w:cs="Times New Roman"/>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tgtFrame="consultantplus://offline/ref=782E9CC4CCC6932545801925E3B536176E50B53C1FD70BD7655CABC93DB89C271041D8CD019EE29F343B294E112BD805805FEF4CF4B5672237V6P">
        <w:r>
          <w:rPr>
            <w:rStyle w:val="af1"/>
            <w:rFonts w:ascii="Times New Roman" w:hAnsi="Times New Roman" w:cs="Times New Roman"/>
            <w:color w:val="000000"/>
            <w:sz w:val="24"/>
            <w:szCs w:val="24"/>
            <w:u w:val="none"/>
          </w:rPr>
          <w:t>частями 9</w:t>
        </w:r>
      </w:hyperlink>
      <w:r>
        <w:rPr>
          <w:rFonts w:ascii="Times New Roman" w:hAnsi="Times New Roman" w:cs="Times New Roman"/>
          <w:color w:val="000000"/>
          <w:sz w:val="24"/>
          <w:szCs w:val="24"/>
        </w:rPr>
        <w:t xml:space="preserve"> - </w:t>
      </w:r>
      <w:hyperlink r:id="rId17" w:tgtFrame="consultantplus://offline/ref=782E9CC4CCC6932545801925E3B536176E50B53C1FD70BD7655CABC93DB89C271041D8CD019EE692303B294E112BD805805FEF4CF4B5672237V6P">
        <w:r>
          <w:rPr>
            <w:rStyle w:val="af1"/>
            <w:rFonts w:ascii="Times New Roman" w:hAnsi="Times New Roman" w:cs="Times New Roman"/>
            <w:color w:val="000000"/>
            <w:sz w:val="24"/>
            <w:szCs w:val="24"/>
            <w:u w:val="none"/>
          </w:rPr>
          <w:t>23 статьи 95</w:t>
        </w:r>
      </w:hyperlink>
      <w:r>
        <w:rPr>
          <w:rFonts w:ascii="Times New Roman" w:hAnsi="Times New Roman" w:cs="Times New Roman"/>
          <w:color w:val="000000"/>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pPr>
        <w:pStyle w:val="ConsPlusNormal"/>
        <w:ind w:firstLine="0"/>
        <w:jc w:val="both"/>
        <w:rPr>
          <w:rFonts w:ascii="Times New Roman" w:hAnsi="Times New Roman" w:cs="Times New Roman"/>
          <w:color w:val="000000"/>
          <w:sz w:val="24"/>
          <w:szCs w:val="24"/>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XII. Прочие положения</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12.1. Во всем, что не предусмотрено Контрактом, Стороны руководствуются законодательством Российской Федерации.</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12.4. 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
        <w:jc w:val="both"/>
        <w:rPr>
          <w:rFonts w:ascii="Times New Roman" w:hAnsi="Times New Roman" w:cs="Times New Roman"/>
          <w:color w:val="000000"/>
          <w:sz w:val="24"/>
          <w:szCs w:val="24"/>
        </w:rPr>
      </w:pPr>
      <w:bookmarkStart w:id="17" w:name="P1633"/>
      <w:bookmarkEnd w:id="17"/>
      <w:r>
        <w:rPr>
          <w:rFonts w:ascii="Times New Roman" w:hAnsi="Times New Roman" w:cs="Times New Roman"/>
          <w:color w:val="000000"/>
          <w:sz w:val="24"/>
          <w:szCs w:val="24"/>
        </w:rPr>
        <w:t xml:space="preserve">12.7. </w:t>
      </w:r>
      <w:r>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pPr>
        <w:pStyle w:val="ConsPlusNormal"/>
        <w:jc w:val="both"/>
        <w:rPr>
          <w:rFonts w:ascii="Times New Roman" w:hAnsi="Times New Roman" w:cs="Times New Roman"/>
          <w:color w:val="000000"/>
          <w:sz w:val="24"/>
          <w:szCs w:val="24"/>
        </w:rPr>
      </w:pPr>
      <w:r>
        <w:rPr>
          <w:rFonts w:ascii="Times New Roman" w:hAnsi="Times New Roman" w:cs="Times New Roman"/>
          <w:i/>
          <w:color w:val="000000"/>
          <w:sz w:val="24"/>
          <w:szCs w:val="24"/>
        </w:rPr>
        <w:t>Контракт составлен в форме электронного документа, подписанного усиленными электронными подписями Сторон.*</w:t>
      </w:r>
    </w:p>
    <w:p>
      <w:pPr>
        <w:pStyle w:val="ConsPlusNormal"/>
        <w:ind w:firstLine="709"/>
        <w:jc w:val="both"/>
        <w:rPr>
          <w:rFonts w:ascii="Times New Roman" w:hAnsi="Times New Roman" w:cs="Times New Roman"/>
          <w:color w:val="000000"/>
          <w:sz w:val="24"/>
          <w:szCs w:val="24"/>
        </w:rPr>
      </w:pPr>
      <w:r>
        <w:rPr>
          <w:rFonts w:ascii="Times New Roman" w:hAnsi="Times New Roman" w:cs="Times New Roman"/>
          <w:i/>
          <w:color w:val="000000"/>
          <w:sz w:val="24"/>
          <w:szCs w:val="24"/>
        </w:rPr>
        <w:t>*Вариант выбирается Заказчиком при заключении Контракта</w:t>
      </w:r>
    </w:p>
    <w:p>
      <w:pPr>
        <w:jc w:val="both"/>
        <w:rPr>
          <w:color w:val="000000"/>
          <w:sz w:val="24"/>
          <w:szCs w:val="24"/>
        </w:rPr>
      </w:pPr>
    </w:p>
    <w:p>
      <w:pPr>
        <w:pStyle w:val="ConsPlusNormal"/>
        <w:ind w:firstLine="709"/>
        <w:jc w:val="center"/>
        <w:rPr>
          <w:rFonts w:ascii="Times New Roman" w:hAnsi="Times New Roman" w:cs="Times New Roman"/>
          <w:sz w:val="24"/>
          <w:szCs w:val="24"/>
        </w:rPr>
      </w:pPr>
      <w:r>
        <w:rPr>
          <w:rFonts w:ascii="Times New Roman" w:hAnsi="Times New Roman" w:cs="Times New Roman"/>
          <w:b/>
          <w:color w:val="000000"/>
          <w:sz w:val="24"/>
          <w:szCs w:val="24"/>
        </w:rPr>
        <w:t>XIII. Перечень приложений</w:t>
      </w:r>
    </w:p>
    <w:p>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13.1. Неотъемлемой частью Контракта является следующее приложение:</w:t>
      </w:r>
    </w:p>
    <w:p>
      <w:pPr>
        <w:pStyle w:val="ConsPlusNormal"/>
        <w:ind w:firstLine="0"/>
        <w:jc w:val="both"/>
        <w:rPr>
          <w:rFonts w:ascii="Times New Roman" w:hAnsi="Times New Roman" w:cs="Times New Roman"/>
          <w:sz w:val="24"/>
          <w:szCs w:val="24"/>
        </w:rPr>
      </w:pPr>
      <w:bookmarkStart w:id="18" w:name="P1639"/>
      <w:bookmarkEnd w:id="18"/>
      <w:r>
        <w:rPr>
          <w:rFonts w:ascii="Times New Roman" w:hAnsi="Times New Roman" w:cs="Times New Roman"/>
          <w:color w:val="000000"/>
          <w:sz w:val="24"/>
          <w:szCs w:val="24"/>
        </w:rPr>
        <w:t xml:space="preserve">- Техническое задание </w:t>
      </w:r>
      <w:hyperlink w:anchor="P1909" w:tgtFrame="#P1909">
        <w:r>
          <w:rPr>
            <w:rStyle w:val="af1"/>
            <w:rFonts w:ascii="Times New Roman" w:hAnsi="Times New Roman" w:cs="Times New Roman"/>
            <w:color w:val="000000"/>
            <w:sz w:val="24"/>
            <w:szCs w:val="24"/>
            <w:u w:val="none"/>
          </w:rPr>
          <w:t>(приложение № 1)</w:t>
        </w:r>
      </w:hyperlink>
      <w:r>
        <w:rPr>
          <w:rFonts w:ascii="Times New Roman" w:hAnsi="Times New Roman" w:cs="Times New Roman"/>
          <w:color w:val="000000"/>
          <w:sz w:val="24"/>
          <w:szCs w:val="24"/>
        </w:rPr>
        <w:t>;</w:t>
      </w:r>
    </w:p>
    <w:p>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Спецификация </w:t>
      </w:r>
      <w:hyperlink w:anchor="P1963" w:tgtFrame="#P1963">
        <w:r>
          <w:rPr>
            <w:rStyle w:val="af1"/>
            <w:rFonts w:ascii="Times New Roman" w:hAnsi="Times New Roman" w:cs="Times New Roman"/>
            <w:color w:val="000000"/>
            <w:sz w:val="24"/>
            <w:szCs w:val="24"/>
            <w:u w:val="none"/>
          </w:rPr>
          <w:t>(приложение № 2)</w:t>
        </w:r>
      </w:hyperlink>
      <w:r>
        <w:rPr>
          <w:rFonts w:ascii="Times New Roman" w:hAnsi="Times New Roman" w:cs="Times New Roman"/>
          <w:color w:val="000000"/>
          <w:sz w:val="24"/>
          <w:szCs w:val="24"/>
        </w:rPr>
        <w:t>.</w:t>
      </w:r>
    </w:p>
    <w:p>
      <w:pPr>
        <w:pStyle w:val="ConsPlusNormal"/>
        <w:ind w:firstLine="0"/>
        <w:rPr>
          <w:rFonts w:ascii="Times New Roman" w:hAnsi="Times New Roman" w:cs="Times New Roman"/>
          <w:color w:val="000000"/>
          <w:sz w:val="24"/>
          <w:szCs w:val="24"/>
        </w:rPr>
      </w:pPr>
    </w:p>
    <w:p>
      <w:pPr>
        <w:pStyle w:val="ConsPlusNormal"/>
        <w:jc w:val="center"/>
        <w:rPr>
          <w:rFonts w:ascii="Times New Roman" w:hAnsi="Times New Roman" w:cs="Times New Roman"/>
          <w:b/>
          <w:color w:val="000000"/>
          <w:sz w:val="24"/>
          <w:szCs w:val="24"/>
        </w:rPr>
      </w:pPr>
      <w:r>
        <w:rPr>
          <w:rFonts w:ascii="Times New Roman" w:hAnsi="Times New Roman" w:cs="Times New Roman"/>
          <w:b/>
          <w:color w:val="000000"/>
          <w:sz w:val="24"/>
          <w:szCs w:val="24"/>
        </w:rPr>
        <w:t>XIV. Адреса и банковские реквизиты Сторон</w:t>
      </w:r>
    </w:p>
    <w:tbl>
      <w:tblPr>
        <w:tblW w:w="10227" w:type="dxa"/>
        <w:tblInd w:w="109" w:type="dxa"/>
        <w:tblLayout w:type="fixed"/>
        <w:tblLook w:val="0000" w:firstRow="0" w:lastRow="0" w:firstColumn="0" w:lastColumn="0" w:noHBand="0" w:noVBand="0"/>
      </w:tblPr>
      <w:tblGrid>
        <w:gridCol w:w="5246"/>
        <w:gridCol w:w="4981"/>
      </w:tblGrid>
      <w:tr>
        <w:trPr>
          <w:trHeight w:val="478"/>
        </w:trPr>
        <w:tc>
          <w:tcPr>
            <w:tcW w:w="5245" w:type="dxa"/>
            <w:shd w:val="clear" w:color="auto" w:fill="auto"/>
          </w:tcPr>
          <w:p>
            <w:pPr>
              <w:widowControl w:val="0"/>
              <w:rPr>
                <w:b/>
                <w:bCs/>
                <w:color w:val="000000"/>
                <w:sz w:val="24"/>
                <w:szCs w:val="24"/>
              </w:rPr>
            </w:pPr>
            <w:bookmarkStart w:id="19" w:name="P1642"/>
            <w:bookmarkEnd w:id="19"/>
          </w:p>
          <w:p>
            <w:pPr>
              <w:widowControl w:val="0"/>
              <w:rPr>
                <w:sz w:val="24"/>
                <w:szCs w:val="24"/>
              </w:rPr>
            </w:pPr>
            <w:r>
              <w:rPr>
                <w:b/>
                <w:bCs/>
                <w:color w:val="000000"/>
                <w:sz w:val="24"/>
                <w:szCs w:val="24"/>
              </w:rPr>
              <w:t>ЗАКАЗЧИК:</w:t>
            </w:r>
          </w:p>
        </w:tc>
        <w:tc>
          <w:tcPr>
            <w:tcW w:w="4981" w:type="dxa"/>
            <w:shd w:val="clear" w:color="auto" w:fill="auto"/>
          </w:tcPr>
          <w:p>
            <w:pPr>
              <w:widowControl w:val="0"/>
              <w:rPr>
                <w:b/>
                <w:bCs/>
                <w:color w:val="000000"/>
                <w:sz w:val="24"/>
                <w:szCs w:val="24"/>
              </w:rPr>
            </w:pPr>
          </w:p>
          <w:p>
            <w:pPr>
              <w:widowControl w:val="0"/>
              <w:rPr>
                <w:sz w:val="24"/>
                <w:szCs w:val="24"/>
              </w:rPr>
            </w:pPr>
            <w:r>
              <w:rPr>
                <w:b/>
                <w:bCs/>
                <w:color w:val="000000"/>
                <w:sz w:val="24"/>
                <w:szCs w:val="24"/>
              </w:rPr>
              <w:t>ПОСТАВЩИК:</w:t>
            </w:r>
          </w:p>
        </w:tc>
      </w:tr>
      <w:tr>
        <w:trPr>
          <w:trHeight w:val="497"/>
        </w:trPr>
        <w:tc>
          <w:tcPr>
            <w:tcW w:w="5245" w:type="dxa"/>
            <w:shd w:val="clear" w:color="auto" w:fill="auto"/>
          </w:tcPr>
          <w:p>
            <w:pPr>
              <w:widowControl w:val="0"/>
              <w:jc w:val="both"/>
              <w:rPr>
                <w:sz w:val="24"/>
                <w:szCs w:val="24"/>
              </w:rPr>
            </w:pPr>
            <w:r>
              <w:rPr>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pPr>
              <w:widowControl w:val="0"/>
              <w:jc w:val="both"/>
              <w:rPr>
                <w:sz w:val="24"/>
                <w:szCs w:val="24"/>
                <w:lang w:eastAsia="ru-RU"/>
              </w:rPr>
            </w:pPr>
            <w:r>
              <w:rPr>
                <w:sz w:val="24"/>
                <w:szCs w:val="24"/>
                <w:lang w:eastAsia="ru-RU"/>
              </w:rPr>
              <w:t xml:space="preserve">Адрес: 656006, Алтайский край, г. Барнаул,          ул. </w:t>
            </w:r>
            <w:proofErr w:type="gramStart"/>
            <w:r>
              <w:rPr>
                <w:sz w:val="24"/>
                <w:szCs w:val="24"/>
                <w:lang w:eastAsia="ru-RU"/>
              </w:rPr>
              <w:t>Взлетная</w:t>
            </w:r>
            <w:proofErr w:type="gramEnd"/>
            <w:r>
              <w:rPr>
                <w:sz w:val="24"/>
                <w:szCs w:val="24"/>
                <w:lang w:eastAsia="ru-RU"/>
              </w:rPr>
              <w:t>, д. 2и</w:t>
            </w:r>
          </w:p>
          <w:p>
            <w:pPr>
              <w:widowControl w:val="0"/>
              <w:jc w:val="both"/>
              <w:rPr>
                <w:sz w:val="24"/>
                <w:szCs w:val="24"/>
                <w:lang w:eastAsia="ru-RU"/>
              </w:rPr>
            </w:pPr>
            <w:r>
              <w:rPr>
                <w:sz w:val="24"/>
                <w:szCs w:val="24"/>
                <w:lang w:eastAsia="ru-RU"/>
              </w:rPr>
              <w:t>ИНН: 2225066170</w:t>
            </w:r>
          </w:p>
          <w:p>
            <w:pPr>
              <w:widowControl w:val="0"/>
              <w:jc w:val="both"/>
              <w:rPr>
                <w:sz w:val="24"/>
                <w:szCs w:val="24"/>
                <w:lang w:eastAsia="ru-RU"/>
              </w:rPr>
            </w:pPr>
            <w:r>
              <w:rPr>
                <w:sz w:val="24"/>
                <w:szCs w:val="24"/>
                <w:lang w:eastAsia="ru-RU"/>
              </w:rPr>
              <w:t>КПП: 222201001</w:t>
            </w:r>
          </w:p>
          <w:p>
            <w:pPr>
              <w:widowControl w:val="0"/>
              <w:jc w:val="both"/>
              <w:rPr>
                <w:sz w:val="24"/>
                <w:szCs w:val="24"/>
                <w:lang w:eastAsia="ru-RU"/>
              </w:rPr>
            </w:pPr>
            <w:r>
              <w:rPr>
                <w:sz w:val="24"/>
                <w:szCs w:val="24"/>
                <w:lang w:eastAsia="ru-RU"/>
              </w:rPr>
              <w:t>ОГРН: 1042202279866</w:t>
            </w:r>
          </w:p>
          <w:p>
            <w:pPr>
              <w:widowControl w:val="0"/>
              <w:jc w:val="both"/>
              <w:rPr>
                <w:sz w:val="24"/>
                <w:szCs w:val="24"/>
                <w:lang w:eastAsia="ru-RU"/>
              </w:rPr>
            </w:pPr>
            <w:r>
              <w:rPr>
                <w:sz w:val="24"/>
                <w:szCs w:val="24"/>
                <w:lang w:eastAsia="ru-RU"/>
              </w:rPr>
              <w:t xml:space="preserve">Банк: ОКЦ № 1 </w:t>
            </w:r>
            <w:proofErr w:type="spellStart"/>
            <w:r>
              <w:rPr>
                <w:sz w:val="24"/>
                <w:szCs w:val="24"/>
                <w:lang w:eastAsia="ru-RU"/>
              </w:rPr>
              <w:t>СибГУ</w:t>
            </w:r>
            <w:proofErr w:type="spellEnd"/>
            <w:r>
              <w:rPr>
                <w:sz w:val="24"/>
                <w:szCs w:val="24"/>
                <w:lang w:eastAsia="ru-RU"/>
              </w:rPr>
              <w:t xml:space="preserve"> Банка России //УФК по Новосибирской области г. Новосибирск</w:t>
            </w:r>
          </w:p>
          <w:p>
            <w:pPr>
              <w:widowControl w:val="0"/>
              <w:jc w:val="both"/>
              <w:rPr>
                <w:sz w:val="24"/>
                <w:szCs w:val="24"/>
                <w:lang w:eastAsia="ru-RU"/>
              </w:rPr>
            </w:pPr>
            <w:r>
              <w:rPr>
                <w:sz w:val="24"/>
                <w:szCs w:val="24"/>
                <w:lang w:eastAsia="ru-RU"/>
              </w:rPr>
              <w:t>БИК: 015004950</w:t>
            </w:r>
          </w:p>
          <w:p>
            <w:pPr>
              <w:widowControl w:val="0"/>
              <w:jc w:val="both"/>
              <w:rPr>
                <w:sz w:val="24"/>
                <w:szCs w:val="24"/>
                <w:lang w:eastAsia="ru-RU"/>
              </w:rPr>
            </w:pPr>
            <w:r>
              <w:rPr>
                <w:sz w:val="24"/>
                <w:szCs w:val="24"/>
                <w:lang w:eastAsia="ru-RU"/>
              </w:rPr>
              <w:t>Лицевой счет: 03171784110</w:t>
            </w:r>
          </w:p>
          <w:p>
            <w:pPr>
              <w:widowControl w:val="0"/>
              <w:rPr>
                <w:sz w:val="24"/>
                <w:szCs w:val="24"/>
                <w:lang w:eastAsia="ru-RU"/>
              </w:rPr>
            </w:pPr>
            <w:r>
              <w:rPr>
                <w:sz w:val="24"/>
                <w:szCs w:val="24"/>
                <w:lang w:eastAsia="ru-RU"/>
              </w:rPr>
              <w:t>Расчетный счет: 03211643000000015104</w:t>
            </w:r>
          </w:p>
          <w:p>
            <w:pPr>
              <w:widowControl w:val="0"/>
              <w:ind w:right="-29"/>
              <w:jc w:val="both"/>
              <w:rPr>
                <w:sz w:val="24"/>
                <w:szCs w:val="24"/>
                <w:lang w:eastAsia="ru-RU"/>
              </w:rPr>
            </w:pPr>
            <w:r>
              <w:rPr>
                <w:sz w:val="24"/>
                <w:szCs w:val="24"/>
                <w:lang w:eastAsia="ru-RU"/>
              </w:rPr>
              <w:t>Банковский счет: 40102810445370000043</w:t>
            </w:r>
          </w:p>
          <w:p>
            <w:pPr>
              <w:widowControl w:val="0"/>
              <w:rPr>
                <w:sz w:val="24"/>
                <w:szCs w:val="24"/>
              </w:rPr>
            </w:pPr>
            <w:r>
              <w:rPr>
                <w:sz w:val="24"/>
                <w:szCs w:val="24"/>
                <w:lang w:val="en-US"/>
              </w:rPr>
              <w:t>e</w:t>
            </w:r>
            <w:r>
              <w:rPr>
                <w:sz w:val="24"/>
                <w:szCs w:val="24"/>
              </w:rPr>
              <w:t>-</w:t>
            </w:r>
            <w:r>
              <w:rPr>
                <w:sz w:val="24"/>
                <w:szCs w:val="24"/>
                <w:lang w:val="en-US"/>
              </w:rPr>
              <w:t>mail</w:t>
            </w:r>
            <w:r>
              <w:rPr>
                <w:sz w:val="24"/>
                <w:szCs w:val="24"/>
              </w:rPr>
              <w:t xml:space="preserve">: </w:t>
            </w:r>
            <w:r>
              <w:rPr>
                <w:sz w:val="24"/>
                <w:szCs w:val="24"/>
                <w:lang w:val="en-US"/>
              </w:rPr>
              <w:t>oks</w:t>
            </w:r>
            <w:r>
              <w:rPr>
                <w:sz w:val="24"/>
                <w:szCs w:val="24"/>
              </w:rPr>
              <w:t>@22.</w:t>
            </w:r>
            <w:proofErr w:type="spellStart"/>
            <w:r>
              <w:rPr>
                <w:sz w:val="24"/>
                <w:szCs w:val="24"/>
                <w:lang w:val="en-US"/>
              </w:rPr>
              <w:t>mchs</w:t>
            </w:r>
            <w:proofErr w:type="spellEnd"/>
            <w:r>
              <w:rPr>
                <w:sz w:val="24"/>
                <w:szCs w:val="24"/>
              </w:rPr>
              <w:t>.</w:t>
            </w:r>
            <w:proofErr w:type="spellStart"/>
            <w:r>
              <w:rPr>
                <w:sz w:val="24"/>
                <w:szCs w:val="24"/>
                <w:lang w:val="en-US"/>
              </w:rPr>
              <w:t>gov</w:t>
            </w:r>
            <w:proofErr w:type="spellEnd"/>
            <w:r>
              <w:rPr>
                <w:sz w:val="24"/>
                <w:szCs w:val="24"/>
              </w:rPr>
              <w:t>.</w:t>
            </w:r>
            <w:proofErr w:type="spellStart"/>
            <w:r>
              <w:rPr>
                <w:sz w:val="24"/>
                <w:szCs w:val="24"/>
                <w:lang w:val="en-US"/>
              </w:rPr>
              <w:t>ru</w:t>
            </w:r>
            <w:proofErr w:type="spellEnd"/>
            <w:r>
              <w:rPr>
                <w:sz w:val="24"/>
                <w:szCs w:val="24"/>
              </w:rPr>
              <w:t xml:space="preserve">, </w:t>
            </w:r>
            <w:proofErr w:type="spellStart"/>
            <w:r>
              <w:rPr>
                <w:sz w:val="24"/>
                <w:szCs w:val="24"/>
                <w:lang w:val="en-US"/>
              </w:rPr>
              <w:t>ks</w:t>
            </w:r>
            <w:proofErr w:type="spellEnd"/>
            <w:r>
              <w:rPr>
                <w:sz w:val="24"/>
                <w:szCs w:val="24"/>
              </w:rPr>
              <w:t>@22.</w:t>
            </w:r>
            <w:proofErr w:type="spellStart"/>
            <w:r>
              <w:rPr>
                <w:sz w:val="24"/>
                <w:szCs w:val="24"/>
                <w:lang w:val="en-US"/>
              </w:rPr>
              <w:t>mchs</w:t>
            </w:r>
            <w:proofErr w:type="spellEnd"/>
            <w:r>
              <w:rPr>
                <w:sz w:val="24"/>
                <w:szCs w:val="24"/>
              </w:rPr>
              <w:t>.</w:t>
            </w:r>
            <w:proofErr w:type="spellStart"/>
            <w:r>
              <w:rPr>
                <w:sz w:val="24"/>
                <w:szCs w:val="24"/>
                <w:lang w:val="en-US"/>
              </w:rPr>
              <w:t>gov</w:t>
            </w:r>
            <w:proofErr w:type="spellEnd"/>
            <w:r>
              <w:rPr>
                <w:sz w:val="24"/>
                <w:szCs w:val="24"/>
              </w:rPr>
              <w:t>.</w:t>
            </w:r>
            <w:proofErr w:type="spellStart"/>
            <w:r>
              <w:rPr>
                <w:sz w:val="24"/>
                <w:szCs w:val="24"/>
                <w:lang w:val="en-US"/>
              </w:rPr>
              <w:t>ru</w:t>
            </w:r>
            <w:proofErr w:type="spellEnd"/>
          </w:p>
          <w:p>
            <w:pPr>
              <w:widowControl w:val="0"/>
              <w:jc w:val="both"/>
              <w:rPr>
                <w:sz w:val="24"/>
                <w:szCs w:val="24"/>
              </w:rPr>
            </w:pPr>
            <w:r>
              <w:rPr>
                <w:sz w:val="24"/>
                <w:szCs w:val="24"/>
              </w:rPr>
              <w:t>тел.: 8 (3852) 20-24-41, 20-21-71</w:t>
            </w:r>
          </w:p>
        </w:tc>
        <w:tc>
          <w:tcPr>
            <w:tcW w:w="4981" w:type="dxa"/>
            <w:shd w:val="clear" w:color="auto" w:fill="auto"/>
          </w:tcPr>
          <w:p>
            <w:pPr>
              <w:widowControl w:val="0"/>
              <w:rPr>
                <w:bCs/>
                <w:color w:val="000000"/>
                <w:sz w:val="24"/>
                <w:szCs w:val="24"/>
              </w:rPr>
            </w:pPr>
          </w:p>
          <w:p>
            <w:pPr>
              <w:widowControl w:val="0"/>
              <w:rPr>
                <w:bCs/>
                <w:color w:val="000000"/>
                <w:sz w:val="24"/>
                <w:szCs w:val="24"/>
              </w:rPr>
            </w:pPr>
          </w:p>
          <w:p>
            <w:pPr>
              <w:widowControl w:val="0"/>
              <w:rPr>
                <w:bCs/>
                <w:color w:val="000000"/>
                <w:sz w:val="24"/>
                <w:szCs w:val="24"/>
              </w:rPr>
            </w:pPr>
          </w:p>
          <w:p>
            <w:pPr>
              <w:widowControl w:val="0"/>
              <w:rPr>
                <w:bCs/>
                <w:color w:val="000000"/>
                <w:sz w:val="24"/>
                <w:szCs w:val="24"/>
              </w:rPr>
            </w:pPr>
          </w:p>
          <w:p>
            <w:pPr>
              <w:widowControl w:val="0"/>
              <w:rPr>
                <w:bCs/>
                <w:color w:val="000000"/>
                <w:sz w:val="24"/>
                <w:szCs w:val="24"/>
              </w:rPr>
            </w:pPr>
          </w:p>
          <w:p>
            <w:pPr>
              <w:widowControl w:val="0"/>
              <w:rPr>
                <w:sz w:val="24"/>
                <w:szCs w:val="24"/>
              </w:rPr>
            </w:pPr>
            <w:r>
              <w:rPr>
                <w:bCs/>
                <w:color w:val="000000"/>
                <w:sz w:val="24"/>
                <w:szCs w:val="24"/>
              </w:rPr>
              <w:t>Адрес местонахождения:</w:t>
            </w:r>
          </w:p>
          <w:p>
            <w:pPr>
              <w:widowControl w:val="0"/>
              <w:rPr>
                <w:sz w:val="24"/>
                <w:szCs w:val="24"/>
              </w:rPr>
            </w:pPr>
            <w:r>
              <w:rPr>
                <w:bCs/>
                <w:color w:val="000000"/>
                <w:sz w:val="24"/>
                <w:szCs w:val="24"/>
              </w:rPr>
              <w:t>Почтовый адрес:</w:t>
            </w:r>
          </w:p>
          <w:p>
            <w:pPr>
              <w:widowControl w:val="0"/>
              <w:rPr>
                <w:sz w:val="24"/>
                <w:szCs w:val="24"/>
              </w:rPr>
            </w:pPr>
            <w:r>
              <w:rPr>
                <w:bCs/>
                <w:color w:val="000000"/>
                <w:sz w:val="24"/>
                <w:szCs w:val="24"/>
              </w:rPr>
              <w:t>ОГРН:</w:t>
            </w:r>
          </w:p>
          <w:p>
            <w:pPr>
              <w:widowControl w:val="0"/>
              <w:rPr>
                <w:bCs/>
                <w:color w:val="000000"/>
                <w:sz w:val="24"/>
                <w:szCs w:val="24"/>
              </w:rPr>
            </w:pPr>
            <w:r>
              <w:rPr>
                <w:bCs/>
                <w:color w:val="000000"/>
                <w:sz w:val="24"/>
                <w:szCs w:val="24"/>
              </w:rPr>
              <w:t>ИНН:</w:t>
            </w:r>
          </w:p>
          <w:p>
            <w:pPr>
              <w:widowControl w:val="0"/>
              <w:rPr>
                <w:sz w:val="24"/>
                <w:szCs w:val="24"/>
              </w:rPr>
            </w:pPr>
            <w:r>
              <w:rPr>
                <w:bCs/>
                <w:color w:val="000000"/>
                <w:sz w:val="24"/>
                <w:szCs w:val="24"/>
              </w:rPr>
              <w:t>КПП:</w:t>
            </w:r>
          </w:p>
          <w:p>
            <w:pPr>
              <w:widowControl w:val="0"/>
              <w:rPr>
                <w:sz w:val="24"/>
                <w:szCs w:val="24"/>
              </w:rPr>
            </w:pPr>
            <w:r>
              <w:rPr>
                <w:bCs/>
                <w:color w:val="000000"/>
                <w:sz w:val="24"/>
                <w:szCs w:val="24"/>
              </w:rPr>
              <w:t>ОКПО:</w:t>
            </w:r>
          </w:p>
          <w:p>
            <w:pPr>
              <w:widowControl w:val="0"/>
              <w:rPr>
                <w:sz w:val="24"/>
                <w:szCs w:val="24"/>
              </w:rPr>
            </w:pPr>
            <w:r>
              <w:rPr>
                <w:bCs/>
                <w:color w:val="000000"/>
                <w:sz w:val="24"/>
                <w:szCs w:val="24"/>
              </w:rPr>
              <w:t>ОКТМО:</w:t>
            </w:r>
          </w:p>
          <w:p>
            <w:pPr>
              <w:widowControl w:val="0"/>
              <w:rPr>
                <w:sz w:val="24"/>
                <w:szCs w:val="24"/>
              </w:rPr>
            </w:pPr>
            <w:r>
              <w:rPr>
                <w:bCs/>
                <w:color w:val="000000"/>
                <w:sz w:val="24"/>
                <w:szCs w:val="24"/>
              </w:rPr>
              <w:t>Банк:</w:t>
            </w:r>
          </w:p>
          <w:p>
            <w:pPr>
              <w:widowControl w:val="0"/>
              <w:rPr>
                <w:sz w:val="24"/>
                <w:szCs w:val="24"/>
              </w:rPr>
            </w:pPr>
            <w:r>
              <w:rPr>
                <w:bCs/>
                <w:color w:val="000000"/>
                <w:sz w:val="24"/>
                <w:szCs w:val="24"/>
              </w:rPr>
              <w:t>БИК:</w:t>
            </w:r>
          </w:p>
          <w:p>
            <w:pPr>
              <w:widowControl w:val="0"/>
              <w:rPr>
                <w:sz w:val="24"/>
                <w:szCs w:val="24"/>
              </w:rPr>
            </w:pPr>
            <w:proofErr w:type="gramStart"/>
            <w:r>
              <w:rPr>
                <w:bCs/>
                <w:color w:val="000000"/>
                <w:sz w:val="24"/>
                <w:szCs w:val="24"/>
              </w:rPr>
              <w:t>р</w:t>
            </w:r>
            <w:proofErr w:type="gramEnd"/>
            <w:r>
              <w:rPr>
                <w:bCs/>
                <w:color w:val="000000"/>
                <w:sz w:val="24"/>
                <w:szCs w:val="24"/>
              </w:rPr>
              <w:t>/с:</w:t>
            </w:r>
          </w:p>
          <w:p>
            <w:pPr>
              <w:widowControl w:val="0"/>
              <w:rPr>
                <w:bCs/>
                <w:color w:val="000000"/>
                <w:sz w:val="24"/>
                <w:szCs w:val="24"/>
              </w:rPr>
            </w:pPr>
            <w:r>
              <w:rPr>
                <w:bCs/>
                <w:color w:val="000000"/>
                <w:sz w:val="24"/>
                <w:szCs w:val="24"/>
              </w:rPr>
              <w:t>к/с:</w:t>
            </w:r>
          </w:p>
          <w:p>
            <w:pPr>
              <w:widowControl w:val="0"/>
              <w:rPr>
                <w:bCs/>
                <w:color w:val="000000"/>
                <w:sz w:val="24"/>
                <w:szCs w:val="24"/>
              </w:rPr>
            </w:pPr>
            <w:r>
              <w:rPr>
                <w:bCs/>
                <w:color w:val="000000"/>
                <w:sz w:val="24"/>
                <w:szCs w:val="24"/>
              </w:rPr>
              <w:t>e-</w:t>
            </w:r>
            <w:proofErr w:type="spellStart"/>
            <w:r>
              <w:rPr>
                <w:bCs/>
                <w:color w:val="000000"/>
                <w:sz w:val="24"/>
                <w:szCs w:val="24"/>
              </w:rPr>
              <w:t>mail</w:t>
            </w:r>
            <w:proofErr w:type="spellEnd"/>
            <w:r>
              <w:rPr>
                <w:bCs/>
                <w:color w:val="000000"/>
                <w:sz w:val="24"/>
                <w:szCs w:val="24"/>
              </w:rPr>
              <w:t>:</w:t>
            </w:r>
          </w:p>
          <w:p>
            <w:pPr>
              <w:widowControl w:val="0"/>
              <w:rPr>
                <w:bCs/>
                <w:color w:val="000000"/>
                <w:sz w:val="24"/>
                <w:szCs w:val="24"/>
              </w:rPr>
            </w:pPr>
            <w:r>
              <w:rPr>
                <w:bCs/>
                <w:color w:val="000000"/>
                <w:sz w:val="24"/>
                <w:szCs w:val="24"/>
              </w:rPr>
              <w:t>тел.:</w:t>
            </w:r>
          </w:p>
        </w:tc>
      </w:tr>
      <w:tr>
        <w:trPr>
          <w:trHeight w:val="327"/>
        </w:trPr>
        <w:tc>
          <w:tcPr>
            <w:tcW w:w="5245" w:type="dxa"/>
            <w:shd w:val="clear" w:color="auto" w:fill="auto"/>
          </w:tcPr>
          <w:p>
            <w:pPr>
              <w:widowControl w:val="0"/>
              <w:rPr>
                <w:bCs/>
                <w:color w:val="000000"/>
                <w:sz w:val="24"/>
                <w:szCs w:val="24"/>
              </w:rPr>
            </w:pPr>
          </w:p>
          <w:p>
            <w:pPr>
              <w:widowControl w:val="0"/>
              <w:rPr>
                <w:sz w:val="24"/>
                <w:szCs w:val="24"/>
              </w:rPr>
            </w:pPr>
            <w:r>
              <w:rPr>
                <w:color w:val="000000"/>
                <w:sz w:val="24"/>
                <w:szCs w:val="24"/>
              </w:rPr>
              <w:t>___________________ /_____________/</w:t>
            </w:r>
          </w:p>
        </w:tc>
        <w:tc>
          <w:tcPr>
            <w:tcW w:w="4981" w:type="dxa"/>
            <w:shd w:val="clear" w:color="auto" w:fill="auto"/>
          </w:tcPr>
          <w:p>
            <w:pPr>
              <w:widowControl w:val="0"/>
              <w:rPr>
                <w:bCs/>
                <w:color w:val="000000"/>
                <w:sz w:val="24"/>
                <w:szCs w:val="24"/>
              </w:rPr>
            </w:pPr>
          </w:p>
          <w:p>
            <w:pPr>
              <w:widowControl w:val="0"/>
              <w:rPr>
                <w:sz w:val="24"/>
                <w:szCs w:val="24"/>
              </w:rPr>
            </w:pPr>
            <w:r>
              <w:rPr>
                <w:b/>
                <w:bCs/>
                <w:color w:val="000000"/>
                <w:sz w:val="24"/>
                <w:szCs w:val="24"/>
              </w:rPr>
              <w:t>____________________ /_____________/</w:t>
            </w:r>
          </w:p>
        </w:tc>
      </w:tr>
    </w:tbl>
    <w:p>
      <w:pPr>
        <w:jc w:val="right"/>
        <w:rPr>
          <w:sz w:val="24"/>
          <w:szCs w:val="24"/>
        </w:rPr>
      </w:pPr>
      <w:r>
        <w:br w:type="page"/>
      </w:r>
      <w:r>
        <w:rPr>
          <w:color w:val="000000"/>
          <w:sz w:val="24"/>
          <w:szCs w:val="24"/>
        </w:rPr>
        <w:lastRenderedPageBreak/>
        <w:t>Приложение № 1</w:t>
      </w:r>
    </w:p>
    <w:p>
      <w:pPr>
        <w:ind w:firstLine="5587"/>
        <w:jc w:val="right"/>
        <w:rPr>
          <w:sz w:val="24"/>
          <w:szCs w:val="24"/>
        </w:rPr>
      </w:pPr>
      <w:r>
        <w:rPr>
          <w:color w:val="000000"/>
          <w:sz w:val="24"/>
          <w:szCs w:val="24"/>
        </w:rPr>
        <w:t>к Государственному контракту</w:t>
      </w:r>
    </w:p>
    <w:p>
      <w:pPr>
        <w:ind w:firstLine="5587"/>
        <w:jc w:val="right"/>
        <w:rPr>
          <w:sz w:val="24"/>
          <w:szCs w:val="24"/>
        </w:rPr>
      </w:pPr>
      <w:r>
        <w:rPr>
          <w:color w:val="000000"/>
          <w:sz w:val="24"/>
          <w:szCs w:val="24"/>
        </w:rPr>
        <w:t>от «____» _________ 2026 года</w:t>
      </w:r>
    </w:p>
    <w:p>
      <w:pPr>
        <w:ind w:firstLine="5587"/>
        <w:jc w:val="right"/>
        <w:rPr>
          <w:color w:val="000000"/>
          <w:sz w:val="24"/>
          <w:szCs w:val="24"/>
        </w:rPr>
      </w:pPr>
      <w:r>
        <w:rPr>
          <w:color w:val="000000"/>
          <w:sz w:val="24"/>
          <w:szCs w:val="24"/>
        </w:rPr>
        <w:t>№ _________________</w:t>
      </w:r>
    </w:p>
    <w:p>
      <w:pPr>
        <w:rPr>
          <w:color w:val="000000"/>
          <w:sz w:val="24"/>
          <w:szCs w:val="24"/>
        </w:rPr>
      </w:pPr>
    </w:p>
    <w:p>
      <w:pPr>
        <w:jc w:val="center"/>
        <w:rPr>
          <w:b/>
          <w:sz w:val="24"/>
          <w:szCs w:val="24"/>
        </w:rPr>
      </w:pPr>
    </w:p>
    <w:p>
      <w:pPr>
        <w:widowControl w:val="0"/>
        <w:ind w:right="-29"/>
        <w:jc w:val="center"/>
        <w:rPr>
          <w:rFonts w:eastAsia="Arial Unicode MS" w:cs="Tahoma"/>
          <w:b/>
          <w:bCs/>
          <w:caps/>
          <w:color w:val="000000"/>
          <w:sz w:val="24"/>
          <w:szCs w:val="24"/>
          <w:lang w:eastAsia="en-US"/>
        </w:rPr>
      </w:pPr>
      <w:r>
        <w:rPr>
          <w:rFonts w:eastAsia="Arial Unicode MS" w:cs="Tahoma"/>
          <w:b/>
          <w:bCs/>
          <w:caps/>
          <w:color w:val="000000"/>
          <w:sz w:val="24"/>
          <w:szCs w:val="24"/>
          <w:lang w:eastAsia="en-US"/>
        </w:rPr>
        <w:t>ОПИСАНИЕ ОБЪЕКТА ЗАКУПКИ</w:t>
      </w:r>
    </w:p>
    <w:p>
      <w:pPr>
        <w:widowControl w:val="0"/>
        <w:ind w:right="-29"/>
        <w:jc w:val="center"/>
        <w:rPr>
          <w:rFonts w:eastAsia="Arial Unicode MS" w:cs="Tahoma"/>
          <w:b/>
          <w:bCs/>
          <w:caps/>
          <w:color w:val="000000"/>
          <w:sz w:val="24"/>
          <w:szCs w:val="24"/>
          <w:lang w:eastAsia="en-US"/>
        </w:rPr>
      </w:pPr>
      <w:r>
        <w:rPr>
          <w:rFonts w:eastAsia="Arial Unicode MS" w:cs="Tahoma"/>
          <w:b/>
          <w:bCs/>
          <w:caps/>
          <w:color w:val="000000"/>
          <w:sz w:val="24"/>
          <w:szCs w:val="24"/>
          <w:lang w:eastAsia="en-US"/>
        </w:rPr>
        <w:t>(ТЕХНИЧЕСКОЕ ЗАДАНИЕ)</w:t>
      </w:r>
    </w:p>
    <w:p>
      <w:pPr>
        <w:pStyle w:val="afb"/>
        <w:jc w:val="left"/>
        <w:rPr>
          <w:sz w:val="24"/>
          <w:szCs w:val="24"/>
          <w:lang w:val="ru-RU"/>
        </w:rPr>
      </w:pPr>
    </w:p>
    <w:p>
      <w:pPr>
        <w:pStyle w:val="ConsPlusNormal"/>
        <w:ind w:firstLine="709"/>
        <w:jc w:val="both"/>
        <w:rPr>
          <w:rFonts w:ascii="Times New Roman" w:hAnsi="Times New Roman"/>
          <w:sz w:val="24"/>
          <w:szCs w:val="24"/>
        </w:rPr>
      </w:pPr>
      <w:r>
        <w:rPr>
          <w:rFonts w:ascii="Times New Roman" w:hAnsi="Times New Roman" w:cs="Times New Roman"/>
          <w:b/>
          <w:sz w:val="24"/>
          <w:szCs w:val="24"/>
        </w:rPr>
        <w:t>Предмет Государственного контракта:</w:t>
      </w:r>
      <w:r>
        <w:rPr>
          <w:rFonts w:ascii="Times New Roman" w:hAnsi="Times New Roman" w:cs="Times New Roman"/>
          <w:sz w:val="24"/>
          <w:szCs w:val="24"/>
        </w:rPr>
        <w:t xml:space="preserve"> поставка материалов для ремонта системы отопления объектов Главного управления МЧС России по Алтайскому краю</w:t>
      </w:r>
    </w:p>
    <w:p>
      <w:pPr>
        <w:pStyle w:val="ConsPlusNormal"/>
        <w:ind w:left="708" w:firstLine="1"/>
        <w:jc w:val="both"/>
        <w:rPr>
          <w:rFonts w:ascii="Times New Roman" w:hAnsi="Times New Roman"/>
          <w:sz w:val="24"/>
          <w:szCs w:val="24"/>
        </w:rPr>
      </w:pPr>
      <w:r>
        <w:rPr>
          <w:rFonts w:ascii="Times New Roman" w:hAnsi="Times New Roman" w:cs="Times New Roman"/>
          <w:b/>
          <w:sz w:val="24"/>
          <w:szCs w:val="24"/>
        </w:rPr>
        <w:t>Место поставки товара:</w:t>
      </w:r>
      <w:r>
        <w:rPr>
          <w:rFonts w:ascii="Times New Roman" w:hAnsi="Times New Roman" w:cs="Times New Roman"/>
          <w:sz w:val="24"/>
          <w:szCs w:val="24"/>
        </w:rPr>
        <w:t xml:space="preserve"> Алтайский край, город Барнаул, улица </w:t>
      </w:r>
      <w:proofErr w:type="spellStart"/>
      <w:r>
        <w:rPr>
          <w:rFonts w:ascii="Times New Roman" w:hAnsi="Times New Roman" w:cs="Times New Roman"/>
          <w:sz w:val="24"/>
          <w:szCs w:val="24"/>
        </w:rPr>
        <w:t>Папанинцев</w:t>
      </w:r>
      <w:proofErr w:type="spellEnd"/>
      <w:r>
        <w:rPr>
          <w:rFonts w:ascii="Times New Roman" w:hAnsi="Times New Roman" w:cs="Times New Roman"/>
          <w:sz w:val="24"/>
          <w:szCs w:val="24"/>
        </w:rPr>
        <w:t>, дом 190.</w:t>
      </w:r>
    </w:p>
    <w:p>
      <w:pPr>
        <w:pStyle w:val="ConsPlusNormal"/>
        <w:ind w:left="708" w:firstLine="1"/>
        <w:jc w:val="both"/>
        <w:rPr>
          <w:rFonts w:ascii="Times New Roman" w:hAnsi="Times New Roman"/>
          <w:sz w:val="24"/>
          <w:szCs w:val="24"/>
        </w:rPr>
      </w:pPr>
      <w:r>
        <w:rPr>
          <w:rFonts w:ascii="Times New Roman" w:hAnsi="Times New Roman" w:cs="Times New Roman"/>
          <w:b/>
          <w:bCs/>
          <w:sz w:val="24"/>
          <w:szCs w:val="24"/>
        </w:rPr>
        <w:t>Источник финансирования:</w:t>
      </w:r>
      <w:r>
        <w:rPr>
          <w:rFonts w:ascii="Times New Roman" w:hAnsi="Times New Roman" w:cs="Times New Roman"/>
          <w:sz w:val="24"/>
          <w:szCs w:val="24"/>
        </w:rPr>
        <w:t xml:space="preserve"> федеральный бюджет 2026 года.</w:t>
      </w:r>
    </w:p>
    <w:p>
      <w:pPr>
        <w:pStyle w:val="ConsPlusNormal"/>
        <w:ind w:firstLine="709"/>
        <w:jc w:val="both"/>
        <w:rPr>
          <w:rFonts w:ascii="Times New Roman" w:hAnsi="Times New Roman"/>
          <w:sz w:val="24"/>
          <w:szCs w:val="24"/>
        </w:rPr>
      </w:pPr>
      <w:r>
        <w:rPr>
          <w:rFonts w:ascii="Times New Roman" w:hAnsi="Times New Roman" w:cs="Times New Roman"/>
          <w:b/>
          <w:sz w:val="24"/>
          <w:szCs w:val="24"/>
        </w:rPr>
        <w:t>Срок поставки товара:</w:t>
      </w:r>
      <w:r>
        <w:rPr>
          <w:rFonts w:ascii="Times New Roman" w:hAnsi="Times New Roman" w:cs="Times New Roman"/>
          <w:sz w:val="24"/>
          <w:szCs w:val="24"/>
        </w:rPr>
        <w:t xml:space="preserve"> в течение 10 (десяти) рабочих дней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Контракта.</w:t>
      </w:r>
    </w:p>
    <w:p>
      <w:pPr>
        <w:pStyle w:val="ConsPlusNormal"/>
        <w:ind w:firstLine="709"/>
        <w:jc w:val="both"/>
        <w:rPr>
          <w:rFonts w:ascii="Times New Roman" w:hAnsi="Times New Roman"/>
          <w:sz w:val="24"/>
          <w:szCs w:val="24"/>
        </w:rPr>
      </w:pPr>
      <w:r>
        <w:rPr>
          <w:rFonts w:ascii="Times New Roman" w:hAnsi="Times New Roman" w:cs="Times New Roman"/>
          <w:sz w:val="24"/>
          <w:szCs w:val="24"/>
        </w:rPr>
        <w:t xml:space="preserve">Товар должен поставляться в рабочие дни и часы Заказчика: с понедельника по четверг с 8:00 до 16:00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12:48).</w:t>
      </w:r>
    </w:p>
    <w:p>
      <w:pPr>
        <w:pStyle w:val="ConsPlusNormal"/>
        <w:ind w:firstLine="709"/>
        <w:jc w:val="both"/>
        <w:rPr>
          <w:rFonts w:ascii="Times New Roman" w:hAnsi="Times New Roman"/>
          <w:sz w:val="24"/>
          <w:szCs w:val="24"/>
        </w:rPr>
      </w:pPr>
      <w:r>
        <w:rPr>
          <w:rFonts w:ascii="Times New Roman" w:hAnsi="Times New Roman" w:cs="Times New Roman"/>
          <w:sz w:val="24"/>
          <w:szCs w:val="24"/>
        </w:rPr>
        <w:t xml:space="preserve">Поставщик обязан согласовать с Заказчиком точное время и дату поставки товара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1 (один) рабочий день до планируемой даты поставки.</w:t>
      </w:r>
    </w:p>
    <w:p>
      <w:pPr>
        <w:pStyle w:val="ConsPlusNormal"/>
        <w:ind w:firstLine="709"/>
        <w:jc w:val="both"/>
        <w:rPr>
          <w:rFonts w:ascii="Times New Roman" w:hAnsi="Times New Roman"/>
          <w:sz w:val="24"/>
          <w:szCs w:val="24"/>
        </w:rPr>
      </w:pPr>
      <w:r>
        <w:rPr>
          <w:rFonts w:ascii="Times New Roman" w:hAnsi="Times New Roman" w:cs="Times New Roman"/>
          <w:b/>
          <w:bCs/>
          <w:sz w:val="24"/>
          <w:szCs w:val="24"/>
        </w:rPr>
        <w:t>Порядок формирования цены Контракта:</w:t>
      </w:r>
      <w:r>
        <w:rPr>
          <w:rFonts w:ascii="Times New Roman" w:hAnsi="Times New Roman" w:cs="Times New Roman"/>
          <w:sz w:val="24"/>
          <w:szCs w:val="24"/>
        </w:rPr>
        <w:t xml:space="preserve"> цена Контракта включает в себя все затраты Поставщика, необходимых для поставки товара по Контракту, в том числе все налоги, сборы, страхование, уплату таможенных пошлин, стоимость расходных материалов, затраты на транспортировку и доставку, затраты на погрузочно-разгрузочные работы, транспортные расходы и иные затраты Поставщика, связанные с исполнением Контракта.</w:t>
      </w:r>
    </w:p>
    <w:p>
      <w:pPr>
        <w:pStyle w:val="ConsPlusNormal"/>
        <w:ind w:firstLine="709"/>
        <w:jc w:val="both"/>
        <w:rPr>
          <w:rFonts w:ascii="Times New Roman" w:hAnsi="Times New Roman"/>
          <w:sz w:val="24"/>
          <w:szCs w:val="24"/>
        </w:rPr>
      </w:pPr>
      <w:r>
        <w:rPr>
          <w:rFonts w:ascii="Times New Roman" w:hAnsi="Times New Roman" w:cs="Times New Roman"/>
          <w:b/>
          <w:bCs/>
          <w:sz w:val="24"/>
          <w:szCs w:val="24"/>
        </w:rPr>
        <w:t xml:space="preserve">Требования к качеству товара: </w:t>
      </w:r>
      <w:r>
        <w:rPr>
          <w:rFonts w:ascii="Times New Roman" w:hAnsi="Times New Roman" w:cs="Times New Roman"/>
          <w:sz w:val="24"/>
          <w:szCs w:val="24"/>
        </w:rPr>
        <w:t>Товар новый (не бывший в употреблении, в том числе, не был восстановлен, не была осуществлена замена составных частей, не были восстановлены потребительские свойства), не имеющий дефектов, не использованный в выставочных, демонстрационных и других целях. Не допущено использование Товара, который находился на консервации, в том числе на заводе-изготовителе.</w:t>
      </w:r>
    </w:p>
    <w:p>
      <w:pPr>
        <w:pStyle w:val="ConsPlusNormal"/>
        <w:ind w:firstLine="709"/>
        <w:jc w:val="both"/>
        <w:rPr>
          <w:rFonts w:ascii="Times New Roman" w:hAnsi="Times New Roman"/>
          <w:sz w:val="24"/>
          <w:szCs w:val="24"/>
        </w:rPr>
      </w:pPr>
      <w:r>
        <w:rPr>
          <w:rFonts w:ascii="Times New Roman" w:hAnsi="Times New Roman" w:cs="Times New Roman"/>
          <w:sz w:val="24"/>
          <w:szCs w:val="24"/>
        </w:rPr>
        <w:t>Товар сопровождается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pPr>
        <w:pStyle w:val="ConsPlusNormal"/>
        <w:ind w:firstLine="709"/>
        <w:jc w:val="both"/>
        <w:rPr>
          <w:rFonts w:ascii="Times New Roman" w:hAnsi="Times New Roman"/>
          <w:sz w:val="24"/>
          <w:szCs w:val="24"/>
        </w:rPr>
      </w:pPr>
      <w:r>
        <w:rPr>
          <w:rFonts w:ascii="Times New Roman" w:hAnsi="Times New Roman" w:cs="Times New Roman"/>
          <w:b/>
          <w:bCs/>
          <w:sz w:val="24"/>
          <w:szCs w:val="24"/>
        </w:rPr>
        <w:t xml:space="preserve">Требования к упаковке товара: </w:t>
      </w:r>
      <w:r>
        <w:rPr>
          <w:rFonts w:ascii="Times New Roman" w:hAnsi="Times New Roman" w:cs="Times New Roman"/>
          <w:sz w:val="24"/>
          <w:szCs w:val="24"/>
        </w:rPr>
        <w:t>товар поставлен в упаковке производителя. Упаковка обеспечивает сохранность товара от всякого рода повреждений при перевозке любыми видами транспорта, а также предохраняет поставляемый товар от внешних воздействий. Не допущено наличия замятий на упаковке, разрывов, попадания влаги и прочих повреждений. Маркировка и упаковка товара соответствуют требованиям нормативно-технической документации в соответствии с законодательством Российской Федерации</w:t>
      </w:r>
    </w:p>
    <w:p>
      <w:pPr>
        <w:pStyle w:val="ConsPlusNormal"/>
        <w:ind w:firstLine="709"/>
        <w:jc w:val="both"/>
        <w:rPr>
          <w:rFonts w:ascii="Times New Roman" w:hAnsi="Times New Roman"/>
          <w:sz w:val="24"/>
          <w:szCs w:val="24"/>
        </w:rPr>
      </w:pPr>
      <w:r>
        <w:rPr>
          <w:rFonts w:ascii="Times New Roman" w:hAnsi="Times New Roman" w:cs="Times New Roman"/>
          <w:b/>
          <w:bCs/>
          <w:sz w:val="24"/>
          <w:szCs w:val="24"/>
        </w:rPr>
        <w:t>Требования к гарантийному сроку:</w:t>
      </w:r>
      <w:r>
        <w:rPr>
          <w:rFonts w:ascii="Times New Roman" w:hAnsi="Times New Roman" w:cs="Times New Roman"/>
          <w:sz w:val="24"/>
          <w:szCs w:val="24"/>
        </w:rPr>
        <w:t xml:space="preserve"> на поставляемый Товар Поставщик предоставляет гарантию не менее чем срок действия гарантии, предоставляемой фирмой-изготовителем, на условиях и в объеме фирменной гарантии изготовителя, но не менее 12 месяцев с момента получения Товара.</w:t>
      </w:r>
    </w:p>
    <w:p>
      <w:pPr>
        <w:pStyle w:val="ConsPlusNormal"/>
        <w:ind w:firstLine="709"/>
        <w:jc w:val="both"/>
        <w:rPr>
          <w:rFonts w:ascii="Times New Roman" w:hAnsi="Times New Roman"/>
          <w:sz w:val="24"/>
          <w:szCs w:val="24"/>
        </w:rPr>
      </w:pPr>
      <w:r>
        <w:rPr>
          <w:rFonts w:ascii="Times New Roman" w:hAnsi="Times New Roman" w:cs="Times New Roman"/>
          <w:sz w:val="24"/>
          <w:szCs w:val="24"/>
        </w:rPr>
        <w:t>Некачественный при приемке Товар подлежит возврату Поставщику, который обязан заменить его на качественный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5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w:t>
      </w:r>
    </w:p>
    <w:p>
      <w:pPr>
        <w:pStyle w:val="ConsPlusNormal"/>
        <w:ind w:firstLine="709"/>
        <w:jc w:val="both"/>
        <w:rPr>
          <w:rFonts w:ascii="Times New Roman" w:hAnsi="Times New Roman"/>
          <w:sz w:val="24"/>
          <w:szCs w:val="24"/>
        </w:rPr>
      </w:pPr>
      <w:r>
        <w:rPr>
          <w:rFonts w:ascii="Times New Roman" w:hAnsi="Times New Roman" w:cs="Times New Roman"/>
          <w:sz w:val="24"/>
          <w:szCs w:val="24"/>
        </w:rPr>
        <w:t>Поставщик гарантирует соответствие Товара требованиям настоящего Технического задания, при соблюдении Заказчиком правил эксплуатации, транспортирования и хранения</w:t>
      </w:r>
    </w:p>
    <w:p>
      <w:pPr>
        <w:pStyle w:val="ConsPlusNormal"/>
        <w:ind w:firstLine="709"/>
        <w:jc w:val="both"/>
        <w:rPr>
          <w:rFonts w:ascii="Times New Roman" w:hAnsi="Times New Roman" w:cs="Times New Roman"/>
          <w:sz w:val="22"/>
          <w:szCs w:val="22"/>
        </w:rPr>
      </w:pPr>
    </w:p>
    <w:p>
      <w:pPr>
        <w:pStyle w:val="ConsPlusNormal"/>
        <w:ind w:firstLine="0"/>
        <w:jc w:val="center"/>
        <w:rPr>
          <w:b/>
          <w:bCs/>
          <w:sz w:val="24"/>
          <w:szCs w:val="24"/>
        </w:rPr>
      </w:pPr>
    </w:p>
    <w:p>
      <w:pPr>
        <w:pStyle w:val="ConsPlusNormal"/>
        <w:ind w:firstLine="0"/>
        <w:jc w:val="center"/>
        <w:rPr>
          <w:b/>
          <w:bCs/>
          <w:sz w:val="24"/>
          <w:szCs w:val="24"/>
        </w:rPr>
      </w:pPr>
    </w:p>
    <w:p>
      <w:pPr>
        <w:pStyle w:val="ConsPlusNormal"/>
        <w:ind w:firstLine="0"/>
        <w:jc w:val="center"/>
        <w:rPr>
          <w:rFonts w:ascii="Times New Roman" w:hAnsi="Times New Roman"/>
          <w:b/>
          <w:bCs/>
          <w:sz w:val="24"/>
          <w:szCs w:val="24"/>
        </w:rPr>
      </w:pPr>
    </w:p>
    <w:p>
      <w:pPr>
        <w:pStyle w:val="ConsPlusNormal"/>
        <w:ind w:firstLine="0"/>
        <w:jc w:val="center"/>
        <w:rPr>
          <w:rFonts w:ascii="Times New Roman" w:hAnsi="Times New Roman"/>
          <w:b/>
          <w:bCs/>
          <w:sz w:val="24"/>
          <w:szCs w:val="24"/>
        </w:rPr>
      </w:pPr>
    </w:p>
    <w:p>
      <w:pPr>
        <w:pStyle w:val="ConsPlusNormal"/>
        <w:ind w:firstLine="0"/>
        <w:jc w:val="center"/>
        <w:rPr>
          <w:rFonts w:ascii="Times New Roman" w:hAnsi="Times New Roman"/>
          <w:b/>
          <w:bCs/>
          <w:sz w:val="24"/>
          <w:szCs w:val="24"/>
        </w:rPr>
      </w:pPr>
    </w:p>
    <w:p>
      <w:pPr>
        <w:pStyle w:val="ConsPlusNormal"/>
        <w:ind w:firstLine="0"/>
        <w:jc w:val="center"/>
        <w:rPr>
          <w:rFonts w:ascii="Times New Roman" w:hAnsi="Times New Roman"/>
          <w:b/>
          <w:bCs/>
          <w:sz w:val="24"/>
          <w:szCs w:val="24"/>
        </w:rPr>
      </w:pPr>
    </w:p>
    <w:p>
      <w:pPr>
        <w:pStyle w:val="ConsPlusNormal"/>
        <w:ind w:firstLine="0"/>
        <w:jc w:val="center"/>
        <w:rPr>
          <w:rFonts w:ascii="Times New Roman" w:hAnsi="Times New Roman"/>
          <w:b/>
          <w:bCs/>
          <w:sz w:val="24"/>
          <w:szCs w:val="24"/>
        </w:rPr>
      </w:pPr>
    </w:p>
    <w:p>
      <w:pPr>
        <w:pStyle w:val="ConsPlusNormal"/>
        <w:ind w:firstLine="0"/>
        <w:jc w:val="center"/>
        <w:rPr>
          <w:rFonts w:ascii="Times New Roman" w:hAnsi="Times New Roman"/>
          <w:b/>
          <w:bCs/>
          <w:sz w:val="24"/>
          <w:szCs w:val="24"/>
        </w:rPr>
      </w:pPr>
    </w:p>
    <w:p>
      <w:pPr>
        <w:pStyle w:val="ConsPlusNormal"/>
        <w:ind w:firstLine="0"/>
        <w:jc w:val="center"/>
        <w:rPr>
          <w:rFonts w:ascii="Times New Roman" w:hAnsi="Times New Roman"/>
        </w:rPr>
      </w:pPr>
      <w:r>
        <w:rPr>
          <w:rFonts w:ascii="Times New Roman" w:hAnsi="Times New Roman"/>
          <w:b/>
          <w:bCs/>
          <w:sz w:val="24"/>
          <w:szCs w:val="24"/>
        </w:rPr>
        <w:t>Функциональные, технические и качественные характеристики Товара</w:t>
      </w:r>
    </w:p>
    <w:p>
      <w:pPr>
        <w:pStyle w:val="ConsPlusNormal"/>
        <w:ind w:firstLine="709"/>
        <w:jc w:val="both"/>
        <w:rPr>
          <w:rFonts w:ascii="Times New Roman" w:hAnsi="Times New Roman" w:cs="Times New Roman"/>
          <w:sz w:val="22"/>
          <w:szCs w:val="22"/>
        </w:rPr>
      </w:pPr>
    </w:p>
    <w:tbl>
      <w:tblPr>
        <w:tblW w:w="10227" w:type="dxa"/>
        <w:jc w:val="center"/>
        <w:tblLayout w:type="fixed"/>
        <w:tblLook w:val="00A0" w:firstRow="1" w:lastRow="0" w:firstColumn="1" w:lastColumn="0" w:noHBand="0" w:noVBand="0"/>
      </w:tblPr>
      <w:tblGrid>
        <w:gridCol w:w="563"/>
        <w:gridCol w:w="2020"/>
        <w:gridCol w:w="2375"/>
        <w:gridCol w:w="1648"/>
        <w:gridCol w:w="2044"/>
        <w:gridCol w:w="843"/>
        <w:gridCol w:w="734"/>
      </w:tblGrid>
      <w:tr>
        <w:trPr>
          <w:trHeight w:val="1231"/>
          <w:jc w:val="center"/>
        </w:trPr>
        <w:tc>
          <w:tcPr>
            <w:tcW w:w="563"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r>
              <w:rPr>
                <w:rFonts w:eastAsia="Calibri"/>
                <w:b/>
                <w:sz w:val="22"/>
                <w:szCs w:val="22"/>
                <w:lang w:eastAsia="ru-RU"/>
              </w:rPr>
              <w:t>№</w:t>
            </w:r>
          </w:p>
          <w:p>
            <w:pPr>
              <w:widowControl w:val="0"/>
              <w:jc w:val="center"/>
              <w:rPr>
                <w:rFonts w:eastAsia="Calibri"/>
                <w:b/>
                <w:sz w:val="22"/>
                <w:szCs w:val="22"/>
                <w:lang w:eastAsia="ru-RU"/>
              </w:rPr>
            </w:pPr>
            <w:proofErr w:type="gramStart"/>
            <w:r>
              <w:rPr>
                <w:rFonts w:eastAsia="Calibri"/>
                <w:b/>
                <w:sz w:val="22"/>
                <w:szCs w:val="22"/>
                <w:lang w:eastAsia="ru-RU"/>
              </w:rPr>
              <w:t>п</w:t>
            </w:r>
            <w:proofErr w:type="gramEnd"/>
            <w:r>
              <w:rPr>
                <w:rFonts w:eastAsia="Calibri"/>
                <w:b/>
                <w:sz w:val="22"/>
                <w:szCs w:val="22"/>
                <w:lang w:eastAsia="ru-RU"/>
              </w:rPr>
              <w:t>/п</w:t>
            </w:r>
          </w:p>
        </w:tc>
        <w:tc>
          <w:tcPr>
            <w:tcW w:w="2020"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r>
              <w:rPr>
                <w:rFonts w:eastAsia="Calibri"/>
                <w:b/>
                <w:sz w:val="22"/>
                <w:szCs w:val="22"/>
                <w:lang w:eastAsia="ru-RU"/>
              </w:rPr>
              <w:t>Наименование товара</w:t>
            </w:r>
          </w:p>
        </w:tc>
        <w:tc>
          <w:tcPr>
            <w:tcW w:w="2375"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r>
              <w:rPr>
                <w:rFonts w:eastAsia="Calibri"/>
                <w:b/>
                <w:sz w:val="22"/>
                <w:szCs w:val="22"/>
                <w:lang w:eastAsia="ru-RU"/>
              </w:rPr>
              <w:t>Наименование характеристики</w:t>
            </w:r>
          </w:p>
        </w:tc>
        <w:tc>
          <w:tcPr>
            <w:tcW w:w="1648"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r>
              <w:rPr>
                <w:rFonts w:eastAsia="Calibri"/>
                <w:b/>
                <w:sz w:val="22"/>
                <w:szCs w:val="22"/>
                <w:lang w:eastAsia="ru-RU"/>
              </w:rPr>
              <w:t>Единица измерения характеристики</w:t>
            </w:r>
          </w:p>
        </w:tc>
        <w:tc>
          <w:tcPr>
            <w:tcW w:w="2044"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r>
              <w:rPr>
                <w:rFonts w:eastAsia="Calibri"/>
                <w:b/>
                <w:sz w:val="22"/>
                <w:szCs w:val="22"/>
                <w:lang w:eastAsia="ru-RU"/>
              </w:rPr>
              <w:t>Значения показателя товара</w:t>
            </w:r>
          </w:p>
        </w:tc>
        <w:tc>
          <w:tcPr>
            <w:tcW w:w="843"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b/>
                <w:sz w:val="22"/>
                <w:szCs w:val="22"/>
              </w:rPr>
            </w:pPr>
            <w:r>
              <w:rPr>
                <w:b/>
                <w:sz w:val="22"/>
                <w:szCs w:val="22"/>
              </w:rPr>
              <w:t>Ед. изм.</w:t>
            </w:r>
          </w:p>
        </w:tc>
        <w:tc>
          <w:tcPr>
            <w:tcW w:w="734"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b/>
                <w:sz w:val="22"/>
                <w:szCs w:val="22"/>
              </w:rPr>
            </w:pPr>
            <w:r>
              <w:rPr>
                <w:b/>
                <w:sz w:val="22"/>
                <w:szCs w:val="22"/>
              </w:rPr>
              <w:t>Кол-во</w:t>
            </w:r>
          </w:p>
        </w:tc>
      </w:tr>
      <w:tr>
        <w:trPr>
          <w:trHeight w:val="20"/>
          <w:jc w:val="center"/>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pPr>
              <w:widowControl w:val="0"/>
              <w:rPr>
                <w:sz w:val="22"/>
                <w:szCs w:val="22"/>
              </w:rPr>
            </w:pPr>
            <w:r>
              <w:rPr>
                <w:sz w:val="22"/>
                <w:szCs w:val="22"/>
              </w:rPr>
              <w:t>1</w:t>
            </w:r>
          </w:p>
        </w:tc>
        <w:tc>
          <w:tcPr>
            <w:tcW w:w="2020" w:type="dxa"/>
            <w:vMerge w:val="restart"/>
            <w:tcBorders>
              <w:top w:val="single" w:sz="4" w:space="0" w:color="000000"/>
              <w:left w:val="single" w:sz="4" w:space="0" w:color="000000"/>
              <w:bottom w:val="single" w:sz="4" w:space="0" w:color="000000"/>
              <w:right w:val="single" w:sz="4" w:space="0" w:color="000000"/>
            </w:tcBorders>
            <w:vAlign w:val="center"/>
          </w:tcPr>
          <w:p>
            <w:pPr>
              <w:widowControl w:val="0"/>
              <w:jc w:val="center"/>
              <w:rPr>
                <w:color w:val="000000" w:themeColor="text1"/>
                <w:sz w:val="22"/>
                <w:szCs w:val="22"/>
                <w:shd w:val="clear" w:color="auto" w:fill="FFFFFF"/>
                <w:lang w:eastAsia="ru-RU"/>
              </w:rPr>
            </w:pPr>
            <w:r>
              <w:rPr>
                <w:color w:val="000000" w:themeColor="text1"/>
                <w:sz w:val="22"/>
                <w:szCs w:val="22"/>
                <w:shd w:val="clear" w:color="auto" w:fill="FFFFFF"/>
                <w:lang w:eastAsia="ru-RU"/>
              </w:rPr>
              <w:t>Труба стальная электросварная круглая (Тип 1)</w:t>
            </w:r>
          </w:p>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Наружный диаметр (без учета предельного отклонения)</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r>
              <w:rPr>
                <w:rFonts w:eastAsia="Calibri"/>
                <w:sz w:val="22"/>
                <w:szCs w:val="22"/>
              </w:rPr>
              <w:t>миллиметр</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lang w:val="en-US"/>
              </w:rPr>
            </w:pPr>
            <w:r>
              <w:rPr>
                <w:rFonts w:eastAsia="Source Han Sans CN Regular"/>
                <w:kern w:val="2"/>
                <w:sz w:val="22"/>
                <w:szCs w:val="22"/>
                <w:lang w:val="en-US" w:eastAsia="ru-RU"/>
              </w:rPr>
              <w:t>50</w:t>
            </w:r>
          </w:p>
        </w:tc>
        <w:tc>
          <w:tcPr>
            <w:tcW w:w="843" w:type="dxa"/>
            <w:vMerge w:val="restart"/>
            <w:tcBorders>
              <w:top w:val="single" w:sz="4" w:space="0" w:color="000000"/>
              <w:left w:val="single" w:sz="4" w:space="0" w:color="000000"/>
              <w:bottom w:val="single" w:sz="4" w:space="0" w:color="000000"/>
              <w:right w:val="single" w:sz="4" w:space="0" w:color="000000"/>
            </w:tcBorders>
          </w:tcPr>
          <w:p>
            <w:pPr>
              <w:widowControl w:val="0"/>
              <w:rPr>
                <w:rFonts w:eastAsia="Calibri"/>
                <w:color w:val="000000"/>
                <w:sz w:val="22"/>
                <w:szCs w:val="22"/>
                <w:lang w:eastAsia="ru-RU"/>
              </w:rPr>
            </w:pPr>
          </w:p>
          <w:p>
            <w:pPr>
              <w:widowControl w:val="0"/>
              <w:rPr>
                <w:rFonts w:eastAsia="Calibri"/>
                <w:color w:val="000000"/>
                <w:sz w:val="22"/>
                <w:szCs w:val="22"/>
                <w:lang w:eastAsia="ru-RU"/>
              </w:rPr>
            </w:pPr>
          </w:p>
          <w:p>
            <w:pPr>
              <w:widowControl w:val="0"/>
              <w:rPr>
                <w:sz w:val="22"/>
                <w:szCs w:val="22"/>
              </w:rPr>
            </w:pPr>
            <w:r>
              <w:rPr>
                <w:color w:val="000000"/>
                <w:sz w:val="22"/>
                <w:szCs w:val="22"/>
              </w:rPr>
              <w:t>метр</w:t>
            </w:r>
          </w:p>
          <w:p>
            <w:pPr>
              <w:widowControl w:val="0"/>
              <w:jc w:val="center"/>
              <w:rPr>
                <w:rFonts w:eastAsia="Calibri"/>
                <w:sz w:val="22"/>
                <w:szCs w:val="22"/>
                <w:lang w:eastAsia="ru-RU"/>
              </w:rPr>
            </w:pPr>
          </w:p>
        </w:tc>
        <w:tc>
          <w:tcPr>
            <w:tcW w:w="734" w:type="dxa"/>
            <w:vMerge w:val="restart"/>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p>
            <w:pPr>
              <w:widowControl w:val="0"/>
              <w:jc w:val="center"/>
              <w:rPr>
                <w:rFonts w:eastAsia="Calibri"/>
                <w:sz w:val="22"/>
                <w:szCs w:val="22"/>
                <w:lang w:eastAsia="ru-RU"/>
              </w:rPr>
            </w:pPr>
          </w:p>
          <w:p>
            <w:pPr>
              <w:widowControl w:val="0"/>
              <w:jc w:val="center"/>
              <w:rPr>
                <w:rFonts w:eastAsia="Calibri"/>
                <w:sz w:val="22"/>
                <w:szCs w:val="22"/>
                <w:lang w:eastAsia="ru-RU"/>
              </w:rPr>
            </w:pPr>
          </w:p>
          <w:p>
            <w:pPr>
              <w:widowControl w:val="0"/>
              <w:jc w:val="center"/>
              <w:rPr>
                <w:rFonts w:eastAsia="Calibri"/>
                <w:sz w:val="22"/>
                <w:szCs w:val="22"/>
                <w:lang w:val="en-US" w:eastAsia="ru-RU"/>
              </w:rPr>
            </w:pPr>
            <w:r>
              <w:rPr>
                <w:rFonts w:eastAsia="Calibri"/>
                <w:sz w:val="22"/>
                <w:szCs w:val="22"/>
                <w:lang w:eastAsia="ru-RU"/>
              </w:rPr>
              <w:t>2</w:t>
            </w:r>
            <w:r>
              <w:rPr>
                <w:rFonts w:eastAsia="Calibri"/>
                <w:sz w:val="22"/>
                <w:szCs w:val="22"/>
                <w:lang w:val="en-US" w:eastAsia="ru-RU"/>
              </w:rPr>
              <w:t>0</w:t>
            </w:r>
          </w:p>
        </w:tc>
      </w:tr>
      <w:tr>
        <w:trPr>
          <w:trHeight w:val="20"/>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p>
        </w:tc>
        <w:tc>
          <w:tcPr>
            <w:tcW w:w="2020"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Тип</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proofErr w:type="spellStart"/>
            <w:r>
              <w:rPr>
                <w:color w:val="000000" w:themeColor="text1"/>
                <w:sz w:val="22"/>
                <w:szCs w:val="22"/>
                <w:lang w:eastAsia="ru-RU"/>
              </w:rPr>
              <w:t>Прямошовная</w:t>
            </w:r>
            <w:proofErr w:type="spellEnd"/>
          </w:p>
        </w:tc>
        <w:tc>
          <w:tcPr>
            <w:tcW w:w="843" w:type="dxa"/>
            <w:vMerge/>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c>
          <w:tcPr>
            <w:tcW w:w="734" w:type="dxa"/>
            <w:vMerge/>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r>
      <w:tr>
        <w:trPr>
          <w:trHeight w:val="20"/>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p>
        </w:tc>
        <w:tc>
          <w:tcPr>
            <w:tcW w:w="2020"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Толщина стенки</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r>
              <w:rPr>
                <w:rFonts w:eastAsia="Calibri"/>
                <w:sz w:val="22"/>
                <w:szCs w:val="22"/>
              </w:rPr>
              <w:t>миллиметр</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r>
              <w:rPr>
                <w:sz w:val="22"/>
                <w:szCs w:val="22"/>
                <w:lang w:eastAsia="ru-RU"/>
              </w:rPr>
              <w:t>3,5</w:t>
            </w:r>
          </w:p>
        </w:tc>
        <w:tc>
          <w:tcPr>
            <w:tcW w:w="843" w:type="dxa"/>
            <w:vMerge/>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c>
          <w:tcPr>
            <w:tcW w:w="734" w:type="dxa"/>
            <w:vMerge/>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r>
      <w:tr>
        <w:trPr>
          <w:trHeight w:val="20"/>
          <w:jc w:val="center"/>
        </w:trPr>
        <w:tc>
          <w:tcPr>
            <w:tcW w:w="563" w:type="dxa"/>
            <w:vMerge w:val="restart"/>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sz w:val="22"/>
                <w:szCs w:val="22"/>
                <w:lang w:eastAsia="ru-RU"/>
              </w:rPr>
            </w:pPr>
            <w:r>
              <w:rPr>
                <w:rFonts w:eastAsia="Calibri"/>
                <w:sz w:val="22"/>
                <w:szCs w:val="22"/>
                <w:lang w:eastAsia="ru-RU"/>
              </w:rPr>
              <w:t>2</w:t>
            </w:r>
          </w:p>
        </w:tc>
        <w:tc>
          <w:tcPr>
            <w:tcW w:w="2020" w:type="dxa"/>
            <w:vMerge w:val="restart"/>
            <w:tcBorders>
              <w:top w:val="single" w:sz="4" w:space="0" w:color="000000"/>
              <w:left w:val="single" w:sz="4" w:space="0" w:color="000000"/>
              <w:bottom w:val="single" w:sz="4" w:space="0" w:color="000000"/>
              <w:right w:val="single" w:sz="4" w:space="0" w:color="000000"/>
            </w:tcBorders>
            <w:vAlign w:val="center"/>
          </w:tcPr>
          <w:p>
            <w:pPr>
              <w:widowControl w:val="0"/>
              <w:jc w:val="center"/>
              <w:rPr>
                <w:color w:val="000000" w:themeColor="text1"/>
                <w:sz w:val="22"/>
                <w:szCs w:val="22"/>
                <w:shd w:val="clear" w:color="auto" w:fill="FFFFFF"/>
                <w:lang w:eastAsia="ru-RU"/>
              </w:rPr>
            </w:pPr>
            <w:r>
              <w:rPr>
                <w:color w:val="000000" w:themeColor="text1"/>
                <w:sz w:val="22"/>
                <w:szCs w:val="22"/>
                <w:shd w:val="clear" w:color="auto" w:fill="FFFFFF"/>
                <w:lang w:eastAsia="ru-RU"/>
              </w:rPr>
              <w:t>Труба стальная электросварная круглая (Тип 2)</w:t>
            </w:r>
          </w:p>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Наружный диаметр (без учета предельного отклонения)</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r>
              <w:rPr>
                <w:rFonts w:eastAsia="Calibri"/>
                <w:sz w:val="22"/>
                <w:szCs w:val="22"/>
              </w:rPr>
              <w:t>миллиметр</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r>
              <w:rPr>
                <w:rFonts w:eastAsia="Source Han Sans CN Regular"/>
                <w:kern w:val="2"/>
                <w:sz w:val="22"/>
                <w:szCs w:val="22"/>
                <w:lang w:val="en-US" w:eastAsia="ru-RU"/>
              </w:rPr>
              <w:t>1</w:t>
            </w:r>
            <w:r>
              <w:rPr>
                <w:rFonts w:eastAsia="Source Han Sans CN Regular"/>
                <w:kern w:val="2"/>
                <w:sz w:val="22"/>
                <w:szCs w:val="22"/>
                <w:lang w:eastAsia="ru-RU"/>
              </w:rPr>
              <w:t>59</w:t>
            </w:r>
          </w:p>
        </w:tc>
        <w:tc>
          <w:tcPr>
            <w:tcW w:w="843" w:type="dxa"/>
            <w:vMerge w:val="restart"/>
            <w:tcBorders>
              <w:top w:val="single" w:sz="4" w:space="0" w:color="000000"/>
              <w:left w:val="single" w:sz="4" w:space="0" w:color="000000"/>
              <w:bottom w:val="single" w:sz="4" w:space="0" w:color="000000"/>
              <w:right w:val="single" w:sz="4" w:space="0" w:color="000000"/>
            </w:tcBorders>
          </w:tcPr>
          <w:p>
            <w:pPr>
              <w:widowControl w:val="0"/>
              <w:rPr>
                <w:rFonts w:eastAsia="Calibri"/>
                <w:color w:val="000000"/>
                <w:sz w:val="22"/>
                <w:szCs w:val="22"/>
                <w:lang w:eastAsia="ru-RU"/>
              </w:rPr>
            </w:pPr>
          </w:p>
          <w:p>
            <w:pPr>
              <w:widowControl w:val="0"/>
              <w:rPr>
                <w:rFonts w:eastAsia="Calibri"/>
                <w:color w:val="000000"/>
                <w:sz w:val="22"/>
                <w:szCs w:val="22"/>
                <w:lang w:eastAsia="ru-RU"/>
              </w:rPr>
            </w:pPr>
          </w:p>
          <w:p>
            <w:pPr>
              <w:widowControl w:val="0"/>
              <w:rPr>
                <w:sz w:val="22"/>
                <w:szCs w:val="22"/>
              </w:rPr>
            </w:pPr>
            <w:r>
              <w:rPr>
                <w:color w:val="000000"/>
                <w:sz w:val="22"/>
                <w:szCs w:val="22"/>
              </w:rPr>
              <w:t>метр</w:t>
            </w:r>
          </w:p>
          <w:p>
            <w:pPr>
              <w:widowControl w:val="0"/>
              <w:jc w:val="center"/>
              <w:rPr>
                <w:rFonts w:eastAsia="Calibri"/>
                <w:sz w:val="22"/>
                <w:szCs w:val="22"/>
                <w:lang w:eastAsia="ru-RU"/>
              </w:rPr>
            </w:pPr>
          </w:p>
        </w:tc>
        <w:tc>
          <w:tcPr>
            <w:tcW w:w="734" w:type="dxa"/>
            <w:vMerge w:val="restart"/>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p>
            <w:pPr>
              <w:widowControl w:val="0"/>
              <w:jc w:val="center"/>
              <w:rPr>
                <w:rFonts w:eastAsia="Calibri"/>
                <w:sz w:val="22"/>
                <w:szCs w:val="22"/>
                <w:lang w:eastAsia="ru-RU"/>
              </w:rPr>
            </w:pPr>
          </w:p>
          <w:p>
            <w:pPr>
              <w:widowControl w:val="0"/>
              <w:jc w:val="center"/>
              <w:rPr>
                <w:rFonts w:eastAsia="Calibri"/>
                <w:sz w:val="22"/>
                <w:szCs w:val="22"/>
                <w:lang w:eastAsia="ru-RU"/>
              </w:rPr>
            </w:pPr>
          </w:p>
          <w:p>
            <w:pPr>
              <w:widowControl w:val="0"/>
              <w:jc w:val="center"/>
              <w:rPr>
                <w:rFonts w:eastAsia="Calibri"/>
                <w:sz w:val="22"/>
                <w:szCs w:val="22"/>
                <w:lang w:eastAsia="ru-RU"/>
              </w:rPr>
            </w:pPr>
            <w:r>
              <w:rPr>
                <w:rFonts w:eastAsia="Calibri"/>
                <w:sz w:val="22"/>
                <w:szCs w:val="22"/>
                <w:lang w:val="en-US" w:eastAsia="ru-RU"/>
              </w:rPr>
              <w:t>1</w:t>
            </w:r>
            <w:r>
              <w:rPr>
                <w:rFonts w:eastAsia="Calibri"/>
                <w:sz w:val="22"/>
                <w:szCs w:val="22"/>
                <w:lang w:eastAsia="ru-RU"/>
              </w:rPr>
              <w:t>2</w:t>
            </w:r>
          </w:p>
        </w:tc>
      </w:tr>
      <w:tr>
        <w:trPr>
          <w:trHeight w:val="20"/>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p>
        </w:tc>
        <w:tc>
          <w:tcPr>
            <w:tcW w:w="2020"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Тип</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proofErr w:type="spellStart"/>
            <w:r>
              <w:rPr>
                <w:color w:val="000000" w:themeColor="text1"/>
                <w:sz w:val="22"/>
                <w:szCs w:val="22"/>
                <w:lang w:eastAsia="ru-RU"/>
              </w:rPr>
              <w:t>Прямошовная</w:t>
            </w:r>
            <w:proofErr w:type="spellEnd"/>
          </w:p>
        </w:tc>
        <w:tc>
          <w:tcPr>
            <w:tcW w:w="843" w:type="dxa"/>
            <w:vMerge/>
            <w:tcBorders>
              <w:left w:val="single" w:sz="4" w:space="0" w:color="000000"/>
              <w:right w:val="single" w:sz="4" w:space="0" w:color="000000"/>
            </w:tcBorders>
          </w:tcPr>
          <w:p>
            <w:pPr>
              <w:widowControl w:val="0"/>
              <w:jc w:val="center"/>
              <w:rPr>
                <w:rFonts w:eastAsia="Calibri"/>
                <w:sz w:val="22"/>
                <w:szCs w:val="22"/>
                <w:lang w:eastAsia="ru-RU"/>
              </w:rPr>
            </w:pPr>
          </w:p>
        </w:tc>
        <w:tc>
          <w:tcPr>
            <w:tcW w:w="734" w:type="dxa"/>
            <w:vMerge/>
            <w:tcBorders>
              <w:left w:val="single" w:sz="4" w:space="0" w:color="000000"/>
              <w:right w:val="single" w:sz="4" w:space="0" w:color="000000"/>
            </w:tcBorders>
          </w:tcPr>
          <w:p>
            <w:pPr>
              <w:widowControl w:val="0"/>
              <w:jc w:val="center"/>
              <w:rPr>
                <w:rFonts w:eastAsia="Calibri"/>
                <w:sz w:val="22"/>
                <w:szCs w:val="22"/>
                <w:lang w:eastAsia="ru-RU"/>
              </w:rPr>
            </w:pPr>
          </w:p>
        </w:tc>
      </w:tr>
      <w:tr>
        <w:trPr>
          <w:trHeight w:val="20"/>
          <w:jc w:val="center"/>
        </w:trPr>
        <w:tc>
          <w:tcPr>
            <w:tcW w:w="563"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p>
        </w:tc>
        <w:tc>
          <w:tcPr>
            <w:tcW w:w="2020" w:type="dxa"/>
            <w:vMerge/>
            <w:tcBorders>
              <w:top w:val="single" w:sz="4" w:space="0" w:color="000000"/>
              <w:left w:val="single" w:sz="4" w:space="0" w:color="000000"/>
              <w:bottom w:val="single" w:sz="4" w:space="0" w:color="000000"/>
              <w:right w:val="single" w:sz="4" w:space="0" w:color="000000"/>
            </w:tcBorders>
            <w:vAlign w:val="center"/>
          </w:tcPr>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Толщина стенки</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r>
              <w:rPr>
                <w:rFonts w:eastAsia="Calibri"/>
                <w:sz w:val="22"/>
                <w:szCs w:val="22"/>
              </w:rPr>
              <w:t>миллиметр</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r>
              <w:rPr>
                <w:sz w:val="22"/>
                <w:szCs w:val="22"/>
                <w:lang w:eastAsia="ru-RU"/>
              </w:rPr>
              <w:t>5</w:t>
            </w:r>
          </w:p>
        </w:tc>
        <w:tc>
          <w:tcPr>
            <w:tcW w:w="843" w:type="dxa"/>
            <w:vMerge/>
            <w:tcBorders>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c>
          <w:tcPr>
            <w:tcW w:w="734" w:type="dxa"/>
            <w:vMerge/>
            <w:tcBorders>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r>
      <w:tr>
        <w:trPr>
          <w:trHeight w:val="20"/>
          <w:jc w:val="center"/>
        </w:trPr>
        <w:tc>
          <w:tcPr>
            <w:tcW w:w="563" w:type="dxa"/>
            <w:vMerge w:val="restart"/>
            <w:tcBorders>
              <w:top w:val="single" w:sz="4" w:space="0" w:color="000000"/>
              <w:left w:val="single" w:sz="4" w:space="0" w:color="000000"/>
              <w:right w:val="single" w:sz="4" w:space="0" w:color="000000"/>
            </w:tcBorders>
            <w:vAlign w:val="center"/>
          </w:tcPr>
          <w:p>
            <w:pPr>
              <w:widowControl w:val="0"/>
              <w:jc w:val="center"/>
              <w:rPr>
                <w:rFonts w:eastAsia="Calibri"/>
                <w:sz w:val="22"/>
                <w:szCs w:val="22"/>
                <w:lang w:eastAsia="ru-RU"/>
              </w:rPr>
            </w:pPr>
            <w:r>
              <w:rPr>
                <w:rFonts w:eastAsia="Calibri"/>
                <w:sz w:val="22"/>
                <w:szCs w:val="22"/>
                <w:lang w:eastAsia="ru-RU"/>
              </w:rPr>
              <w:t>3</w:t>
            </w:r>
          </w:p>
        </w:tc>
        <w:tc>
          <w:tcPr>
            <w:tcW w:w="2020" w:type="dxa"/>
            <w:vMerge w:val="restart"/>
            <w:tcBorders>
              <w:top w:val="single" w:sz="4" w:space="0" w:color="000000"/>
              <w:left w:val="single" w:sz="4" w:space="0" w:color="000000"/>
              <w:bottom w:val="single" w:sz="4" w:space="0" w:color="000000"/>
              <w:right w:val="single" w:sz="4" w:space="0" w:color="000000"/>
            </w:tcBorders>
            <w:vAlign w:val="center"/>
          </w:tcPr>
          <w:p>
            <w:pPr>
              <w:widowControl w:val="0"/>
              <w:jc w:val="center"/>
              <w:rPr>
                <w:color w:val="000000" w:themeColor="text1"/>
                <w:sz w:val="22"/>
                <w:szCs w:val="22"/>
                <w:shd w:val="clear" w:color="auto" w:fill="FFFFFF"/>
                <w:lang w:eastAsia="ru-RU"/>
              </w:rPr>
            </w:pPr>
            <w:r>
              <w:rPr>
                <w:color w:val="000000" w:themeColor="text1"/>
                <w:sz w:val="22"/>
                <w:szCs w:val="22"/>
                <w:shd w:val="clear" w:color="auto" w:fill="FFFFFF"/>
                <w:lang w:eastAsia="ru-RU"/>
              </w:rPr>
              <w:t>Труба стальная электросварная круглая (Тип 3)</w:t>
            </w:r>
          </w:p>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Наружный диаметр (без учета предельного отклонения)</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r>
              <w:rPr>
                <w:rFonts w:eastAsia="Calibri"/>
                <w:sz w:val="22"/>
                <w:szCs w:val="22"/>
              </w:rPr>
              <w:t>миллиметр</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lang w:val="en-US"/>
              </w:rPr>
            </w:pPr>
            <w:r>
              <w:rPr>
                <w:rFonts w:eastAsia="Source Han Sans CN Regular"/>
                <w:kern w:val="2"/>
                <w:sz w:val="22"/>
                <w:szCs w:val="22"/>
                <w:lang w:eastAsia="ru-RU"/>
              </w:rPr>
              <w:t>273</w:t>
            </w:r>
          </w:p>
        </w:tc>
        <w:tc>
          <w:tcPr>
            <w:tcW w:w="843" w:type="dxa"/>
            <w:vMerge w:val="restart"/>
            <w:tcBorders>
              <w:top w:val="single" w:sz="4" w:space="0" w:color="000000"/>
              <w:left w:val="single" w:sz="4" w:space="0" w:color="000000"/>
              <w:bottom w:val="single" w:sz="4" w:space="0" w:color="000000"/>
              <w:right w:val="single" w:sz="4" w:space="0" w:color="000000"/>
            </w:tcBorders>
          </w:tcPr>
          <w:p>
            <w:pPr>
              <w:widowControl w:val="0"/>
              <w:rPr>
                <w:rFonts w:eastAsia="Calibri"/>
                <w:color w:val="000000"/>
                <w:sz w:val="22"/>
                <w:szCs w:val="22"/>
                <w:lang w:eastAsia="ru-RU"/>
              </w:rPr>
            </w:pPr>
          </w:p>
          <w:p>
            <w:pPr>
              <w:widowControl w:val="0"/>
              <w:rPr>
                <w:rFonts w:eastAsia="Calibri"/>
                <w:color w:val="000000"/>
                <w:sz w:val="22"/>
                <w:szCs w:val="22"/>
                <w:lang w:eastAsia="ru-RU"/>
              </w:rPr>
            </w:pPr>
          </w:p>
          <w:p>
            <w:pPr>
              <w:widowControl w:val="0"/>
              <w:rPr>
                <w:sz w:val="22"/>
                <w:szCs w:val="22"/>
              </w:rPr>
            </w:pPr>
            <w:r>
              <w:rPr>
                <w:color w:val="000000"/>
                <w:sz w:val="22"/>
                <w:szCs w:val="22"/>
              </w:rPr>
              <w:t>метр</w:t>
            </w:r>
          </w:p>
          <w:p>
            <w:pPr>
              <w:widowControl w:val="0"/>
              <w:jc w:val="center"/>
              <w:rPr>
                <w:rFonts w:eastAsia="Calibri"/>
                <w:sz w:val="22"/>
                <w:szCs w:val="22"/>
                <w:lang w:eastAsia="ru-RU"/>
              </w:rPr>
            </w:pPr>
          </w:p>
        </w:tc>
        <w:tc>
          <w:tcPr>
            <w:tcW w:w="734" w:type="dxa"/>
            <w:vMerge w:val="restart"/>
            <w:tcBorders>
              <w:top w:val="single" w:sz="4" w:space="0" w:color="000000"/>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p>
            <w:pPr>
              <w:widowControl w:val="0"/>
              <w:jc w:val="center"/>
              <w:rPr>
                <w:rFonts w:eastAsia="Calibri"/>
                <w:sz w:val="22"/>
                <w:szCs w:val="22"/>
                <w:lang w:eastAsia="ru-RU"/>
              </w:rPr>
            </w:pPr>
          </w:p>
          <w:p>
            <w:pPr>
              <w:widowControl w:val="0"/>
              <w:jc w:val="center"/>
              <w:rPr>
                <w:rFonts w:eastAsia="Calibri"/>
                <w:sz w:val="22"/>
                <w:szCs w:val="22"/>
                <w:lang w:eastAsia="ru-RU"/>
              </w:rPr>
            </w:pPr>
          </w:p>
          <w:p>
            <w:pPr>
              <w:widowControl w:val="0"/>
              <w:jc w:val="center"/>
              <w:rPr>
                <w:rFonts w:eastAsia="Calibri"/>
                <w:sz w:val="22"/>
                <w:szCs w:val="22"/>
                <w:lang w:eastAsia="ru-RU"/>
              </w:rPr>
            </w:pPr>
            <w:r>
              <w:rPr>
                <w:rFonts w:eastAsia="Calibri"/>
                <w:sz w:val="22"/>
                <w:szCs w:val="22"/>
                <w:lang w:eastAsia="ru-RU"/>
              </w:rPr>
              <w:t>12</w:t>
            </w:r>
          </w:p>
        </w:tc>
      </w:tr>
      <w:tr>
        <w:trPr>
          <w:trHeight w:val="20"/>
          <w:jc w:val="center"/>
        </w:trPr>
        <w:tc>
          <w:tcPr>
            <w:tcW w:w="563" w:type="dxa"/>
            <w:vMerge/>
            <w:tcBorders>
              <w:left w:val="single" w:sz="4" w:space="0" w:color="000000"/>
              <w:right w:val="single" w:sz="4" w:space="0" w:color="000000"/>
            </w:tcBorders>
            <w:vAlign w:val="center"/>
          </w:tcPr>
          <w:p>
            <w:pPr>
              <w:widowControl w:val="0"/>
              <w:jc w:val="center"/>
              <w:rPr>
                <w:rFonts w:eastAsia="Calibri"/>
                <w:b/>
                <w:sz w:val="22"/>
                <w:szCs w:val="22"/>
                <w:lang w:eastAsia="ru-RU"/>
              </w:rPr>
            </w:pPr>
          </w:p>
        </w:tc>
        <w:tc>
          <w:tcPr>
            <w:tcW w:w="2020" w:type="dxa"/>
            <w:vMerge/>
            <w:tcBorders>
              <w:left w:val="single" w:sz="4" w:space="0" w:color="000000"/>
              <w:right w:val="single" w:sz="4" w:space="0" w:color="000000"/>
            </w:tcBorders>
            <w:vAlign w:val="center"/>
          </w:tcPr>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Тип</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proofErr w:type="spellStart"/>
            <w:r>
              <w:rPr>
                <w:color w:val="000000" w:themeColor="text1"/>
                <w:sz w:val="22"/>
                <w:szCs w:val="22"/>
                <w:lang w:eastAsia="ru-RU"/>
              </w:rPr>
              <w:t>Прямошовная</w:t>
            </w:r>
            <w:proofErr w:type="spellEnd"/>
          </w:p>
        </w:tc>
        <w:tc>
          <w:tcPr>
            <w:tcW w:w="843" w:type="dxa"/>
            <w:vMerge/>
            <w:tcBorders>
              <w:left w:val="single" w:sz="4" w:space="0" w:color="000000"/>
              <w:right w:val="single" w:sz="4" w:space="0" w:color="000000"/>
            </w:tcBorders>
          </w:tcPr>
          <w:p>
            <w:pPr>
              <w:widowControl w:val="0"/>
              <w:jc w:val="center"/>
              <w:rPr>
                <w:rFonts w:eastAsia="Calibri"/>
                <w:sz w:val="22"/>
                <w:szCs w:val="22"/>
                <w:lang w:eastAsia="ru-RU"/>
              </w:rPr>
            </w:pPr>
          </w:p>
        </w:tc>
        <w:tc>
          <w:tcPr>
            <w:tcW w:w="734" w:type="dxa"/>
            <w:vMerge/>
            <w:tcBorders>
              <w:left w:val="single" w:sz="4" w:space="0" w:color="000000"/>
              <w:right w:val="single" w:sz="4" w:space="0" w:color="000000"/>
            </w:tcBorders>
          </w:tcPr>
          <w:p>
            <w:pPr>
              <w:widowControl w:val="0"/>
              <w:jc w:val="center"/>
              <w:rPr>
                <w:rFonts w:eastAsia="Calibri"/>
                <w:sz w:val="22"/>
                <w:szCs w:val="22"/>
                <w:lang w:eastAsia="ru-RU"/>
              </w:rPr>
            </w:pPr>
          </w:p>
        </w:tc>
      </w:tr>
      <w:tr>
        <w:trPr>
          <w:trHeight w:val="20"/>
          <w:jc w:val="center"/>
        </w:trPr>
        <w:tc>
          <w:tcPr>
            <w:tcW w:w="563" w:type="dxa"/>
            <w:tcBorders>
              <w:left w:val="single" w:sz="4" w:space="0" w:color="000000"/>
              <w:bottom w:val="single" w:sz="4" w:space="0" w:color="000000"/>
              <w:right w:val="single" w:sz="4" w:space="0" w:color="000000"/>
            </w:tcBorders>
            <w:vAlign w:val="center"/>
          </w:tcPr>
          <w:p>
            <w:pPr>
              <w:widowControl w:val="0"/>
              <w:jc w:val="center"/>
              <w:rPr>
                <w:rFonts w:eastAsia="Calibri"/>
                <w:b/>
                <w:sz w:val="22"/>
                <w:szCs w:val="22"/>
                <w:lang w:eastAsia="ru-RU"/>
              </w:rPr>
            </w:pPr>
          </w:p>
        </w:tc>
        <w:tc>
          <w:tcPr>
            <w:tcW w:w="2020" w:type="dxa"/>
            <w:vMerge/>
            <w:tcBorders>
              <w:left w:val="single" w:sz="4" w:space="0" w:color="000000"/>
              <w:bottom w:val="single" w:sz="4" w:space="0" w:color="000000"/>
              <w:right w:val="single" w:sz="4" w:space="0" w:color="000000"/>
            </w:tcBorders>
            <w:vAlign w:val="center"/>
          </w:tcPr>
          <w:p>
            <w:pPr>
              <w:widowControl w:val="0"/>
              <w:jc w:val="center"/>
              <w:rPr>
                <w:rStyle w:val="cardmaininfocontent"/>
                <w:rFonts w:eastAsia="Arial"/>
                <w:color w:val="000000"/>
                <w:sz w:val="22"/>
                <w:szCs w:val="22"/>
                <w:shd w:val="clear" w:color="auto" w:fill="FFFFFF"/>
              </w:rPr>
            </w:pP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rPr>
                <w:sz w:val="22"/>
                <w:szCs w:val="22"/>
              </w:rPr>
            </w:pPr>
            <w:r>
              <w:rPr>
                <w:color w:val="000000" w:themeColor="text1"/>
                <w:sz w:val="22"/>
                <w:szCs w:val="22"/>
                <w:lang w:eastAsia="ru-RU"/>
              </w:rPr>
              <w:t>Толщина стенки</w:t>
            </w:r>
          </w:p>
        </w:tc>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b/>
                <w:sz w:val="22"/>
                <w:szCs w:val="22"/>
                <w:highlight w:val="yellow"/>
                <w:lang w:eastAsia="ar-SA"/>
              </w:rPr>
            </w:pPr>
            <w:r>
              <w:rPr>
                <w:rFonts w:eastAsia="Calibri"/>
                <w:sz w:val="22"/>
                <w:szCs w:val="22"/>
              </w:rPr>
              <w:t>миллиметр</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sz w:val="22"/>
                <w:szCs w:val="22"/>
              </w:rPr>
            </w:pPr>
            <w:r>
              <w:rPr>
                <w:sz w:val="22"/>
                <w:szCs w:val="22"/>
                <w:lang w:eastAsia="ru-RU"/>
              </w:rPr>
              <w:t>5</w:t>
            </w:r>
          </w:p>
        </w:tc>
        <w:tc>
          <w:tcPr>
            <w:tcW w:w="843" w:type="dxa"/>
            <w:vMerge/>
            <w:tcBorders>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c>
          <w:tcPr>
            <w:tcW w:w="734" w:type="dxa"/>
            <w:vMerge/>
            <w:tcBorders>
              <w:left w:val="single" w:sz="4" w:space="0" w:color="000000"/>
              <w:bottom w:val="single" w:sz="4" w:space="0" w:color="000000"/>
              <w:right w:val="single" w:sz="4" w:space="0" w:color="000000"/>
            </w:tcBorders>
          </w:tcPr>
          <w:p>
            <w:pPr>
              <w:widowControl w:val="0"/>
              <w:jc w:val="center"/>
              <w:rPr>
                <w:rFonts w:eastAsia="Calibri"/>
                <w:sz w:val="22"/>
                <w:szCs w:val="22"/>
                <w:lang w:eastAsia="ru-RU"/>
              </w:rPr>
            </w:pPr>
          </w:p>
        </w:tc>
      </w:tr>
    </w:tbl>
    <w:p>
      <w:pPr>
        <w:pStyle w:val="ConsPlusNormal"/>
        <w:ind w:firstLine="709"/>
        <w:jc w:val="both"/>
        <w:rPr>
          <w:rFonts w:ascii="Times New Roman" w:hAnsi="Times New Roman" w:cs="Times New Roman"/>
          <w:sz w:val="22"/>
          <w:szCs w:val="22"/>
        </w:rPr>
      </w:pPr>
    </w:p>
    <w:p>
      <w:pPr>
        <w:spacing w:line="259" w:lineRule="auto"/>
        <w:jc w:val="both"/>
        <w:rPr>
          <w:rFonts w:eastAsia="Calibri"/>
          <w:color w:val="000000"/>
          <w:kern w:val="2"/>
          <w:sz w:val="24"/>
          <w:szCs w:val="24"/>
          <w:lang w:eastAsia="en-US"/>
        </w:rPr>
      </w:pPr>
    </w:p>
    <w:p>
      <w:pPr>
        <w:spacing w:line="259" w:lineRule="auto"/>
        <w:jc w:val="both"/>
        <w:rPr>
          <w:rFonts w:eastAsia="Calibri"/>
          <w:color w:val="000000"/>
          <w:kern w:val="2"/>
          <w:sz w:val="24"/>
          <w:szCs w:val="24"/>
          <w:lang w:eastAsia="en-US"/>
        </w:rPr>
      </w:pPr>
    </w:p>
    <w:tbl>
      <w:tblPr>
        <w:tblW w:w="9860" w:type="dxa"/>
        <w:jc w:val="center"/>
        <w:tblLayout w:type="fixed"/>
        <w:tblLook w:val="0000" w:firstRow="0" w:lastRow="0" w:firstColumn="0" w:lastColumn="0" w:noHBand="0" w:noVBand="0"/>
      </w:tblPr>
      <w:tblGrid>
        <w:gridCol w:w="4770"/>
        <w:gridCol w:w="5090"/>
      </w:tblGrid>
      <w:tr>
        <w:trPr>
          <w:trHeight w:val="1607"/>
          <w:jc w:val="center"/>
        </w:trPr>
        <w:tc>
          <w:tcPr>
            <w:tcW w:w="4770" w:type="dxa"/>
            <w:shd w:val="clear" w:color="auto" w:fill="auto"/>
          </w:tcPr>
          <w:p>
            <w:pPr>
              <w:widowControl w:val="0"/>
              <w:rPr>
                <w:b/>
                <w:color w:val="000000"/>
                <w:sz w:val="24"/>
                <w:szCs w:val="24"/>
              </w:rPr>
            </w:pPr>
            <w:r>
              <w:rPr>
                <w:b/>
                <w:color w:val="000000"/>
                <w:sz w:val="24"/>
                <w:szCs w:val="24"/>
              </w:rPr>
              <w:t>ЗАКАЗЧИК:</w:t>
            </w:r>
          </w:p>
          <w:p>
            <w:pPr>
              <w:widowControl w:val="0"/>
              <w:rPr>
                <w:color w:val="000000"/>
                <w:sz w:val="24"/>
                <w:szCs w:val="24"/>
              </w:rPr>
            </w:pPr>
          </w:p>
          <w:p>
            <w:pPr>
              <w:widowControl w:val="0"/>
              <w:rPr>
                <w:b/>
                <w:color w:val="000000"/>
                <w:sz w:val="24"/>
                <w:szCs w:val="24"/>
              </w:rPr>
            </w:pPr>
            <w:r>
              <w:rPr>
                <w:b/>
                <w:color w:val="000000"/>
                <w:sz w:val="24"/>
                <w:szCs w:val="24"/>
              </w:rPr>
              <w:t>___________________ /_____________/</w:t>
            </w:r>
          </w:p>
        </w:tc>
        <w:tc>
          <w:tcPr>
            <w:tcW w:w="5089" w:type="dxa"/>
            <w:shd w:val="clear" w:color="auto" w:fill="auto"/>
          </w:tcPr>
          <w:p>
            <w:pPr>
              <w:widowControl w:val="0"/>
              <w:rPr>
                <w:b/>
                <w:color w:val="000000"/>
                <w:sz w:val="24"/>
                <w:szCs w:val="24"/>
              </w:rPr>
            </w:pPr>
            <w:r>
              <w:rPr>
                <w:b/>
                <w:bCs/>
                <w:color w:val="000000"/>
                <w:sz w:val="24"/>
                <w:szCs w:val="24"/>
              </w:rPr>
              <w:t>ПОСТАВЩИК:</w:t>
            </w:r>
          </w:p>
          <w:p>
            <w:pPr>
              <w:widowControl w:val="0"/>
              <w:rPr>
                <w:bCs/>
                <w:color w:val="000000"/>
                <w:sz w:val="24"/>
                <w:szCs w:val="24"/>
              </w:rPr>
            </w:pPr>
          </w:p>
          <w:p>
            <w:pPr>
              <w:widowControl w:val="0"/>
              <w:rPr>
                <w:b/>
                <w:color w:val="000000"/>
                <w:sz w:val="24"/>
                <w:szCs w:val="24"/>
              </w:rPr>
            </w:pPr>
            <w:bookmarkStart w:id="20" w:name="_Toc31272761"/>
            <w:r>
              <w:rPr>
                <w:b/>
                <w:color w:val="000000"/>
                <w:sz w:val="24"/>
                <w:szCs w:val="24"/>
              </w:rPr>
              <w:t>___________________ /_____________/</w:t>
            </w:r>
            <w:bookmarkEnd w:id="20"/>
          </w:p>
        </w:tc>
      </w:tr>
    </w:tbl>
    <w:p>
      <w:pPr>
        <w:jc w:val="right"/>
        <w:rPr>
          <w:sz w:val="24"/>
          <w:szCs w:val="24"/>
        </w:rPr>
      </w:pPr>
      <w:r>
        <w:br w:type="page"/>
      </w:r>
      <w:r>
        <w:rPr>
          <w:color w:val="000000"/>
          <w:sz w:val="24"/>
          <w:szCs w:val="24"/>
        </w:rPr>
        <w:lastRenderedPageBreak/>
        <w:t>Приложение № 2</w:t>
      </w:r>
    </w:p>
    <w:p>
      <w:pPr>
        <w:ind w:firstLine="5587"/>
        <w:jc w:val="right"/>
        <w:rPr>
          <w:sz w:val="24"/>
          <w:szCs w:val="24"/>
        </w:rPr>
      </w:pPr>
      <w:r>
        <w:rPr>
          <w:color w:val="000000"/>
          <w:sz w:val="24"/>
          <w:szCs w:val="24"/>
        </w:rPr>
        <w:t>к Государственному контракту</w:t>
      </w:r>
    </w:p>
    <w:p>
      <w:pPr>
        <w:ind w:firstLine="5587"/>
        <w:jc w:val="right"/>
        <w:rPr>
          <w:sz w:val="24"/>
          <w:szCs w:val="24"/>
        </w:rPr>
      </w:pPr>
      <w:r>
        <w:rPr>
          <w:color w:val="000000"/>
          <w:sz w:val="24"/>
          <w:szCs w:val="24"/>
        </w:rPr>
        <w:t>от «____» _______ 2026 года</w:t>
      </w:r>
    </w:p>
    <w:p>
      <w:pPr>
        <w:ind w:firstLine="5587"/>
        <w:jc w:val="right"/>
        <w:rPr>
          <w:color w:val="000000"/>
          <w:sz w:val="24"/>
          <w:szCs w:val="24"/>
        </w:rPr>
      </w:pPr>
      <w:r>
        <w:rPr>
          <w:color w:val="000000"/>
          <w:sz w:val="24"/>
          <w:szCs w:val="24"/>
        </w:rPr>
        <w:t>№ ______________</w:t>
      </w:r>
    </w:p>
    <w:p>
      <w:pPr>
        <w:rPr>
          <w:sz w:val="24"/>
          <w:szCs w:val="24"/>
        </w:rPr>
      </w:pPr>
    </w:p>
    <w:p>
      <w:pPr>
        <w:rPr>
          <w:sz w:val="24"/>
          <w:szCs w:val="24"/>
        </w:rPr>
      </w:pPr>
    </w:p>
    <w:p>
      <w:pPr>
        <w:rPr>
          <w:sz w:val="24"/>
          <w:szCs w:val="24"/>
        </w:rPr>
      </w:pPr>
    </w:p>
    <w:p>
      <w:pPr>
        <w:jc w:val="center"/>
        <w:rPr>
          <w:sz w:val="24"/>
          <w:szCs w:val="24"/>
        </w:rPr>
      </w:pPr>
      <w:r>
        <w:rPr>
          <w:b/>
          <w:sz w:val="24"/>
          <w:szCs w:val="24"/>
        </w:rPr>
        <w:t>СПЕЦИФИКАЦИЯ</w:t>
      </w:r>
    </w:p>
    <w:tbl>
      <w:tblPr>
        <w:tblpPr w:leftFromText="180" w:rightFromText="180" w:vertAnchor="text" w:horzAnchor="margin" w:tblpXSpec="center" w:tblpY="442"/>
        <w:tblW w:w="5000" w:type="pct"/>
        <w:jc w:val="center"/>
        <w:tblLayout w:type="fixed"/>
        <w:tblLook w:val="04A0" w:firstRow="1" w:lastRow="0" w:firstColumn="1" w:lastColumn="0" w:noHBand="0" w:noVBand="1"/>
      </w:tblPr>
      <w:tblGrid>
        <w:gridCol w:w="694"/>
        <w:gridCol w:w="3004"/>
        <w:gridCol w:w="952"/>
        <w:gridCol w:w="994"/>
        <w:gridCol w:w="1418"/>
        <w:gridCol w:w="1415"/>
        <w:gridCol w:w="1944"/>
      </w:tblGrid>
      <w:tr>
        <w:trPr>
          <w:trHeight w:val="946"/>
          <w:jc w:val="center"/>
        </w:trPr>
        <w:tc>
          <w:tcPr>
            <w:tcW w:w="680" w:type="dxa"/>
            <w:tcBorders>
              <w:top w:val="single" w:sz="4" w:space="0" w:color="000000"/>
              <w:left w:val="single" w:sz="4" w:space="0" w:color="000000"/>
              <w:bottom w:val="single" w:sz="4" w:space="0" w:color="000000"/>
            </w:tcBorders>
            <w:vAlign w:val="center"/>
          </w:tcPr>
          <w:p>
            <w:pPr>
              <w:widowControl w:val="0"/>
              <w:jc w:val="center"/>
              <w:rPr>
                <w:b/>
                <w:sz w:val="24"/>
                <w:szCs w:val="24"/>
              </w:rPr>
            </w:pPr>
            <w:r>
              <w:rPr>
                <w:b/>
                <w:sz w:val="24"/>
                <w:szCs w:val="24"/>
              </w:rPr>
              <w:t xml:space="preserve"> № </w:t>
            </w:r>
            <w:proofErr w:type="gramStart"/>
            <w:r>
              <w:rPr>
                <w:rFonts w:eastAsia="Arial"/>
                <w:b/>
                <w:sz w:val="24"/>
                <w:szCs w:val="24"/>
              </w:rPr>
              <w:t>п</w:t>
            </w:r>
            <w:proofErr w:type="gramEnd"/>
            <w:r>
              <w:rPr>
                <w:rFonts w:eastAsia="Arial"/>
                <w:b/>
                <w:sz w:val="24"/>
                <w:szCs w:val="24"/>
              </w:rPr>
              <w:t>/п</w:t>
            </w:r>
          </w:p>
        </w:tc>
        <w:tc>
          <w:tcPr>
            <w:tcW w:w="2941" w:type="dxa"/>
            <w:tcBorders>
              <w:top w:val="single" w:sz="4" w:space="0" w:color="000000"/>
              <w:left w:val="single" w:sz="4" w:space="0" w:color="000000"/>
            </w:tcBorders>
            <w:vAlign w:val="center"/>
          </w:tcPr>
          <w:p>
            <w:pPr>
              <w:widowControl w:val="0"/>
              <w:jc w:val="center"/>
              <w:rPr>
                <w:b/>
                <w:sz w:val="24"/>
                <w:szCs w:val="24"/>
              </w:rPr>
            </w:pPr>
            <w:r>
              <w:rPr>
                <w:rFonts w:eastAsia="Arial"/>
                <w:b/>
                <w:sz w:val="24"/>
                <w:szCs w:val="24"/>
              </w:rPr>
              <w:t>Наименование Товара</w:t>
            </w:r>
          </w:p>
        </w:tc>
        <w:tc>
          <w:tcPr>
            <w:tcW w:w="932" w:type="dxa"/>
            <w:tcBorders>
              <w:top w:val="single" w:sz="4" w:space="0" w:color="000000"/>
              <w:left w:val="single" w:sz="4" w:space="0" w:color="000000"/>
              <w:bottom w:val="single" w:sz="4" w:space="0" w:color="000000"/>
            </w:tcBorders>
            <w:vAlign w:val="center"/>
          </w:tcPr>
          <w:p>
            <w:pPr>
              <w:widowControl w:val="0"/>
              <w:jc w:val="center"/>
              <w:rPr>
                <w:rFonts w:eastAsia="Arial"/>
                <w:b/>
                <w:sz w:val="24"/>
                <w:szCs w:val="24"/>
              </w:rPr>
            </w:pPr>
            <w:r>
              <w:rPr>
                <w:rFonts w:eastAsia="Arial"/>
                <w:b/>
                <w:sz w:val="24"/>
                <w:szCs w:val="24"/>
              </w:rPr>
              <w:t>Ед.</w:t>
            </w:r>
          </w:p>
          <w:p>
            <w:pPr>
              <w:widowControl w:val="0"/>
              <w:jc w:val="center"/>
              <w:rPr>
                <w:b/>
                <w:sz w:val="24"/>
                <w:szCs w:val="24"/>
              </w:rPr>
            </w:pPr>
            <w:r>
              <w:rPr>
                <w:rFonts w:eastAsia="Arial"/>
                <w:b/>
                <w:sz w:val="24"/>
                <w:szCs w:val="24"/>
              </w:rPr>
              <w:t>изм.</w:t>
            </w:r>
          </w:p>
        </w:tc>
        <w:tc>
          <w:tcPr>
            <w:tcW w:w="973" w:type="dxa"/>
            <w:tcBorders>
              <w:top w:val="single" w:sz="4" w:space="0" w:color="000000"/>
              <w:left w:val="single" w:sz="4" w:space="0" w:color="000000"/>
              <w:bottom w:val="single" w:sz="4" w:space="0" w:color="000000"/>
            </w:tcBorders>
            <w:vAlign w:val="center"/>
          </w:tcPr>
          <w:p>
            <w:pPr>
              <w:widowControl w:val="0"/>
              <w:jc w:val="center"/>
              <w:rPr>
                <w:b/>
                <w:sz w:val="24"/>
                <w:szCs w:val="24"/>
              </w:rPr>
            </w:pPr>
            <w:r>
              <w:rPr>
                <w:rFonts w:eastAsia="Arial"/>
                <w:b/>
                <w:sz w:val="24"/>
                <w:szCs w:val="24"/>
              </w:rPr>
              <w:t>Кол-во</w:t>
            </w:r>
          </w:p>
        </w:tc>
        <w:tc>
          <w:tcPr>
            <w:tcW w:w="1388" w:type="dxa"/>
            <w:tcBorders>
              <w:top w:val="single" w:sz="4" w:space="0" w:color="000000"/>
              <w:left w:val="single" w:sz="4" w:space="0" w:color="000000"/>
              <w:bottom w:val="single" w:sz="4" w:space="0" w:color="000000"/>
            </w:tcBorders>
            <w:vAlign w:val="center"/>
          </w:tcPr>
          <w:p>
            <w:pPr>
              <w:widowControl w:val="0"/>
              <w:jc w:val="center"/>
              <w:rPr>
                <w:b/>
                <w:sz w:val="24"/>
                <w:szCs w:val="24"/>
              </w:rPr>
            </w:pPr>
            <w:r>
              <w:rPr>
                <w:rFonts w:eastAsia="Arial"/>
                <w:b/>
                <w:sz w:val="24"/>
                <w:szCs w:val="24"/>
              </w:rPr>
              <w:t>Цена за ед. (руб.)</w:t>
            </w:r>
          </w:p>
        </w:tc>
        <w:tc>
          <w:tcPr>
            <w:tcW w:w="1386"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b/>
                <w:sz w:val="24"/>
                <w:szCs w:val="24"/>
              </w:rPr>
            </w:pPr>
            <w:r>
              <w:rPr>
                <w:rFonts w:eastAsia="Arial"/>
                <w:b/>
                <w:sz w:val="24"/>
                <w:szCs w:val="24"/>
              </w:rPr>
              <w:t>Стоимость (руб.)</w:t>
            </w:r>
          </w:p>
        </w:tc>
        <w:tc>
          <w:tcPr>
            <w:tcW w:w="1904"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r>
              <w:rPr>
                <w:rFonts w:eastAsia="Arial"/>
                <w:b/>
                <w:sz w:val="24"/>
                <w:szCs w:val="24"/>
              </w:rPr>
              <w:t>Страна происхождения</w:t>
            </w:r>
          </w:p>
        </w:tc>
      </w:tr>
      <w:tr>
        <w:trPr>
          <w:trHeight w:val="173"/>
          <w:jc w:val="center"/>
        </w:trPr>
        <w:tc>
          <w:tcPr>
            <w:tcW w:w="680" w:type="dxa"/>
            <w:tcBorders>
              <w:top w:val="single" w:sz="4" w:space="0" w:color="000000"/>
              <w:left w:val="single" w:sz="4" w:space="0" w:color="000000"/>
              <w:bottom w:val="single" w:sz="4" w:space="0" w:color="000000"/>
            </w:tcBorders>
            <w:vAlign w:val="center"/>
          </w:tcPr>
          <w:p>
            <w:pPr>
              <w:widowControl w:val="0"/>
              <w:jc w:val="center"/>
              <w:rPr>
                <w:bCs/>
                <w:sz w:val="24"/>
                <w:szCs w:val="24"/>
              </w:rPr>
            </w:pPr>
            <w:r>
              <w:rPr>
                <w:bCs/>
                <w:sz w:val="24"/>
                <w:szCs w:val="24"/>
              </w:rPr>
              <w:t>1</w:t>
            </w:r>
          </w:p>
        </w:tc>
        <w:tc>
          <w:tcPr>
            <w:tcW w:w="2941" w:type="dxa"/>
            <w:tcBorders>
              <w:top w:val="single" w:sz="4" w:space="0" w:color="000000"/>
              <w:left w:val="single" w:sz="4" w:space="0" w:color="000000"/>
            </w:tcBorders>
            <w:vAlign w:val="center"/>
          </w:tcPr>
          <w:p>
            <w:pPr>
              <w:widowControl w:val="0"/>
              <w:jc w:val="both"/>
              <w:rPr>
                <w:color w:val="000000"/>
                <w:sz w:val="24"/>
                <w:szCs w:val="24"/>
                <w:lang w:eastAsia="ru-RU"/>
              </w:rPr>
            </w:pPr>
          </w:p>
        </w:tc>
        <w:tc>
          <w:tcPr>
            <w:tcW w:w="932" w:type="dxa"/>
            <w:tcBorders>
              <w:top w:val="single" w:sz="4" w:space="0" w:color="000000"/>
              <w:left w:val="single" w:sz="4" w:space="0" w:color="000000"/>
              <w:bottom w:val="single" w:sz="4" w:space="0" w:color="000000"/>
            </w:tcBorders>
          </w:tcPr>
          <w:p>
            <w:pPr>
              <w:widowControl w:val="0"/>
              <w:jc w:val="center"/>
              <w:rPr>
                <w:sz w:val="24"/>
                <w:szCs w:val="24"/>
              </w:rPr>
            </w:pPr>
          </w:p>
        </w:tc>
        <w:tc>
          <w:tcPr>
            <w:tcW w:w="973" w:type="dxa"/>
            <w:tcBorders>
              <w:top w:val="single" w:sz="4" w:space="0" w:color="000000"/>
              <w:left w:val="single" w:sz="4" w:space="0" w:color="000000"/>
              <w:bottom w:val="single" w:sz="4" w:space="0" w:color="000000"/>
            </w:tcBorders>
          </w:tcPr>
          <w:p>
            <w:pPr>
              <w:widowControl w:val="0"/>
              <w:jc w:val="center"/>
              <w:rPr>
                <w:sz w:val="24"/>
                <w:szCs w:val="24"/>
              </w:rPr>
            </w:pPr>
          </w:p>
        </w:tc>
        <w:tc>
          <w:tcPr>
            <w:tcW w:w="1388" w:type="dxa"/>
            <w:tcBorders>
              <w:top w:val="single" w:sz="4" w:space="0" w:color="000000"/>
              <w:left w:val="single" w:sz="4" w:space="0" w:color="000000"/>
              <w:bottom w:val="single" w:sz="4" w:space="0" w:color="000000"/>
            </w:tcBorders>
            <w:vAlign w:val="center"/>
          </w:tcPr>
          <w:p>
            <w:pPr>
              <w:widowControl w:val="0"/>
              <w:jc w:val="center"/>
              <w:rPr>
                <w:rFonts w:eastAsia="Arial"/>
                <w:b/>
                <w:sz w:val="24"/>
                <w:szCs w:val="24"/>
              </w:rPr>
            </w:pPr>
          </w:p>
        </w:tc>
        <w:tc>
          <w:tcPr>
            <w:tcW w:w="1386"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p>
        </w:tc>
        <w:tc>
          <w:tcPr>
            <w:tcW w:w="1904"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p>
        </w:tc>
      </w:tr>
      <w:tr>
        <w:trPr>
          <w:trHeight w:val="173"/>
          <w:jc w:val="center"/>
        </w:trPr>
        <w:tc>
          <w:tcPr>
            <w:tcW w:w="680" w:type="dxa"/>
            <w:tcBorders>
              <w:top w:val="single" w:sz="4" w:space="0" w:color="000000"/>
              <w:left w:val="single" w:sz="4" w:space="0" w:color="000000"/>
              <w:bottom w:val="single" w:sz="4" w:space="0" w:color="000000"/>
            </w:tcBorders>
            <w:vAlign w:val="center"/>
          </w:tcPr>
          <w:p>
            <w:pPr>
              <w:widowControl w:val="0"/>
              <w:jc w:val="center"/>
              <w:rPr>
                <w:bCs/>
                <w:sz w:val="24"/>
                <w:szCs w:val="24"/>
              </w:rPr>
            </w:pPr>
            <w:r>
              <w:rPr>
                <w:bCs/>
                <w:sz w:val="24"/>
                <w:szCs w:val="24"/>
              </w:rPr>
              <w:t>2</w:t>
            </w:r>
          </w:p>
        </w:tc>
        <w:tc>
          <w:tcPr>
            <w:tcW w:w="2941" w:type="dxa"/>
            <w:tcBorders>
              <w:top w:val="single" w:sz="4" w:space="0" w:color="000000"/>
              <w:left w:val="single" w:sz="4" w:space="0" w:color="000000"/>
            </w:tcBorders>
            <w:vAlign w:val="center"/>
          </w:tcPr>
          <w:p>
            <w:pPr>
              <w:widowControl w:val="0"/>
              <w:jc w:val="both"/>
              <w:rPr>
                <w:color w:val="000000"/>
                <w:sz w:val="24"/>
                <w:szCs w:val="24"/>
              </w:rPr>
            </w:pPr>
          </w:p>
        </w:tc>
        <w:tc>
          <w:tcPr>
            <w:tcW w:w="932" w:type="dxa"/>
            <w:tcBorders>
              <w:top w:val="single" w:sz="4" w:space="0" w:color="000000"/>
              <w:left w:val="single" w:sz="4" w:space="0" w:color="000000"/>
              <w:bottom w:val="single" w:sz="4" w:space="0" w:color="000000"/>
            </w:tcBorders>
          </w:tcPr>
          <w:p>
            <w:pPr>
              <w:widowControl w:val="0"/>
              <w:jc w:val="center"/>
              <w:rPr>
                <w:sz w:val="24"/>
                <w:szCs w:val="24"/>
              </w:rPr>
            </w:pPr>
          </w:p>
        </w:tc>
        <w:tc>
          <w:tcPr>
            <w:tcW w:w="973" w:type="dxa"/>
            <w:tcBorders>
              <w:top w:val="single" w:sz="4" w:space="0" w:color="000000"/>
              <w:left w:val="single" w:sz="4" w:space="0" w:color="000000"/>
              <w:bottom w:val="single" w:sz="4" w:space="0" w:color="000000"/>
            </w:tcBorders>
          </w:tcPr>
          <w:p>
            <w:pPr>
              <w:widowControl w:val="0"/>
              <w:jc w:val="center"/>
              <w:rPr>
                <w:sz w:val="24"/>
                <w:szCs w:val="24"/>
              </w:rPr>
            </w:pPr>
          </w:p>
        </w:tc>
        <w:tc>
          <w:tcPr>
            <w:tcW w:w="1388" w:type="dxa"/>
            <w:tcBorders>
              <w:top w:val="single" w:sz="4" w:space="0" w:color="000000"/>
              <w:left w:val="single" w:sz="4" w:space="0" w:color="000000"/>
              <w:bottom w:val="single" w:sz="4" w:space="0" w:color="000000"/>
            </w:tcBorders>
            <w:vAlign w:val="center"/>
          </w:tcPr>
          <w:p>
            <w:pPr>
              <w:widowControl w:val="0"/>
              <w:jc w:val="center"/>
              <w:rPr>
                <w:rFonts w:eastAsia="Arial"/>
                <w:b/>
                <w:sz w:val="24"/>
                <w:szCs w:val="24"/>
              </w:rPr>
            </w:pPr>
          </w:p>
        </w:tc>
        <w:tc>
          <w:tcPr>
            <w:tcW w:w="1386"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p>
        </w:tc>
        <w:tc>
          <w:tcPr>
            <w:tcW w:w="1904"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p>
        </w:tc>
      </w:tr>
      <w:tr>
        <w:trPr>
          <w:trHeight w:val="173"/>
          <w:jc w:val="center"/>
        </w:trPr>
        <w:tc>
          <w:tcPr>
            <w:tcW w:w="680" w:type="dxa"/>
            <w:tcBorders>
              <w:top w:val="single" w:sz="4" w:space="0" w:color="000000"/>
              <w:left w:val="single" w:sz="4" w:space="0" w:color="000000"/>
              <w:bottom w:val="single" w:sz="4" w:space="0" w:color="000000"/>
            </w:tcBorders>
            <w:vAlign w:val="center"/>
          </w:tcPr>
          <w:p>
            <w:pPr>
              <w:widowControl w:val="0"/>
              <w:jc w:val="center"/>
              <w:rPr>
                <w:bCs/>
                <w:sz w:val="24"/>
                <w:szCs w:val="24"/>
                <w:lang w:val="en-US"/>
              </w:rPr>
            </w:pPr>
            <w:r>
              <w:rPr>
                <w:bCs/>
                <w:sz w:val="24"/>
                <w:szCs w:val="24"/>
                <w:lang w:val="en-US"/>
              </w:rPr>
              <w:t>3</w:t>
            </w:r>
          </w:p>
        </w:tc>
        <w:tc>
          <w:tcPr>
            <w:tcW w:w="2941" w:type="dxa"/>
            <w:tcBorders>
              <w:top w:val="single" w:sz="4" w:space="0" w:color="000000"/>
              <w:left w:val="single" w:sz="4" w:space="0" w:color="000000"/>
            </w:tcBorders>
            <w:vAlign w:val="center"/>
          </w:tcPr>
          <w:p>
            <w:pPr>
              <w:widowControl w:val="0"/>
              <w:jc w:val="both"/>
              <w:rPr>
                <w:color w:val="000000"/>
                <w:sz w:val="24"/>
                <w:szCs w:val="24"/>
              </w:rPr>
            </w:pPr>
          </w:p>
        </w:tc>
        <w:tc>
          <w:tcPr>
            <w:tcW w:w="932" w:type="dxa"/>
            <w:tcBorders>
              <w:top w:val="single" w:sz="4" w:space="0" w:color="000000"/>
              <w:left w:val="single" w:sz="4" w:space="0" w:color="000000"/>
              <w:bottom w:val="single" w:sz="4" w:space="0" w:color="000000"/>
            </w:tcBorders>
          </w:tcPr>
          <w:p>
            <w:pPr>
              <w:widowControl w:val="0"/>
              <w:jc w:val="center"/>
              <w:rPr>
                <w:sz w:val="24"/>
                <w:szCs w:val="24"/>
              </w:rPr>
            </w:pPr>
          </w:p>
        </w:tc>
        <w:tc>
          <w:tcPr>
            <w:tcW w:w="973" w:type="dxa"/>
            <w:tcBorders>
              <w:top w:val="single" w:sz="4" w:space="0" w:color="000000"/>
              <w:left w:val="single" w:sz="4" w:space="0" w:color="000000"/>
              <w:bottom w:val="single" w:sz="4" w:space="0" w:color="000000"/>
            </w:tcBorders>
          </w:tcPr>
          <w:p>
            <w:pPr>
              <w:widowControl w:val="0"/>
              <w:jc w:val="center"/>
              <w:rPr>
                <w:sz w:val="24"/>
                <w:szCs w:val="24"/>
              </w:rPr>
            </w:pPr>
          </w:p>
        </w:tc>
        <w:tc>
          <w:tcPr>
            <w:tcW w:w="1388" w:type="dxa"/>
            <w:tcBorders>
              <w:top w:val="single" w:sz="4" w:space="0" w:color="000000"/>
              <w:left w:val="single" w:sz="4" w:space="0" w:color="000000"/>
              <w:bottom w:val="single" w:sz="4" w:space="0" w:color="000000"/>
            </w:tcBorders>
            <w:vAlign w:val="center"/>
          </w:tcPr>
          <w:p>
            <w:pPr>
              <w:widowControl w:val="0"/>
              <w:jc w:val="center"/>
              <w:rPr>
                <w:rFonts w:eastAsia="Arial"/>
                <w:b/>
                <w:sz w:val="24"/>
                <w:szCs w:val="24"/>
              </w:rPr>
            </w:pPr>
          </w:p>
        </w:tc>
        <w:tc>
          <w:tcPr>
            <w:tcW w:w="1386"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p>
        </w:tc>
        <w:tc>
          <w:tcPr>
            <w:tcW w:w="1904" w:type="dxa"/>
            <w:tcBorders>
              <w:top w:val="single" w:sz="4" w:space="0" w:color="000000"/>
              <w:left w:val="single" w:sz="4" w:space="0" w:color="000000"/>
              <w:bottom w:val="single" w:sz="4" w:space="0" w:color="000000"/>
              <w:right w:val="single" w:sz="4" w:space="0" w:color="000000"/>
            </w:tcBorders>
            <w:vAlign w:val="center"/>
          </w:tcPr>
          <w:p>
            <w:pPr>
              <w:widowControl w:val="0"/>
              <w:jc w:val="center"/>
              <w:rPr>
                <w:rFonts w:eastAsia="Arial"/>
                <w:b/>
                <w:sz w:val="24"/>
                <w:szCs w:val="24"/>
              </w:rPr>
            </w:pPr>
          </w:p>
        </w:tc>
      </w:tr>
      <w:tr>
        <w:trPr>
          <w:trHeight w:val="77"/>
          <w:jc w:val="center"/>
        </w:trPr>
        <w:tc>
          <w:tcPr>
            <w:tcW w:w="6914" w:type="dxa"/>
            <w:gridSpan w:val="5"/>
            <w:tcBorders>
              <w:top w:val="single" w:sz="4" w:space="0" w:color="000000"/>
              <w:left w:val="single" w:sz="4" w:space="0" w:color="000000"/>
              <w:bottom w:val="single" w:sz="4" w:space="0" w:color="000000"/>
            </w:tcBorders>
            <w:vAlign w:val="center"/>
          </w:tcPr>
          <w:p>
            <w:pPr>
              <w:widowControl w:val="0"/>
              <w:jc w:val="right"/>
              <w:rPr>
                <w:b/>
                <w:sz w:val="24"/>
                <w:szCs w:val="24"/>
              </w:rPr>
            </w:pPr>
            <w:r>
              <w:rPr>
                <w:b/>
                <w:sz w:val="24"/>
                <w:szCs w:val="24"/>
              </w:rPr>
              <w:t>ИТОГО:</w:t>
            </w:r>
          </w:p>
        </w:tc>
        <w:tc>
          <w:tcPr>
            <w:tcW w:w="1386" w:type="dxa"/>
            <w:tcBorders>
              <w:top w:val="single" w:sz="4" w:space="0" w:color="000000"/>
              <w:left w:val="single" w:sz="4" w:space="0" w:color="000000"/>
              <w:bottom w:val="single" w:sz="4" w:space="0" w:color="000000"/>
              <w:right w:val="single" w:sz="4" w:space="0" w:color="000000"/>
            </w:tcBorders>
            <w:vAlign w:val="center"/>
          </w:tcPr>
          <w:p>
            <w:pPr>
              <w:widowControl w:val="0"/>
              <w:jc w:val="both"/>
              <w:rPr>
                <w:sz w:val="24"/>
                <w:szCs w:val="24"/>
              </w:rPr>
            </w:pPr>
          </w:p>
        </w:tc>
        <w:tc>
          <w:tcPr>
            <w:tcW w:w="1904" w:type="dxa"/>
          </w:tcPr>
          <w:p>
            <w:pPr>
              <w:widowControl w:val="0"/>
            </w:pPr>
          </w:p>
        </w:tc>
      </w:tr>
    </w:tbl>
    <w:p>
      <w:pPr>
        <w:pStyle w:val="ConsPlusNormal"/>
        <w:ind w:firstLine="0"/>
        <w:jc w:val="both"/>
        <w:rPr>
          <w:rFonts w:ascii="Times New Roman" w:hAnsi="Times New Roman" w:cs="Times New Roman"/>
          <w:color w:val="000000"/>
          <w:sz w:val="24"/>
          <w:szCs w:val="24"/>
          <w:lang w:val="en-US" w:eastAsia="ar-SA"/>
        </w:rPr>
      </w:pPr>
    </w:p>
    <w:p>
      <w:pPr>
        <w:pStyle w:val="ConsPlusNormal"/>
        <w:ind w:firstLine="0"/>
        <w:jc w:val="both"/>
        <w:rPr>
          <w:rFonts w:ascii="Times New Roman" w:hAnsi="Times New Roman" w:cs="Times New Roman"/>
          <w:color w:val="000000"/>
          <w:sz w:val="24"/>
          <w:szCs w:val="24"/>
          <w:lang w:eastAsia="ar-SA"/>
        </w:rPr>
      </w:pPr>
    </w:p>
    <w:p>
      <w:pPr>
        <w:ind w:firstLine="709"/>
        <w:jc w:val="both"/>
        <w:rPr>
          <w:sz w:val="24"/>
          <w:szCs w:val="24"/>
          <w:lang w:eastAsia="hi-IN" w:bidi="hi-IN"/>
        </w:rPr>
      </w:pPr>
      <w:proofErr w:type="gramStart"/>
      <w:r>
        <w:rPr>
          <w:bCs/>
          <w:sz w:val="24"/>
          <w:szCs w:val="24"/>
          <w:lang w:eastAsia="ru-RU"/>
        </w:rPr>
        <w:t xml:space="preserve">Цена Контракта составляет </w:t>
      </w:r>
      <w:r>
        <w:rPr>
          <w:b/>
          <w:spacing w:val="-4"/>
          <w:sz w:val="24"/>
          <w:szCs w:val="24"/>
          <w:lang w:eastAsia="ru-RU"/>
        </w:rPr>
        <w:t>_________ (___________) рублей ___ копеек,</w:t>
      </w:r>
      <w:r>
        <w:rPr>
          <w:spacing w:val="-4"/>
          <w:sz w:val="24"/>
          <w:szCs w:val="24"/>
          <w:lang w:eastAsia="ru-RU"/>
        </w:rPr>
        <w:t xml:space="preserve"> </w:t>
      </w:r>
      <w:r>
        <w:rPr>
          <w:sz w:val="24"/>
          <w:szCs w:val="24"/>
          <w:lang w:eastAsia="ru-RU"/>
        </w:rPr>
        <w:t>в том числе НДС _____ (_____) рублей _____ копеек (</w:t>
      </w:r>
      <w:r>
        <w:rPr>
          <w:i/>
          <w:sz w:val="24"/>
          <w:szCs w:val="24"/>
          <w:lang w:eastAsia="ru-RU"/>
        </w:rPr>
        <w:t xml:space="preserve">Указывается в случае, если контракт заключается с лицами, являющимися в соответствии с Налоговым </w:t>
      </w:r>
      <w:hyperlink r:id="rId18">
        <w:r>
          <w:rPr>
            <w:i/>
            <w:sz w:val="24"/>
            <w:szCs w:val="24"/>
            <w:lang w:eastAsia="ru-RU"/>
          </w:rPr>
          <w:t>кодексом</w:t>
        </w:r>
      </w:hyperlink>
      <w:r>
        <w:rPr>
          <w:i/>
          <w:sz w:val="24"/>
          <w:szCs w:val="24"/>
          <w:lang w:eastAsia="ru-RU"/>
        </w:rPr>
        <w:t xml:space="preserve"> Российской Федерации (Собрание законодательства Российской Федерации, 2000, № 32, ст. 3340;</w:t>
      </w:r>
      <w:proofErr w:type="gramEnd"/>
      <w:r>
        <w:rPr>
          <w:i/>
          <w:sz w:val="24"/>
          <w:szCs w:val="24"/>
          <w:lang w:eastAsia="ru-RU"/>
        </w:rPr>
        <w:t xml:space="preserve"> </w:t>
      </w:r>
      <w:proofErr w:type="gramStart"/>
      <w:r>
        <w:rPr>
          <w:i/>
          <w:sz w:val="24"/>
          <w:szCs w:val="24"/>
          <w:lang w:eastAsia="ru-RU"/>
        </w:rPr>
        <w:t>2019, № 39, ст. 5375) плательщиками НДС)</w:t>
      </w:r>
      <w:r>
        <w:rPr>
          <w:sz w:val="24"/>
          <w:szCs w:val="24"/>
          <w:lang w:eastAsia="ru-RU"/>
        </w:rPr>
        <w:t xml:space="preserve"> (НДС не облагается) </w:t>
      </w:r>
      <w:r>
        <w:rPr>
          <w:i/>
          <w:sz w:val="24"/>
          <w:szCs w:val="24"/>
          <w:lang w:eastAsia="ru-RU"/>
        </w:rPr>
        <w:t xml:space="preserve">(Указывается в случае, если контракт заключается с лицами, не являющимися в соответствии с Налоговым </w:t>
      </w:r>
      <w:hyperlink r:id="rId19">
        <w:r>
          <w:rPr>
            <w:i/>
            <w:sz w:val="24"/>
            <w:szCs w:val="24"/>
            <w:lang w:eastAsia="ru-RU"/>
          </w:rPr>
          <w:t>кодексом</w:t>
        </w:r>
      </w:hyperlink>
      <w:r>
        <w:rPr>
          <w:i/>
          <w:sz w:val="24"/>
          <w:szCs w:val="24"/>
          <w:lang w:eastAsia="ru-RU"/>
        </w:rPr>
        <w:t xml:space="preserve"> Российской Федерации плательщиками НДС).</w:t>
      </w:r>
      <w:proofErr w:type="gramEnd"/>
    </w:p>
    <w:p>
      <w:pPr>
        <w:pStyle w:val="ConsPlusNormal"/>
        <w:ind w:firstLine="0"/>
        <w:jc w:val="both"/>
        <w:rPr>
          <w:rFonts w:ascii="Times New Roman" w:hAnsi="Times New Roman" w:cs="Times New Roman"/>
          <w:color w:val="000000"/>
          <w:sz w:val="24"/>
          <w:szCs w:val="24"/>
          <w:lang w:eastAsia="ar-SA"/>
        </w:rPr>
      </w:pPr>
    </w:p>
    <w:p>
      <w:pPr>
        <w:pStyle w:val="ConsPlusNormal"/>
        <w:ind w:firstLine="0"/>
        <w:jc w:val="both"/>
        <w:rPr>
          <w:rFonts w:ascii="Times New Roman" w:hAnsi="Times New Roman" w:cs="Times New Roman"/>
          <w:color w:val="000000"/>
          <w:sz w:val="24"/>
          <w:szCs w:val="24"/>
          <w:lang w:eastAsia="ar-SA"/>
        </w:rPr>
      </w:pPr>
    </w:p>
    <w:p>
      <w:pPr>
        <w:pStyle w:val="ConsPlusNormal"/>
        <w:ind w:firstLine="0"/>
        <w:jc w:val="both"/>
        <w:rPr>
          <w:rFonts w:ascii="Times New Roman" w:hAnsi="Times New Roman" w:cs="Times New Roman"/>
          <w:color w:val="000000"/>
          <w:sz w:val="24"/>
          <w:szCs w:val="24"/>
          <w:lang w:eastAsia="ar-SA"/>
        </w:rPr>
      </w:pPr>
    </w:p>
    <w:tbl>
      <w:tblPr>
        <w:tblW w:w="9860" w:type="dxa"/>
        <w:jc w:val="center"/>
        <w:tblLayout w:type="fixed"/>
        <w:tblLook w:val="0000" w:firstRow="0" w:lastRow="0" w:firstColumn="0" w:lastColumn="0" w:noHBand="0" w:noVBand="0"/>
      </w:tblPr>
      <w:tblGrid>
        <w:gridCol w:w="4770"/>
        <w:gridCol w:w="5090"/>
      </w:tblGrid>
      <w:tr>
        <w:trPr>
          <w:trHeight w:val="1607"/>
          <w:jc w:val="center"/>
        </w:trPr>
        <w:tc>
          <w:tcPr>
            <w:tcW w:w="4770" w:type="dxa"/>
            <w:shd w:val="clear" w:color="auto" w:fill="auto"/>
          </w:tcPr>
          <w:p>
            <w:pPr>
              <w:widowControl w:val="0"/>
              <w:rPr>
                <w:sz w:val="24"/>
                <w:szCs w:val="24"/>
              </w:rPr>
            </w:pPr>
            <w:r>
              <w:rPr>
                <w:b/>
                <w:color w:val="000000"/>
                <w:sz w:val="24"/>
                <w:szCs w:val="24"/>
              </w:rPr>
              <w:t>ЗАКАЗЧИК:</w:t>
            </w:r>
          </w:p>
          <w:p>
            <w:pPr>
              <w:widowControl w:val="0"/>
              <w:tabs>
                <w:tab w:val="left" w:pos="313"/>
                <w:tab w:val="left" w:pos="607"/>
              </w:tabs>
              <w:rPr>
                <w:color w:val="000000"/>
                <w:sz w:val="24"/>
                <w:szCs w:val="24"/>
              </w:rPr>
            </w:pPr>
          </w:p>
          <w:p>
            <w:pPr>
              <w:widowControl w:val="0"/>
              <w:tabs>
                <w:tab w:val="left" w:pos="313"/>
                <w:tab w:val="left" w:pos="607"/>
              </w:tabs>
              <w:rPr>
                <w:sz w:val="24"/>
                <w:szCs w:val="24"/>
              </w:rPr>
            </w:pPr>
            <w:r>
              <w:rPr>
                <w:b/>
                <w:color w:val="000000"/>
                <w:sz w:val="24"/>
                <w:szCs w:val="24"/>
              </w:rPr>
              <w:t>___________________ /_____________/</w:t>
            </w:r>
          </w:p>
        </w:tc>
        <w:tc>
          <w:tcPr>
            <w:tcW w:w="5089" w:type="dxa"/>
            <w:shd w:val="clear" w:color="auto" w:fill="auto"/>
          </w:tcPr>
          <w:p>
            <w:pPr>
              <w:widowControl w:val="0"/>
              <w:rPr>
                <w:sz w:val="24"/>
                <w:szCs w:val="24"/>
              </w:rPr>
            </w:pPr>
            <w:r>
              <w:rPr>
                <w:b/>
                <w:bCs/>
                <w:color w:val="000000"/>
                <w:sz w:val="24"/>
                <w:szCs w:val="24"/>
              </w:rPr>
              <w:t>ПОСТАВЩИК:</w:t>
            </w:r>
          </w:p>
          <w:p>
            <w:pPr>
              <w:widowControl w:val="0"/>
              <w:jc w:val="both"/>
              <w:rPr>
                <w:bCs/>
                <w:color w:val="000000"/>
                <w:sz w:val="24"/>
                <w:szCs w:val="24"/>
              </w:rPr>
            </w:pPr>
          </w:p>
          <w:p>
            <w:pPr>
              <w:widowControl w:val="0"/>
              <w:rPr>
                <w:sz w:val="24"/>
                <w:szCs w:val="24"/>
              </w:rPr>
            </w:pPr>
            <w:r>
              <w:rPr>
                <w:b/>
                <w:color w:val="000000"/>
                <w:sz w:val="24"/>
                <w:szCs w:val="24"/>
              </w:rPr>
              <w:t>___________________ /_____________/</w:t>
            </w:r>
          </w:p>
        </w:tc>
      </w:tr>
    </w:tbl>
    <w:p>
      <w:pPr>
        <w:rPr>
          <w:sz w:val="24"/>
          <w:szCs w:val="24"/>
        </w:rPr>
      </w:pPr>
    </w:p>
    <w:sectPr>
      <w:headerReference w:type="even" r:id="rId20"/>
      <w:headerReference w:type="default" r:id="rId21"/>
      <w:footerReference w:type="default" r:id="rId22"/>
      <w:pgSz w:w="11906" w:h="16838"/>
      <w:pgMar w:top="1134" w:right="567" w:bottom="851" w:left="1134"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ource Han Sans CN Regular">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85109"/>
      <w:docPartObj>
        <w:docPartGallery w:val="Page Numbers (Bottom of Page)"/>
        <w:docPartUnique/>
      </w:docPartObj>
    </w:sdtPr>
    <w:sdtContent>
      <w:p>
        <w:pPr>
          <w:pStyle w:val="af0"/>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10</w:t>
        </w:r>
        <w:r>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e"/>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836E4"/>
    <w:multiLevelType w:val="multilevel"/>
    <w:tmpl w:val="1206BFEA"/>
    <w:lvl w:ilvl="0">
      <w:start w:val="1"/>
      <w:numFmt w:val="upperRoman"/>
      <w:lvlText w:val="%1."/>
      <w:lvlJc w:val="left"/>
      <w:pPr>
        <w:tabs>
          <w:tab w:val="num" w:pos="0"/>
        </w:tabs>
        <w:ind w:left="1429" w:hanging="72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7A707B5D"/>
    <w:multiLevelType w:val="multilevel"/>
    <w:tmpl w:val="F67A35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able of figures"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zh-CN"/>
    </w:rPr>
  </w:style>
  <w:style w:type="paragraph" w:styleId="1">
    <w:name w:val="heading 1"/>
    <w:basedOn w:val="a"/>
    <w:next w:val="a"/>
    <w:link w:val="12"/>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2"/>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2"/>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2"/>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2"/>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9">
    <w:name w:val="Текст концевой сноски Знак"/>
    <w:link w:val="aa"/>
    <w:uiPriority w:val="99"/>
    <w:qFormat/>
    <w:rPr>
      <w:sz w:val="20"/>
    </w:rPr>
  </w:style>
  <w:style w:type="character" w:customStyle="1" w:styleId="ab">
    <w:name w:val="Символ концевой сноски"/>
    <w:uiPriority w:val="99"/>
    <w:semiHidden/>
    <w:unhideWhenUsed/>
    <w:qFormat/>
    <w:rPr>
      <w:vertAlign w:val="superscript"/>
    </w:rPr>
  </w:style>
  <w:style w:type="character" w:styleId="ac">
    <w:name w:val="endnote reference"/>
    <w:rPr>
      <w:vertAlign w:val="superscript"/>
    </w:rPr>
  </w:style>
  <w:style w:type="character" w:customStyle="1" w:styleId="11">
    <w:name w:val="Текст выноски Знак1"/>
    <w:qFormat/>
    <w:rPr>
      <w:rFonts w:ascii="Tahoma" w:eastAsia="Calibri" w:hAnsi="Tahoma"/>
      <w:sz w:val="16"/>
      <w:szCs w:val="16"/>
      <w:lang w:val="en-US" w:eastAsia="zh-CN"/>
    </w:rPr>
  </w:style>
  <w:style w:type="character" w:customStyle="1" w:styleId="sectioninfo2">
    <w:name w:val="section__info2"/>
    <w:qFormat/>
  </w:style>
  <w:style w:type="character" w:customStyle="1" w:styleId="ad">
    <w:name w:val="Верхний колонтитул Знак"/>
    <w:basedOn w:val="a0"/>
    <w:link w:val="ae"/>
    <w:uiPriority w:val="99"/>
    <w:qFormat/>
    <w:rPr>
      <w:rFonts w:ascii="Times New Roman" w:eastAsia="Times New Roman" w:hAnsi="Times New Roman" w:cs="Times New Roman"/>
      <w:sz w:val="20"/>
      <w:szCs w:val="20"/>
      <w:lang w:eastAsia="zh-CN"/>
    </w:rPr>
  </w:style>
  <w:style w:type="character" w:customStyle="1" w:styleId="af">
    <w:name w:val="Нижний колонтитул Знак"/>
    <w:basedOn w:val="a0"/>
    <w:link w:val="af0"/>
    <w:uiPriority w:val="99"/>
    <w:qFormat/>
    <w:rPr>
      <w:rFonts w:ascii="Times New Roman" w:eastAsia="Times New Roman" w:hAnsi="Times New Roman" w:cs="Times New Roman"/>
      <w:sz w:val="20"/>
      <w:szCs w:val="20"/>
      <w:lang w:eastAsia="zh-CN"/>
    </w:rPr>
  </w:style>
  <w:style w:type="character" w:styleId="af1">
    <w:name w:val="Hyperlink"/>
    <w:rPr>
      <w:color w:val="0000FF"/>
      <w:u w:val="single"/>
    </w:rPr>
  </w:style>
  <w:style w:type="character" w:customStyle="1" w:styleId="af2">
    <w:name w:val="Текст выноски Знак"/>
    <w:basedOn w:val="a0"/>
    <w:link w:val="af3"/>
    <w:uiPriority w:val="99"/>
    <w:semiHidden/>
    <w:qFormat/>
    <w:rPr>
      <w:rFonts w:ascii="Tahoma" w:eastAsia="Times New Roman" w:hAnsi="Tahoma" w:cs="Tahoma"/>
      <w:sz w:val="16"/>
      <w:szCs w:val="16"/>
      <w:lang w:eastAsia="zh-CN"/>
    </w:rPr>
  </w:style>
  <w:style w:type="character" w:customStyle="1" w:styleId="af4">
    <w:name w:val="Текст сноски Знак"/>
    <w:basedOn w:val="a0"/>
    <w:link w:val="af5"/>
    <w:uiPriority w:val="99"/>
    <w:qFormat/>
    <w:rPr>
      <w:rFonts w:ascii="Times New Roman" w:eastAsia="Times New Roman" w:hAnsi="Times New Roman" w:cs="Times New Roman"/>
      <w:sz w:val="20"/>
      <w:szCs w:val="20"/>
      <w:lang w:eastAsia="zh-CN"/>
    </w:rPr>
  </w:style>
  <w:style w:type="character" w:customStyle="1" w:styleId="af6">
    <w:name w:val="Символ сноски"/>
    <w:uiPriority w:val="99"/>
    <w:semiHidden/>
    <w:unhideWhenUsed/>
    <w:qFormat/>
    <w:rPr>
      <w:vertAlign w:val="superscript"/>
    </w:rPr>
  </w:style>
  <w:style w:type="character" w:styleId="af7">
    <w:name w:val="footnote reference"/>
    <w:rPr>
      <w:vertAlign w:val="superscript"/>
    </w:rPr>
  </w:style>
  <w:style w:type="character" w:customStyle="1" w:styleId="af8">
    <w:name w:val="Абзац списка Знак"/>
    <w:link w:val="af9"/>
    <w:qFormat/>
    <w:rPr>
      <w:rFonts w:ascii="Times New Roman" w:eastAsia="Times New Roman" w:hAnsi="Times New Roman" w:cs="Times New Roman"/>
      <w:sz w:val="20"/>
      <w:szCs w:val="20"/>
      <w:lang w:eastAsia="zh-CN"/>
    </w:rPr>
  </w:style>
  <w:style w:type="character" w:customStyle="1" w:styleId="blk">
    <w:name w:val="blk"/>
    <w:basedOn w:val="a0"/>
    <w:qFormat/>
    <w:rPr>
      <w:rFonts w:cs="Times New Roman"/>
    </w:rPr>
  </w:style>
  <w:style w:type="character" w:customStyle="1" w:styleId="24">
    <w:name w:val="Нижний колонтитул Знак2"/>
    <w:uiPriority w:val="99"/>
    <w:qFormat/>
    <w:rPr>
      <w:lang w:val="en-US"/>
    </w:rPr>
  </w:style>
  <w:style w:type="character" w:customStyle="1" w:styleId="afa">
    <w:name w:val="Основной текст Знак"/>
    <w:basedOn w:val="a0"/>
    <w:link w:val="afb"/>
    <w:qFormat/>
    <w:rPr>
      <w:rFonts w:ascii="Times New Roman" w:eastAsia="Calibri" w:hAnsi="Times New Roman" w:cs="Times New Roman"/>
      <w:sz w:val="20"/>
      <w:szCs w:val="20"/>
      <w:lang w:val="en-US" w:eastAsia="zh-CN"/>
    </w:rPr>
  </w:style>
  <w:style w:type="character" w:customStyle="1" w:styleId="afc">
    <w:name w:val="Без интервала Знак"/>
    <w:link w:val="afd"/>
    <w:uiPriority w:val="1"/>
    <w:qFormat/>
    <w:locked/>
  </w:style>
  <w:style w:type="character" w:customStyle="1" w:styleId="cardmaininfocontent">
    <w:name w:val="cardmaininfo__content"/>
    <w:qFormat/>
  </w:style>
  <w:style w:type="paragraph" w:customStyle="1" w:styleId="afe">
    <w:name w:val="Заголовок"/>
    <w:basedOn w:val="a"/>
    <w:next w:val="afb"/>
    <w:qFormat/>
    <w:pPr>
      <w:keepNext/>
      <w:spacing w:before="240" w:after="120"/>
    </w:pPr>
    <w:rPr>
      <w:rFonts w:ascii="PT Astra Serif" w:eastAsia="Tahoma" w:hAnsi="PT Astra Serif" w:cs="Noto Sans Devanagari"/>
      <w:sz w:val="28"/>
      <w:szCs w:val="28"/>
    </w:rPr>
  </w:style>
  <w:style w:type="paragraph" w:styleId="afb">
    <w:name w:val="Body Text"/>
    <w:link w:val="afa"/>
    <w:pPr>
      <w:jc w:val="center"/>
    </w:pPr>
    <w:rPr>
      <w:rFonts w:ascii="Times New Roman" w:hAnsi="Times New Roman" w:cs="Times New Roman"/>
      <w:sz w:val="20"/>
      <w:szCs w:val="20"/>
      <w:lang w:val="en-US" w:eastAsia="zh-CN"/>
    </w:rPr>
  </w:style>
  <w:style w:type="paragraph" w:styleId="aff">
    <w:name w:val="List"/>
    <w:basedOn w:val="afb"/>
    <w:rPr>
      <w:rFonts w:ascii="PT Astra Serif" w:hAnsi="PT Astra Serif" w:cs="Noto Sans Devanagari"/>
    </w:rPr>
  </w:style>
  <w:style w:type="paragraph" w:styleId="aff0">
    <w:name w:val="caption"/>
    <w:basedOn w:val="a"/>
    <w:next w:val="a"/>
    <w:uiPriority w:val="35"/>
    <w:semiHidden/>
    <w:unhideWhenUsed/>
    <w:qFormat/>
    <w:pPr>
      <w:spacing w:line="276" w:lineRule="auto"/>
    </w:pPr>
    <w:rPr>
      <w:b/>
      <w:bCs/>
      <w:color w:val="5B9BD5" w:themeColor="accent1"/>
      <w:sz w:val="18"/>
      <w:szCs w:val="18"/>
    </w:rPr>
  </w:style>
  <w:style w:type="paragraph" w:styleId="aff1">
    <w:name w:val="index heading"/>
    <w:basedOn w:val="afe"/>
    <w:qFormat/>
  </w:style>
  <w:style w:type="paragraph" w:styleId="afd">
    <w:name w:val="No Spacing"/>
    <w:link w:val="afc"/>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3">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endnote text"/>
    <w:basedOn w:val="a"/>
    <w:link w:val="a9"/>
    <w:uiPriority w:val="99"/>
    <w:semiHidden/>
    <w:unhideWhenUsed/>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2">
    <w:name w:val="TOC Heading"/>
    <w:uiPriority w:val="39"/>
    <w:unhideWhenUsed/>
    <w:pPr>
      <w:spacing w:after="160" w:line="259" w:lineRule="auto"/>
    </w:pPr>
  </w:style>
  <w:style w:type="paragraph" w:styleId="aff3">
    <w:name w:val="table of figures"/>
    <w:basedOn w:val="a"/>
    <w:next w:val="a"/>
    <w:uiPriority w:val="99"/>
    <w:unhideWhenUsed/>
    <w:qFormat/>
  </w:style>
  <w:style w:type="paragraph" w:styleId="af9">
    <w:name w:val="List Paragraph"/>
    <w:basedOn w:val="a"/>
    <w:link w:val="af8"/>
    <w:uiPriority w:val="34"/>
    <w:qFormat/>
    <w:pPr>
      <w:ind w:left="720"/>
      <w:contextualSpacing/>
    </w:pPr>
  </w:style>
  <w:style w:type="paragraph" w:customStyle="1" w:styleId="aff4">
    <w:name w:val="Колонтитул"/>
    <w:basedOn w:val="a"/>
    <w:qFormat/>
  </w:style>
  <w:style w:type="paragraph" w:styleId="ae">
    <w:name w:val="header"/>
    <w:basedOn w:val="a"/>
    <w:link w:val="ad"/>
    <w:uiPriority w:val="99"/>
    <w:unhideWhenUsed/>
    <w:pPr>
      <w:tabs>
        <w:tab w:val="center" w:pos="4677"/>
        <w:tab w:val="right" w:pos="9355"/>
      </w:tabs>
    </w:pPr>
  </w:style>
  <w:style w:type="paragraph" w:styleId="af0">
    <w:name w:val="footer"/>
    <w:basedOn w:val="a"/>
    <w:link w:val="af"/>
    <w:uiPriority w:val="99"/>
    <w:unhideWhenUsed/>
    <w:pPr>
      <w:tabs>
        <w:tab w:val="center" w:pos="4677"/>
        <w:tab w:val="right" w:pos="9355"/>
      </w:tabs>
    </w:pPr>
  </w:style>
  <w:style w:type="paragraph" w:customStyle="1" w:styleId="ConsPlusNormal">
    <w:name w:val="ConsPlusNormal"/>
    <w:qFormat/>
    <w:pPr>
      <w:ind w:firstLine="720"/>
    </w:pPr>
    <w:rPr>
      <w:rFonts w:ascii="Arial" w:eastAsia="Times New Roman" w:hAnsi="Arial"/>
      <w:sz w:val="20"/>
      <w:szCs w:val="20"/>
      <w:lang w:eastAsia="zh-CN"/>
    </w:rPr>
  </w:style>
  <w:style w:type="paragraph" w:customStyle="1" w:styleId="aff5">
    <w:name w:val="Обычный.Нормальный абзац"/>
    <w:qFormat/>
    <w:pPr>
      <w:widowControl w:val="0"/>
      <w:ind w:firstLine="709"/>
      <w:jc w:val="both"/>
    </w:pPr>
    <w:rPr>
      <w:rFonts w:ascii="Times New Roman" w:eastAsia="Times New Roman" w:hAnsi="Times New Roman" w:cs="Times New Roman"/>
      <w:sz w:val="24"/>
      <w:szCs w:val="24"/>
      <w:lang w:eastAsia="zh-CN"/>
    </w:rPr>
  </w:style>
  <w:style w:type="paragraph" w:styleId="af3">
    <w:name w:val="Balloon Text"/>
    <w:basedOn w:val="a"/>
    <w:link w:val="af2"/>
    <w:uiPriority w:val="99"/>
    <w:semiHidden/>
    <w:unhideWhenUsed/>
    <w:qFormat/>
    <w:rPr>
      <w:rFonts w:ascii="Tahoma" w:hAnsi="Tahoma" w:cs="Tahoma"/>
      <w:sz w:val="16"/>
      <w:szCs w:val="16"/>
    </w:rPr>
  </w:style>
  <w:style w:type="paragraph" w:styleId="af5">
    <w:name w:val="footnote text"/>
    <w:basedOn w:val="a"/>
    <w:link w:val="af4"/>
    <w:uiPriority w:val="99"/>
    <w:unhideWhenUsed/>
  </w:style>
  <w:style w:type="paragraph" w:customStyle="1" w:styleId="14">
    <w:name w:val="Обычный1"/>
    <w:qFormat/>
    <w:rPr>
      <w:rFonts w:ascii="Times New Roman" w:eastAsia="Times New Roman" w:hAnsi="Times New Roman" w:cs="Times New Roman"/>
      <w:sz w:val="24"/>
      <w:szCs w:val="20"/>
      <w:lang w:eastAsia="ru-RU"/>
    </w:rPr>
  </w:style>
  <w:style w:type="paragraph" w:styleId="15">
    <w:name w:val="index 1"/>
    <w:basedOn w:val="a"/>
    <w:next w:val="a"/>
    <w:autoRedefine/>
    <w:uiPriority w:val="99"/>
    <w:semiHidden/>
    <w:unhideWhenUsed/>
    <w:qFormat/>
    <w:pPr>
      <w:ind w:left="200" w:hanging="200"/>
    </w:pPr>
  </w:style>
  <w:style w:type="paragraph" w:customStyle="1" w:styleId="western">
    <w:name w:val="western"/>
    <w:basedOn w:val="a"/>
    <w:qFormat/>
    <w:pPr>
      <w:spacing w:beforeAutospacing="1" w:afterAutospacing="1"/>
    </w:pPr>
    <w:rPr>
      <w:sz w:val="24"/>
      <w:szCs w:val="24"/>
      <w:lang w:eastAsia="ru-RU"/>
    </w:rPr>
  </w:style>
  <w:style w:type="paragraph" w:customStyle="1" w:styleId="Standard">
    <w:name w:val="Standard"/>
    <w:qFormat/>
    <w:pPr>
      <w:spacing w:after="160" w:line="259" w:lineRule="auto"/>
      <w:jc w:val="center"/>
    </w:pPr>
    <w:rPr>
      <w:rFonts w:ascii="PT Astra Serif" w:eastAsia="PT Astra Serif" w:hAnsi="PT Astra Serif" w:cs="PT Astra Serif"/>
      <w:sz w:val="28"/>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paragraph" w:customStyle="1" w:styleId="110">
    <w:name w:val="Заголовок 11"/>
    <w:basedOn w:val="a"/>
    <w:next w:val="a"/>
    <w:qFormat/>
    <w:pPr>
      <w:keepNext/>
      <w:widowControl w:val="0"/>
      <w:jc w:val="center"/>
      <w:outlineLvl w:val="0"/>
    </w:pPr>
    <w:rPr>
      <w:kern w:val="2"/>
      <w:sz w:val="28"/>
      <w:szCs w:val="24"/>
      <w:lang w:eastAsia="ru-RU" w:bidi="ru-RU"/>
    </w:rPr>
  </w:style>
  <w:style w:type="numbering" w:customStyle="1" w:styleId="16">
    <w:name w:val="Нет списка1"/>
    <w:uiPriority w:val="99"/>
    <w:semiHidden/>
    <w:unhideWhenUsed/>
    <w:qFormat/>
  </w:style>
  <w:style w:type="table" w:customStyle="1" w:styleId="12">
    <w:name w:val="Заголовок 1 Знак2"/>
    <w:basedOn w:val="a1"/>
    <w:link w:val="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2">
    <w:name w:val="Заголовок 2 Знак2"/>
    <w:basedOn w:val="a1"/>
    <w:link w:val="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2">
    <w:name w:val="Заголовок 3 Знак2"/>
    <w:basedOn w:val="a1"/>
    <w:link w:val="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2">
    <w:name w:val="Заголовок 4 Знак2"/>
    <w:basedOn w:val="a1"/>
    <w:link w:val="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2">
    <w:name w:val="Заголовок 5 Знак2"/>
    <w:basedOn w:val="a1"/>
    <w:link w:val="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8">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uiPriority w:val="5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Заголовок 1 Знак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Заголовок 2 Знак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Заголовок 3 Знак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
    <w:name w:val="Заголовок 4 Знак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
    <w:name w:val="Заголовок 5 Знак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0">
    <w:name w:val="Таблица-сетка 1 светлая1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10">
    <w:name w:val="Таблица-сетка 21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0">
    <w:name w:val="Таблица-сетка 31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0">
    <w:name w:val="Таблица-сетка 41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10">
    <w:name w:val="Таблица-сетка 5 темная1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10">
    <w:name w:val="Таблица-сетка 6 цветная1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10">
    <w:name w:val="Таблица-сетка 7 цветная1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11">
    <w:name w:val="Список-таблица 1 светлая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11">
    <w:name w:val="Список-таблица 21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11">
    <w:name w:val="Список-таблица 31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11">
    <w:name w:val="Список-таблица 41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11">
    <w:name w:val="Список-таблица 5 темная1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11">
    <w:name w:val="Список-таблица 6 цветная1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11">
    <w:name w:val="Список-таблица 7 цветная1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0">
    <w:name w:val="Таблица простая 1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0">
    <w:name w:val="Таблица простая 21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0">
    <w:name w:val="Таблица простая 31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0">
    <w:name w:val="Таблица простая 41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0">
    <w:name w:val="Таблица простая 51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Accent11">
    <w:name w:val="Grid Table 1 Light - Accent 1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Accent11">
    <w:name w:val="Grid Table 2 - Accent 1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Accent11">
    <w:name w:val="Grid Table 4 - Accent 1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Accent11">
    <w:name w:val="Grid Table 5 Dark- Accent 1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1">
    <w:name w:val="Grid Table 5 Dark- Accent 4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Accent11">
    <w:name w:val="Grid Table 6 Colorful - Accent 1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Accent11">
    <w:name w:val="List Table 2 - Accent 1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Accent11">
    <w:name w:val="List Table 3 - Accent 1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1">
    <w:name w:val="List Table 3 - Accent 31"/>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1">
    <w:name w:val="List Table 3 - Accent 41"/>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1">
    <w:name w:val="List Table 3 - Accent 51"/>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1">
    <w:name w:val="List Table 3 - Accent 61"/>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Accent11">
    <w:name w:val="List Table 4 - Accent 1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Accent11">
    <w:name w:val="List Table 5 Dark - Accent 1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Accent11">
    <w:name w:val="List Table 6 Colorful - Accent 1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10">
    <w:name w:val="Lined - Accent1"/>
    <w:basedOn w:val="a1"/>
    <w:uiPriority w:val="99"/>
    <w:rPr>
      <w:color w:val="404040"/>
      <w:sz w:val="20"/>
      <w:szCs w:val="20"/>
      <w:lang w:eastAsia="ru-RU"/>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1">
    <w:name w:val="Lined - Accent 11"/>
    <w:basedOn w:val="a1"/>
    <w:uiPriority w:val="99"/>
    <w:rPr>
      <w:color w:val="404040"/>
      <w:sz w:val="20"/>
      <w:szCs w:val="20"/>
      <w:lang w:eastAsia="ru-RU"/>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1">
    <w:name w:val="Lined - Accent 21"/>
    <w:basedOn w:val="a1"/>
    <w:uiPriority w:val="99"/>
    <w:rPr>
      <w:color w:val="404040"/>
      <w:sz w:val="20"/>
      <w:szCs w:val="20"/>
      <w:lang w:eastAsia="ru-RU"/>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1">
    <w:name w:val="Lined - Accent 31"/>
    <w:basedOn w:val="a1"/>
    <w:uiPriority w:val="99"/>
    <w:rPr>
      <w:color w:val="404040"/>
      <w:sz w:val="20"/>
      <w:szCs w:val="20"/>
      <w:lang w:eastAsia="ru-RU"/>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1">
    <w:name w:val="Lined - Accent 41"/>
    <w:basedOn w:val="a1"/>
    <w:uiPriority w:val="99"/>
    <w:rPr>
      <w:color w:val="404040"/>
      <w:sz w:val="20"/>
      <w:szCs w:val="20"/>
      <w:lang w:eastAsia="ru-RU"/>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1">
    <w:name w:val="Lined - Accent 51"/>
    <w:basedOn w:val="a1"/>
    <w:uiPriority w:val="99"/>
    <w:rPr>
      <w:color w:val="404040"/>
      <w:sz w:val="20"/>
      <w:szCs w:val="20"/>
      <w:lang w:eastAsia="ru-RU"/>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1">
    <w:name w:val="Lined - Accent 61"/>
    <w:basedOn w:val="a1"/>
    <w:uiPriority w:val="99"/>
    <w:rPr>
      <w:color w:val="404040"/>
      <w:sz w:val="20"/>
      <w:szCs w:val="20"/>
      <w:lang w:eastAsia="ru-RU"/>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10">
    <w:name w:val="Bordered &amp; Lined - Accent1"/>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1">
    <w:name w:val="Bordered &amp; Lined - Accent 1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1">
    <w:name w:val="Bordered &amp; Lined - Accent 21"/>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1">
    <w:name w:val="Bordered &amp; Lined - Accent 31"/>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1">
    <w:name w:val="Bordered &amp; Lined - Accent 41"/>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1">
    <w:name w:val="Bordered &amp; Lined - Accent 51"/>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1">
    <w:name w:val="Bordered &amp; Lined - Accent 61"/>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1">
    <w:name w:val="Bordered1"/>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1">
    <w:name w:val="Bordered - Accent 1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1">
    <w:name w:val="Bordered - Accent 21"/>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1">
    <w:name w:val="Bordered - Accent 31"/>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1">
    <w:name w:val="Bordered - Accent 41"/>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1">
    <w:name w:val="Bordered - Accent 51"/>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1">
    <w:name w:val="Bordered - Accent 61"/>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33">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able of figures"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zh-CN"/>
    </w:rPr>
  </w:style>
  <w:style w:type="paragraph" w:styleId="1">
    <w:name w:val="heading 1"/>
    <w:basedOn w:val="a"/>
    <w:next w:val="a"/>
    <w:link w:val="12"/>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2"/>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2"/>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2"/>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2"/>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9">
    <w:name w:val="Текст концевой сноски Знак"/>
    <w:link w:val="aa"/>
    <w:uiPriority w:val="99"/>
    <w:qFormat/>
    <w:rPr>
      <w:sz w:val="20"/>
    </w:rPr>
  </w:style>
  <w:style w:type="character" w:customStyle="1" w:styleId="ab">
    <w:name w:val="Символ концевой сноски"/>
    <w:uiPriority w:val="99"/>
    <w:semiHidden/>
    <w:unhideWhenUsed/>
    <w:qFormat/>
    <w:rPr>
      <w:vertAlign w:val="superscript"/>
    </w:rPr>
  </w:style>
  <w:style w:type="character" w:styleId="ac">
    <w:name w:val="endnote reference"/>
    <w:rPr>
      <w:vertAlign w:val="superscript"/>
    </w:rPr>
  </w:style>
  <w:style w:type="character" w:customStyle="1" w:styleId="11">
    <w:name w:val="Текст выноски Знак1"/>
    <w:qFormat/>
    <w:rPr>
      <w:rFonts w:ascii="Tahoma" w:eastAsia="Calibri" w:hAnsi="Tahoma"/>
      <w:sz w:val="16"/>
      <w:szCs w:val="16"/>
      <w:lang w:val="en-US" w:eastAsia="zh-CN"/>
    </w:rPr>
  </w:style>
  <w:style w:type="character" w:customStyle="1" w:styleId="sectioninfo2">
    <w:name w:val="section__info2"/>
    <w:qFormat/>
  </w:style>
  <w:style w:type="character" w:customStyle="1" w:styleId="ad">
    <w:name w:val="Верхний колонтитул Знак"/>
    <w:basedOn w:val="a0"/>
    <w:link w:val="ae"/>
    <w:uiPriority w:val="99"/>
    <w:qFormat/>
    <w:rPr>
      <w:rFonts w:ascii="Times New Roman" w:eastAsia="Times New Roman" w:hAnsi="Times New Roman" w:cs="Times New Roman"/>
      <w:sz w:val="20"/>
      <w:szCs w:val="20"/>
      <w:lang w:eastAsia="zh-CN"/>
    </w:rPr>
  </w:style>
  <w:style w:type="character" w:customStyle="1" w:styleId="af">
    <w:name w:val="Нижний колонтитул Знак"/>
    <w:basedOn w:val="a0"/>
    <w:link w:val="af0"/>
    <w:uiPriority w:val="99"/>
    <w:qFormat/>
    <w:rPr>
      <w:rFonts w:ascii="Times New Roman" w:eastAsia="Times New Roman" w:hAnsi="Times New Roman" w:cs="Times New Roman"/>
      <w:sz w:val="20"/>
      <w:szCs w:val="20"/>
      <w:lang w:eastAsia="zh-CN"/>
    </w:rPr>
  </w:style>
  <w:style w:type="character" w:styleId="af1">
    <w:name w:val="Hyperlink"/>
    <w:rPr>
      <w:color w:val="0000FF"/>
      <w:u w:val="single"/>
    </w:rPr>
  </w:style>
  <w:style w:type="character" w:customStyle="1" w:styleId="af2">
    <w:name w:val="Текст выноски Знак"/>
    <w:basedOn w:val="a0"/>
    <w:link w:val="af3"/>
    <w:uiPriority w:val="99"/>
    <w:semiHidden/>
    <w:qFormat/>
    <w:rPr>
      <w:rFonts w:ascii="Tahoma" w:eastAsia="Times New Roman" w:hAnsi="Tahoma" w:cs="Tahoma"/>
      <w:sz w:val="16"/>
      <w:szCs w:val="16"/>
      <w:lang w:eastAsia="zh-CN"/>
    </w:rPr>
  </w:style>
  <w:style w:type="character" w:customStyle="1" w:styleId="af4">
    <w:name w:val="Текст сноски Знак"/>
    <w:basedOn w:val="a0"/>
    <w:link w:val="af5"/>
    <w:uiPriority w:val="99"/>
    <w:qFormat/>
    <w:rPr>
      <w:rFonts w:ascii="Times New Roman" w:eastAsia="Times New Roman" w:hAnsi="Times New Roman" w:cs="Times New Roman"/>
      <w:sz w:val="20"/>
      <w:szCs w:val="20"/>
      <w:lang w:eastAsia="zh-CN"/>
    </w:rPr>
  </w:style>
  <w:style w:type="character" w:customStyle="1" w:styleId="af6">
    <w:name w:val="Символ сноски"/>
    <w:uiPriority w:val="99"/>
    <w:semiHidden/>
    <w:unhideWhenUsed/>
    <w:qFormat/>
    <w:rPr>
      <w:vertAlign w:val="superscript"/>
    </w:rPr>
  </w:style>
  <w:style w:type="character" w:styleId="af7">
    <w:name w:val="footnote reference"/>
    <w:rPr>
      <w:vertAlign w:val="superscript"/>
    </w:rPr>
  </w:style>
  <w:style w:type="character" w:customStyle="1" w:styleId="af8">
    <w:name w:val="Абзац списка Знак"/>
    <w:link w:val="af9"/>
    <w:qFormat/>
    <w:rPr>
      <w:rFonts w:ascii="Times New Roman" w:eastAsia="Times New Roman" w:hAnsi="Times New Roman" w:cs="Times New Roman"/>
      <w:sz w:val="20"/>
      <w:szCs w:val="20"/>
      <w:lang w:eastAsia="zh-CN"/>
    </w:rPr>
  </w:style>
  <w:style w:type="character" w:customStyle="1" w:styleId="blk">
    <w:name w:val="blk"/>
    <w:basedOn w:val="a0"/>
    <w:qFormat/>
    <w:rPr>
      <w:rFonts w:cs="Times New Roman"/>
    </w:rPr>
  </w:style>
  <w:style w:type="character" w:customStyle="1" w:styleId="24">
    <w:name w:val="Нижний колонтитул Знак2"/>
    <w:uiPriority w:val="99"/>
    <w:qFormat/>
    <w:rPr>
      <w:lang w:val="en-US"/>
    </w:rPr>
  </w:style>
  <w:style w:type="character" w:customStyle="1" w:styleId="afa">
    <w:name w:val="Основной текст Знак"/>
    <w:basedOn w:val="a0"/>
    <w:link w:val="afb"/>
    <w:qFormat/>
    <w:rPr>
      <w:rFonts w:ascii="Times New Roman" w:eastAsia="Calibri" w:hAnsi="Times New Roman" w:cs="Times New Roman"/>
      <w:sz w:val="20"/>
      <w:szCs w:val="20"/>
      <w:lang w:val="en-US" w:eastAsia="zh-CN"/>
    </w:rPr>
  </w:style>
  <w:style w:type="character" w:customStyle="1" w:styleId="afc">
    <w:name w:val="Без интервала Знак"/>
    <w:link w:val="afd"/>
    <w:uiPriority w:val="1"/>
    <w:qFormat/>
    <w:locked/>
  </w:style>
  <w:style w:type="character" w:customStyle="1" w:styleId="cardmaininfocontent">
    <w:name w:val="cardmaininfo__content"/>
    <w:qFormat/>
  </w:style>
  <w:style w:type="paragraph" w:customStyle="1" w:styleId="afe">
    <w:name w:val="Заголовок"/>
    <w:basedOn w:val="a"/>
    <w:next w:val="afb"/>
    <w:qFormat/>
    <w:pPr>
      <w:keepNext/>
      <w:spacing w:before="240" w:after="120"/>
    </w:pPr>
    <w:rPr>
      <w:rFonts w:ascii="PT Astra Serif" w:eastAsia="Tahoma" w:hAnsi="PT Astra Serif" w:cs="Noto Sans Devanagari"/>
      <w:sz w:val="28"/>
      <w:szCs w:val="28"/>
    </w:rPr>
  </w:style>
  <w:style w:type="paragraph" w:styleId="afb">
    <w:name w:val="Body Text"/>
    <w:link w:val="afa"/>
    <w:pPr>
      <w:jc w:val="center"/>
    </w:pPr>
    <w:rPr>
      <w:rFonts w:ascii="Times New Roman" w:hAnsi="Times New Roman" w:cs="Times New Roman"/>
      <w:sz w:val="20"/>
      <w:szCs w:val="20"/>
      <w:lang w:val="en-US" w:eastAsia="zh-CN"/>
    </w:rPr>
  </w:style>
  <w:style w:type="paragraph" w:styleId="aff">
    <w:name w:val="List"/>
    <w:basedOn w:val="afb"/>
    <w:rPr>
      <w:rFonts w:ascii="PT Astra Serif" w:hAnsi="PT Astra Serif" w:cs="Noto Sans Devanagari"/>
    </w:rPr>
  </w:style>
  <w:style w:type="paragraph" w:styleId="aff0">
    <w:name w:val="caption"/>
    <w:basedOn w:val="a"/>
    <w:next w:val="a"/>
    <w:uiPriority w:val="35"/>
    <w:semiHidden/>
    <w:unhideWhenUsed/>
    <w:qFormat/>
    <w:pPr>
      <w:spacing w:line="276" w:lineRule="auto"/>
    </w:pPr>
    <w:rPr>
      <w:b/>
      <w:bCs/>
      <w:color w:val="5B9BD5" w:themeColor="accent1"/>
      <w:sz w:val="18"/>
      <w:szCs w:val="18"/>
    </w:rPr>
  </w:style>
  <w:style w:type="paragraph" w:styleId="aff1">
    <w:name w:val="index heading"/>
    <w:basedOn w:val="afe"/>
    <w:qFormat/>
  </w:style>
  <w:style w:type="paragraph" w:styleId="afd">
    <w:name w:val="No Spacing"/>
    <w:link w:val="afc"/>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3">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endnote text"/>
    <w:basedOn w:val="a"/>
    <w:link w:val="a9"/>
    <w:uiPriority w:val="99"/>
    <w:semiHidden/>
    <w:unhideWhenUsed/>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2">
    <w:name w:val="TOC Heading"/>
    <w:uiPriority w:val="39"/>
    <w:unhideWhenUsed/>
    <w:pPr>
      <w:spacing w:after="160" w:line="259" w:lineRule="auto"/>
    </w:pPr>
  </w:style>
  <w:style w:type="paragraph" w:styleId="aff3">
    <w:name w:val="table of figures"/>
    <w:basedOn w:val="a"/>
    <w:next w:val="a"/>
    <w:uiPriority w:val="99"/>
    <w:unhideWhenUsed/>
    <w:qFormat/>
  </w:style>
  <w:style w:type="paragraph" w:styleId="af9">
    <w:name w:val="List Paragraph"/>
    <w:basedOn w:val="a"/>
    <w:link w:val="af8"/>
    <w:uiPriority w:val="34"/>
    <w:qFormat/>
    <w:pPr>
      <w:ind w:left="720"/>
      <w:contextualSpacing/>
    </w:pPr>
  </w:style>
  <w:style w:type="paragraph" w:customStyle="1" w:styleId="aff4">
    <w:name w:val="Колонтитул"/>
    <w:basedOn w:val="a"/>
    <w:qFormat/>
  </w:style>
  <w:style w:type="paragraph" w:styleId="ae">
    <w:name w:val="header"/>
    <w:basedOn w:val="a"/>
    <w:link w:val="ad"/>
    <w:uiPriority w:val="99"/>
    <w:unhideWhenUsed/>
    <w:pPr>
      <w:tabs>
        <w:tab w:val="center" w:pos="4677"/>
        <w:tab w:val="right" w:pos="9355"/>
      </w:tabs>
    </w:pPr>
  </w:style>
  <w:style w:type="paragraph" w:styleId="af0">
    <w:name w:val="footer"/>
    <w:basedOn w:val="a"/>
    <w:link w:val="af"/>
    <w:uiPriority w:val="99"/>
    <w:unhideWhenUsed/>
    <w:pPr>
      <w:tabs>
        <w:tab w:val="center" w:pos="4677"/>
        <w:tab w:val="right" w:pos="9355"/>
      </w:tabs>
    </w:pPr>
  </w:style>
  <w:style w:type="paragraph" w:customStyle="1" w:styleId="ConsPlusNormal">
    <w:name w:val="ConsPlusNormal"/>
    <w:qFormat/>
    <w:pPr>
      <w:ind w:firstLine="720"/>
    </w:pPr>
    <w:rPr>
      <w:rFonts w:ascii="Arial" w:eastAsia="Times New Roman" w:hAnsi="Arial"/>
      <w:sz w:val="20"/>
      <w:szCs w:val="20"/>
      <w:lang w:eastAsia="zh-CN"/>
    </w:rPr>
  </w:style>
  <w:style w:type="paragraph" w:customStyle="1" w:styleId="aff5">
    <w:name w:val="Обычный.Нормальный абзац"/>
    <w:qFormat/>
    <w:pPr>
      <w:widowControl w:val="0"/>
      <w:ind w:firstLine="709"/>
      <w:jc w:val="both"/>
    </w:pPr>
    <w:rPr>
      <w:rFonts w:ascii="Times New Roman" w:eastAsia="Times New Roman" w:hAnsi="Times New Roman" w:cs="Times New Roman"/>
      <w:sz w:val="24"/>
      <w:szCs w:val="24"/>
      <w:lang w:eastAsia="zh-CN"/>
    </w:rPr>
  </w:style>
  <w:style w:type="paragraph" w:styleId="af3">
    <w:name w:val="Balloon Text"/>
    <w:basedOn w:val="a"/>
    <w:link w:val="af2"/>
    <w:uiPriority w:val="99"/>
    <w:semiHidden/>
    <w:unhideWhenUsed/>
    <w:qFormat/>
    <w:rPr>
      <w:rFonts w:ascii="Tahoma" w:hAnsi="Tahoma" w:cs="Tahoma"/>
      <w:sz w:val="16"/>
      <w:szCs w:val="16"/>
    </w:rPr>
  </w:style>
  <w:style w:type="paragraph" w:styleId="af5">
    <w:name w:val="footnote text"/>
    <w:basedOn w:val="a"/>
    <w:link w:val="af4"/>
    <w:uiPriority w:val="99"/>
    <w:unhideWhenUsed/>
  </w:style>
  <w:style w:type="paragraph" w:customStyle="1" w:styleId="14">
    <w:name w:val="Обычный1"/>
    <w:qFormat/>
    <w:rPr>
      <w:rFonts w:ascii="Times New Roman" w:eastAsia="Times New Roman" w:hAnsi="Times New Roman" w:cs="Times New Roman"/>
      <w:sz w:val="24"/>
      <w:szCs w:val="20"/>
      <w:lang w:eastAsia="ru-RU"/>
    </w:rPr>
  </w:style>
  <w:style w:type="paragraph" w:styleId="15">
    <w:name w:val="index 1"/>
    <w:basedOn w:val="a"/>
    <w:next w:val="a"/>
    <w:autoRedefine/>
    <w:uiPriority w:val="99"/>
    <w:semiHidden/>
    <w:unhideWhenUsed/>
    <w:qFormat/>
    <w:pPr>
      <w:ind w:left="200" w:hanging="200"/>
    </w:pPr>
  </w:style>
  <w:style w:type="paragraph" w:customStyle="1" w:styleId="western">
    <w:name w:val="western"/>
    <w:basedOn w:val="a"/>
    <w:qFormat/>
    <w:pPr>
      <w:spacing w:beforeAutospacing="1" w:afterAutospacing="1"/>
    </w:pPr>
    <w:rPr>
      <w:sz w:val="24"/>
      <w:szCs w:val="24"/>
      <w:lang w:eastAsia="ru-RU"/>
    </w:rPr>
  </w:style>
  <w:style w:type="paragraph" w:customStyle="1" w:styleId="Standard">
    <w:name w:val="Standard"/>
    <w:qFormat/>
    <w:pPr>
      <w:spacing w:after="160" w:line="259" w:lineRule="auto"/>
      <w:jc w:val="center"/>
    </w:pPr>
    <w:rPr>
      <w:rFonts w:ascii="PT Astra Serif" w:eastAsia="PT Astra Serif" w:hAnsi="PT Astra Serif" w:cs="PT Astra Serif"/>
      <w:sz w:val="28"/>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paragraph" w:customStyle="1" w:styleId="110">
    <w:name w:val="Заголовок 11"/>
    <w:basedOn w:val="a"/>
    <w:next w:val="a"/>
    <w:qFormat/>
    <w:pPr>
      <w:keepNext/>
      <w:widowControl w:val="0"/>
      <w:jc w:val="center"/>
      <w:outlineLvl w:val="0"/>
    </w:pPr>
    <w:rPr>
      <w:kern w:val="2"/>
      <w:sz w:val="28"/>
      <w:szCs w:val="24"/>
      <w:lang w:eastAsia="ru-RU" w:bidi="ru-RU"/>
    </w:rPr>
  </w:style>
  <w:style w:type="numbering" w:customStyle="1" w:styleId="16">
    <w:name w:val="Нет списка1"/>
    <w:uiPriority w:val="99"/>
    <w:semiHidden/>
    <w:unhideWhenUsed/>
    <w:qFormat/>
  </w:style>
  <w:style w:type="table" w:customStyle="1" w:styleId="12">
    <w:name w:val="Заголовок 1 Знак2"/>
    <w:basedOn w:val="a1"/>
    <w:link w:val="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2">
    <w:name w:val="Заголовок 2 Знак2"/>
    <w:basedOn w:val="a1"/>
    <w:link w:val="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2">
    <w:name w:val="Заголовок 3 Знак2"/>
    <w:basedOn w:val="a1"/>
    <w:link w:val="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2">
    <w:name w:val="Заголовок 4 Знак2"/>
    <w:basedOn w:val="a1"/>
    <w:link w:val="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2">
    <w:name w:val="Заголовок 5 Знак2"/>
    <w:basedOn w:val="a1"/>
    <w:link w:val="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8">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uiPriority w:val="59"/>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Заголовок 1 Знак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Заголовок 2 Знак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Заголовок 3 Знак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
    <w:name w:val="Заголовок 4 Знак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
    <w:name w:val="Заголовок 5 Знак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0">
    <w:name w:val="Таблица-сетка 1 светлая1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10">
    <w:name w:val="Таблица-сетка 21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0">
    <w:name w:val="Таблица-сетка 31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0">
    <w:name w:val="Таблица-сетка 41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10">
    <w:name w:val="Таблица-сетка 5 темная1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10">
    <w:name w:val="Таблица-сетка 6 цветная1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10">
    <w:name w:val="Таблица-сетка 7 цветная1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11">
    <w:name w:val="Список-таблица 1 светлая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11">
    <w:name w:val="Список-таблица 21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11">
    <w:name w:val="Список-таблица 31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11">
    <w:name w:val="Список-таблица 41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11">
    <w:name w:val="Список-таблица 5 темная1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11">
    <w:name w:val="Список-таблица 6 цветная1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11">
    <w:name w:val="Список-таблица 7 цветная1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0">
    <w:name w:val="Таблица простая 1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0">
    <w:name w:val="Таблица простая 21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0">
    <w:name w:val="Таблица простая 31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10">
    <w:name w:val="Таблица простая 41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10">
    <w:name w:val="Таблица простая 51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Accent11">
    <w:name w:val="Grid Table 1 Light - Accent 1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Accent11">
    <w:name w:val="Grid Table 2 - Accent 1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Accent11">
    <w:name w:val="Grid Table 4 - Accent 1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Accent11">
    <w:name w:val="Grid Table 5 Dark- Accent 1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1">
    <w:name w:val="Grid Table 5 Dark- Accent 4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Accent11">
    <w:name w:val="Grid Table 6 Colorful - Accent 1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Accent11">
    <w:name w:val="List Table 2 - Accent 1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Accent11">
    <w:name w:val="List Table 3 - Accent 1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1">
    <w:name w:val="List Table 3 - Accent 31"/>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1">
    <w:name w:val="List Table 3 - Accent 41"/>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1">
    <w:name w:val="List Table 3 - Accent 51"/>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1">
    <w:name w:val="List Table 3 - Accent 61"/>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Accent11">
    <w:name w:val="List Table 4 - Accent 1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Accent11">
    <w:name w:val="List Table 5 Dark - Accent 1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Accent11">
    <w:name w:val="List Table 6 Colorful - Accent 1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10">
    <w:name w:val="Lined - Accent1"/>
    <w:basedOn w:val="a1"/>
    <w:uiPriority w:val="99"/>
    <w:rPr>
      <w:color w:val="404040"/>
      <w:sz w:val="20"/>
      <w:szCs w:val="20"/>
      <w:lang w:eastAsia="ru-RU"/>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1">
    <w:name w:val="Lined - Accent 11"/>
    <w:basedOn w:val="a1"/>
    <w:uiPriority w:val="99"/>
    <w:rPr>
      <w:color w:val="404040"/>
      <w:sz w:val="20"/>
      <w:szCs w:val="20"/>
      <w:lang w:eastAsia="ru-RU"/>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1">
    <w:name w:val="Lined - Accent 21"/>
    <w:basedOn w:val="a1"/>
    <w:uiPriority w:val="99"/>
    <w:rPr>
      <w:color w:val="404040"/>
      <w:sz w:val="20"/>
      <w:szCs w:val="20"/>
      <w:lang w:eastAsia="ru-RU"/>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1">
    <w:name w:val="Lined - Accent 31"/>
    <w:basedOn w:val="a1"/>
    <w:uiPriority w:val="99"/>
    <w:rPr>
      <w:color w:val="404040"/>
      <w:sz w:val="20"/>
      <w:szCs w:val="20"/>
      <w:lang w:eastAsia="ru-RU"/>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1">
    <w:name w:val="Lined - Accent 41"/>
    <w:basedOn w:val="a1"/>
    <w:uiPriority w:val="99"/>
    <w:rPr>
      <w:color w:val="404040"/>
      <w:sz w:val="20"/>
      <w:szCs w:val="20"/>
      <w:lang w:eastAsia="ru-RU"/>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1">
    <w:name w:val="Lined - Accent 51"/>
    <w:basedOn w:val="a1"/>
    <w:uiPriority w:val="99"/>
    <w:rPr>
      <w:color w:val="404040"/>
      <w:sz w:val="20"/>
      <w:szCs w:val="20"/>
      <w:lang w:eastAsia="ru-RU"/>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1">
    <w:name w:val="Lined - Accent 61"/>
    <w:basedOn w:val="a1"/>
    <w:uiPriority w:val="99"/>
    <w:rPr>
      <w:color w:val="404040"/>
      <w:sz w:val="20"/>
      <w:szCs w:val="20"/>
      <w:lang w:eastAsia="ru-RU"/>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10">
    <w:name w:val="Bordered &amp; Lined - Accent1"/>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1">
    <w:name w:val="Bordered &amp; Lined - Accent 11"/>
    <w:basedOn w:val="a1"/>
    <w:uiPriority w:val="99"/>
    <w:rPr>
      <w:color w:val="404040"/>
      <w:sz w:val="20"/>
      <w:szCs w:val="20"/>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1">
    <w:name w:val="Bordered &amp; Lined - Accent 21"/>
    <w:basedOn w:val="a1"/>
    <w:uiPriority w:val="99"/>
    <w:rPr>
      <w:color w:val="404040"/>
      <w:sz w:val="20"/>
      <w:szCs w:val="20"/>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1">
    <w:name w:val="Bordered &amp; Lined - Accent 31"/>
    <w:basedOn w:val="a1"/>
    <w:uiPriority w:val="99"/>
    <w:rPr>
      <w:color w:val="404040"/>
      <w:sz w:val="20"/>
      <w:szCs w:val="20"/>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1">
    <w:name w:val="Bordered &amp; Lined - Accent 41"/>
    <w:basedOn w:val="a1"/>
    <w:uiPriority w:val="99"/>
    <w:rPr>
      <w:color w:val="404040"/>
      <w:sz w:val="20"/>
      <w:szCs w:val="20"/>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1">
    <w:name w:val="Bordered &amp; Lined - Accent 51"/>
    <w:basedOn w:val="a1"/>
    <w:uiPriority w:val="99"/>
    <w:rPr>
      <w:color w:val="404040"/>
      <w:sz w:val="20"/>
      <w:szCs w:val="20"/>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1">
    <w:name w:val="Bordered &amp; Lined - Accent 61"/>
    <w:basedOn w:val="a1"/>
    <w:uiPriority w:val="99"/>
    <w:rPr>
      <w:color w:val="404040"/>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1">
    <w:name w:val="Bordered1"/>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1">
    <w:name w:val="Bordered - Accent 1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1">
    <w:name w:val="Bordered - Accent 21"/>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1">
    <w:name w:val="Bordered - Accent 31"/>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1">
    <w:name w:val="Bordered - Accent 41"/>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1">
    <w:name w:val="Bordered - Accent 51"/>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1">
    <w:name w:val="Bordered - Accent 61"/>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33">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FB23C0A067FE866A8FC1678DD873038E6EA444DFCE681890E03495F7F50E5F5A58B540001CFCCE04B4A783215C41VDP"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customXml" Target="../customXml/item2.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FB23C0A067FE866A8FC1678DD873038E6EA444DFCE681890E03495F7F50E5F5A58B540001CFCCE04B4A783215C41VDP"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ntTable" Target="fontTable.xml"/><Relationship Id="rId10" Type="http://schemas.openxmlformats.org/officeDocument/2006/relationships/hyperlink" Target="consultantplus://offline/ref=FB23C0A067FE866A8FC1678DD873038E6EA444DFCE681890E03495F7F50E5F5A58B540001CFCCE04B4A783215C41VDP" TargetMode="External"/><Relationship Id="rId19" Type="http://schemas.openxmlformats.org/officeDocument/2006/relationships/hyperlink" Target="consultantplus://offline/ref=FB23C0A067FE866A8FC1678DD873038E6EA444DFCE681890E03495F7F50E5F5A58B540001CFCCE04B4A783215C41VDP"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CB89E8F-B2FC-4D31-BC79-7C3622BB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5230</Words>
  <Characters>29815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Сильянов А.М.</dc:creator>
  <cp:lastModifiedBy>Роман С. Парфенов</cp:lastModifiedBy>
  <cp:revision>4</cp:revision>
  <cp:lastPrinted>2026-07-21T07:11:00Z</cp:lastPrinted>
  <dcterms:created xsi:type="dcterms:W3CDTF">2026-07-21T07:04:00Z</dcterms:created>
  <dcterms:modified xsi:type="dcterms:W3CDTF">2026-07-21T07:25:00Z</dcterms:modified>
  <dc:language>ru-RU</dc:language>
</cp:coreProperties>
</file>