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108F" w14:textId="4D92DF67" w:rsidR="00DC6445" w:rsidRDefault="00F569D8" w:rsidP="00CF03F2">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34C54E0C" w:rsidR="00F569D8" w:rsidRDefault="00CF03F2" w:rsidP="00CF03F2">
      <w:pPr>
        <w:ind w:left="-709"/>
        <w:jc w:val="center"/>
        <w:rPr>
          <w:b/>
          <w:bCs/>
        </w:rPr>
      </w:pPr>
      <w:r>
        <w:rPr>
          <w:b/>
          <w:bCs/>
        </w:rPr>
        <w:t>на поставку</w:t>
      </w:r>
      <w:r w:rsidRPr="00CF03F2">
        <w:rPr>
          <w:b/>
          <w:bCs/>
        </w:rPr>
        <w:t xml:space="preserve"> </w:t>
      </w:r>
      <w:r w:rsidR="00DB537F">
        <w:rPr>
          <w:b/>
          <w:bCs/>
        </w:rPr>
        <w:t>мебели</w:t>
      </w:r>
    </w:p>
    <w:p w14:paraId="671929A2" w14:textId="682D8146" w:rsidR="00176708" w:rsidRDefault="00176708" w:rsidP="00CF03F2">
      <w:pPr>
        <w:ind w:left="-709"/>
        <w:jc w:val="center"/>
        <w:rPr>
          <w:b/>
          <w:bCs/>
        </w:rPr>
      </w:pPr>
      <w:r>
        <w:rPr>
          <w:b/>
          <w:bCs/>
        </w:rPr>
        <w:t xml:space="preserve">ИКЗ </w:t>
      </w:r>
      <w:r w:rsidR="003C0972" w:rsidRPr="003C0972">
        <w:rPr>
          <w:b/>
          <w:bCs/>
        </w:rPr>
        <w:t>261519005315951900100100163320000244</w:t>
      </w:r>
    </w:p>
    <w:p w14:paraId="667674C4" w14:textId="4744DC3F"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r w:rsidR="00D1369F">
        <w:rPr>
          <w:sz w:val="22"/>
          <w:szCs w:val="22"/>
        </w:rPr>
        <w:t xml:space="preserve">           </w:t>
      </w:r>
      <w:r w:rsidR="00DC6445">
        <w:rPr>
          <w:sz w:val="22"/>
          <w:szCs w:val="22"/>
        </w:rPr>
        <w:t xml:space="preserve"> </w:t>
      </w:r>
      <w:proofErr w:type="gramStart"/>
      <w:r w:rsidR="00DC6445">
        <w:rPr>
          <w:sz w:val="22"/>
          <w:szCs w:val="22"/>
        </w:rPr>
        <w:t xml:space="preserve">  </w:t>
      </w:r>
      <w:r w:rsidR="00A27662">
        <w:rPr>
          <w:sz w:val="22"/>
          <w:szCs w:val="22"/>
        </w:rPr>
        <w:t xml:space="preserve"> </w:t>
      </w:r>
      <w:r w:rsidRPr="0077346A">
        <w:rPr>
          <w:sz w:val="22"/>
          <w:szCs w:val="22"/>
        </w:rPr>
        <w:t>«</w:t>
      </w:r>
      <w:proofErr w:type="gramEnd"/>
      <w:r w:rsidR="00822669">
        <w:rPr>
          <w:sz w:val="22"/>
          <w:szCs w:val="22"/>
        </w:rPr>
        <w:t xml:space="preserve"> </w:t>
      </w:r>
      <w:r w:rsidR="00831ED0">
        <w:rPr>
          <w:sz w:val="22"/>
          <w:szCs w:val="22"/>
        </w:rPr>
        <w:t xml:space="preserve">      </w:t>
      </w:r>
      <w:r w:rsidRPr="0077346A">
        <w:rPr>
          <w:sz w:val="22"/>
          <w:szCs w:val="22"/>
        </w:rPr>
        <w:t>»</w:t>
      </w:r>
      <w:r w:rsidR="00DC6445">
        <w:rPr>
          <w:sz w:val="22"/>
          <w:szCs w:val="22"/>
        </w:rPr>
        <w:t xml:space="preserve"> </w:t>
      </w:r>
      <w:r w:rsidR="00D1369F">
        <w:rPr>
          <w:sz w:val="22"/>
          <w:szCs w:val="22"/>
        </w:rPr>
        <w:t>________</w:t>
      </w:r>
      <w:r w:rsidR="00DC6445">
        <w:rPr>
          <w:sz w:val="22"/>
          <w:szCs w:val="22"/>
        </w:rPr>
        <w:t xml:space="preserve"> </w:t>
      </w:r>
      <w:r w:rsidRPr="0077346A">
        <w:rPr>
          <w:sz w:val="22"/>
          <w:szCs w:val="22"/>
        </w:rPr>
        <w:t>20</w:t>
      </w:r>
      <w:r w:rsidR="00450C1F">
        <w:rPr>
          <w:sz w:val="22"/>
          <w:szCs w:val="22"/>
        </w:rPr>
        <w:t>2</w:t>
      </w:r>
      <w:r w:rsidR="0055422A">
        <w:rPr>
          <w:sz w:val="22"/>
          <w:szCs w:val="22"/>
        </w:rPr>
        <w:t>6</w:t>
      </w:r>
      <w:r w:rsidR="00831ED0">
        <w:rPr>
          <w:sz w:val="22"/>
          <w:szCs w:val="22"/>
        </w:rPr>
        <w:t xml:space="preserve"> </w:t>
      </w:r>
      <w:r w:rsidR="00DC6445">
        <w:rPr>
          <w:sz w:val="22"/>
          <w:szCs w:val="22"/>
        </w:rPr>
        <w:t>г.</w:t>
      </w:r>
    </w:p>
    <w:p w14:paraId="696A79E3" w14:textId="77777777" w:rsidR="00F569D8" w:rsidRPr="0077346A" w:rsidRDefault="00F569D8" w:rsidP="00F569D8">
      <w:pPr>
        <w:rPr>
          <w:sz w:val="22"/>
          <w:szCs w:val="22"/>
        </w:rPr>
      </w:pPr>
    </w:p>
    <w:p w14:paraId="34D2EEE1" w14:textId="104FE041"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в дальнейшем "Заказчик", в лице контрактного управляющего Лукинов</w:t>
      </w:r>
      <w:r w:rsidR="005E1D4A" w:rsidRPr="00D92D19">
        <w:t>ой</w:t>
      </w:r>
      <w:r w:rsidR="00683033" w:rsidRPr="00D92D19">
        <w:t xml:space="preserve"> Оксан</w:t>
      </w:r>
      <w:r w:rsidR="005E1D4A" w:rsidRPr="00D92D19">
        <w:t>ы</w:t>
      </w:r>
      <w:r w:rsidR="00683033" w:rsidRPr="00D92D19">
        <w:t xml:space="preserve"> Дмитриевн</w:t>
      </w:r>
      <w:r w:rsidR="005E1D4A" w:rsidRPr="00D92D19">
        <w:t>ы</w:t>
      </w:r>
      <w:r w:rsidRPr="00D92D19">
        <w:t xml:space="preserve">, действующего на основании Доверенности № </w:t>
      </w:r>
      <w:r w:rsidR="0055422A">
        <w:t>80</w:t>
      </w:r>
      <w:r w:rsidRPr="00D92D19">
        <w:t xml:space="preserve"> от "</w:t>
      </w:r>
      <w:r w:rsidR="0055422A">
        <w:t>11</w:t>
      </w:r>
      <w:r w:rsidRPr="00D92D19">
        <w:t xml:space="preserve">" </w:t>
      </w:r>
      <w:r w:rsidR="0055422A">
        <w:t>декабря</w:t>
      </w:r>
      <w:r w:rsidRPr="00D92D19">
        <w:t xml:space="preserve"> 202</w:t>
      </w:r>
      <w:r w:rsidR="005F189A" w:rsidRPr="00D92D19">
        <w:t>5</w:t>
      </w:r>
      <w:r w:rsidRPr="00D92D19">
        <w:t xml:space="preserve"> г.</w:t>
      </w:r>
      <w:r w:rsidR="00442E2C" w:rsidRPr="00D92D19">
        <w:t>,</w:t>
      </w:r>
      <w:r w:rsidR="00F569D8" w:rsidRPr="00D92D19">
        <w:t xml:space="preserve"> </w:t>
      </w:r>
      <w:r w:rsidRPr="00D92D19">
        <w:t>и</w:t>
      </w:r>
      <w:r w:rsidR="005E2089" w:rsidRPr="00D92D19">
        <w:t xml:space="preserve">  </w:t>
      </w:r>
      <w:r w:rsidR="0055422A">
        <w:t>______</w:t>
      </w:r>
      <w:r w:rsidR="007906FA">
        <w:t>,</w:t>
      </w:r>
      <w:r w:rsidR="005E2089" w:rsidRPr="00D85925">
        <w:t xml:space="preserve"> </w:t>
      </w:r>
      <w:r w:rsidR="007906FA">
        <w:t>именуемое</w:t>
      </w:r>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5422A">
        <w:t>_______________</w:t>
      </w:r>
      <w:r w:rsidR="001C25D6">
        <w:t xml:space="preserve">, действующего </w:t>
      </w:r>
      <w:r w:rsidRPr="00D85925">
        <w:t xml:space="preserve">на основании </w:t>
      </w:r>
      <w:r w:rsidR="0055422A">
        <w:t>__________________</w:t>
      </w:r>
      <w:r w:rsidR="001C25D6">
        <w:t>,</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DB537F" w:rsidRPr="00DB537F">
        <w:t xml:space="preserve">мебели </w:t>
      </w:r>
      <w:r w:rsidR="00F569D8" w:rsidRPr="00D92D19">
        <w:t>(далее – Договор) о нижеследующем:</w:t>
      </w:r>
    </w:p>
    <w:p w14:paraId="1B22F96B" w14:textId="77777777" w:rsidR="00F569D8" w:rsidRPr="00B54B7B" w:rsidRDefault="00F569D8" w:rsidP="00B54B7B">
      <w:pPr>
        <w:autoSpaceDE w:val="0"/>
        <w:autoSpaceDN w:val="0"/>
        <w:adjustRightInd w:val="0"/>
        <w:jc w:val="center"/>
        <w:rPr>
          <w:b/>
          <w:bCs/>
        </w:rPr>
      </w:pPr>
    </w:p>
    <w:p w14:paraId="27C742E2" w14:textId="77777777" w:rsidR="00F569D8" w:rsidRPr="00B54B7B" w:rsidRDefault="00F569D8" w:rsidP="00B54B7B">
      <w:pPr>
        <w:autoSpaceDE w:val="0"/>
        <w:autoSpaceDN w:val="0"/>
        <w:adjustRightInd w:val="0"/>
        <w:jc w:val="center"/>
        <w:rPr>
          <w:b/>
          <w:bCs/>
        </w:rPr>
      </w:pPr>
      <w:r w:rsidRPr="00B54B7B">
        <w:rPr>
          <w:b/>
          <w:bCs/>
        </w:rPr>
        <w:t>1. Предмет Договора</w:t>
      </w:r>
    </w:p>
    <w:p w14:paraId="225D96BE" w14:textId="4B976C9D"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DB537F" w:rsidRPr="00DB537F">
        <w:rPr>
          <w:rFonts w:eastAsia="Calibri"/>
        </w:rPr>
        <w:t xml:space="preserve">мебели </w:t>
      </w:r>
      <w:r w:rsidRPr="00831ED0">
        <w:t>(далее - Товар) в соответствии со Спецификацией (</w:t>
      </w:r>
      <w:hyperlink r:id="rId5"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4054EB15" w:rsidR="00F569D8" w:rsidRPr="00617B79" w:rsidRDefault="00F569D8" w:rsidP="00806CE4">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6" w:history="1">
        <w:r w:rsidRPr="00617B79">
          <w:t>приложение № 1</w:t>
        </w:r>
      </w:hyperlink>
      <w:r w:rsidRPr="00617B79">
        <w:t xml:space="preserve"> к Договору).</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1BD27CDF"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DB537F">
        <w:rPr>
          <w:b/>
          <w:bCs/>
        </w:rPr>
        <w:t>6</w:t>
      </w:r>
      <w:bookmarkStart w:id="0" w:name="_GoBack"/>
      <w:bookmarkEnd w:id="0"/>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165384F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55422A">
        <w:t xml:space="preserve"> </w:t>
      </w:r>
      <w:r w:rsidR="00D85925">
        <w:t xml:space="preserve"> </w:t>
      </w:r>
      <w:proofErr w:type="gramEnd"/>
      <w:r w:rsidR="00056A71" w:rsidRPr="00831ED0">
        <w:t>(</w:t>
      </w:r>
      <w:r w:rsidR="0055422A">
        <w:t xml:space="preserve"> </w:t>
      </w:r>
      <w:r w:rsidR="00056A71" w:rsidRPr="00831ED0">
        <w:t>)</w:t>
      </w:r>
      <w:r w:rsidR="009B0424">
        <w:t xml:space="preserve"> рублей</w:t>
      </w:r>
      <w:r w:rsidR="00056A71" w:rsidRPr="00831ED0">
        <w:t xml:space="preserve"> </w:t>
      </w:r>
      <w:r w:rsidR="0055422A">
        <w:t xml:space="preserve"> </w:t>
      </w:r>
      <w:r w:rsidR="00056A71" w:rsidRPr="00831ED0">
        <w:t xml:space="preserve"> копеек</w:t>
      </w:r>
      <w:r w:rsidR="00DC6445">
        <w:t xml:space="preserve">, </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7" w:history="1">
        <w:r w:rsidR="00BE1A9F" w:rsidRPr="00617B79">
          <w:rPr>
            <w:lang w:eastAsia="ru-RU"/>
          </w:rPr>
          <w:t>пунктами 2.5</w:t>
        </w:r>
      </w:hyperlink>
      <w:r w:rsidR="00BE1A9F" w:rsidRPr="00617B79">
        <w:rPr>
          <w:lang w:eastAsia="ru-RU"/>
        </w:rPr>
        <w:t xml:space="preserve"> и </w:t>
      </w:r>
      <w:hyperlink r:id="rId8"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lastRenderedPageBreak/>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lastRenderedPageBreak/>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189D24F8"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3C0972">
        <w:rPr>
          <w:lang w:eastAsia="ru-RU"/>
        </w:rPr>
        <w:t>10</w:t>
      </w:r>
      <w:r w:rsidR="00D1369F">
        <w:rPr>
          <w:lang w:eastAsia="ru-RU"/>
        </w:rPr>
        <w:t xml:space="preserve"> </w:t>
      </w:r>
      <w:r w:rsidR="00086DF6">
        <w:rPr>
          <w:lang w:eastAsia="ru-RU"/>
        </w:rPr>
        <w:t>календарных</w:t>
      </w:r>
      <w:r w:rsidR="007D703C">
        <w:rPr>
          <w:lang w:eastAsia="ru-RU"/>
        </w:rPr>
        <w:t xml:space="preserve"> дн</w:t>
      </w:r>
      <w:r w:rsidR="00DB537F">
        <w:rPr>
          <w:lang w:eastAsia="ru-RU"/>
        </w:rPr>
        <w:t>ей</w:t>
      </w:r>
      <w:r w:rsidR="007D703C">
        <w:rPr>
          <w:lang w:eastAsia="ru-RU"/>
        </w:rPr>
        <w:t xml:space="preserve"> с даты заключения Договора</w:t>
      </w:r>
      <w:r w:rsidR="00796C34" w:rsidRPr="00D92D19">
        <w:rPr>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lastRenderedPageBreak/>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lastRenderedPageBreak/>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6C8BEDF2" w14:textId="4F344DD5" w:rsidR="00213951" w:rsidRPr="00617B79" w:rsidRDefault="00213951" w:rsidP="00F569D8">
      <w:pPr>
        <w:autoSpaceDE w:val="0"/>
        <w:autoSpaceDN w:val="0"/>
        <w:adjustRightInd w:val="0"/>
        <w:jc w:val="both"/>
        <w:rPr>
          <w:rFonts w:eastAsia="Calibri"/>
          <w:color w:val="FF0000"/>
          <w:lang w:eastAsia="ru-RU"/>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EF7681F"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96C34">
        <w:t>на 202</w:t>
      </w:r>
      <w:r w:rsidR="007D703C">
        <w:t>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w:t>
      </w:r>
      <w:r w:rsidR="00F569D8" w:rsidRPr="00617B79">
        <w:rPr>
          <w:bCs/>
        </w:rPr>
        <w:lastRenderedPageBreak/>
        <w:t xml:space="preserve">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5B45EBE4"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806CE4">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152F1475"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F503F1">
        <w:t>31.12</w:t>
      </w:r>
      <w:r w:rsidR="00630870">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lastRenderedPageBreak/>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9"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6D793B89" w:rsidR="00F569D8"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5EEDD64D" w14:textId="77777777" w:rsidR="00173B82" w:rsidRPr="00F80EDA" w:rsidRDefault="00173B82" w:rsidP="00F569D8">
      <w:pPr>
        <w:autoSpaceDE w:val="0"/>
        <w:autoSpaceDN w:val="0"/>
        <w:adjustRightInd w:val="0"/>
        <w:jc w:val="both"/>
      </w:pPr>
    </w:p>
    <w:p w14:paraId="2E6D1019" w14:textId="65433897" w:rsidR="00F569D8"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p w14:paraId="5EDED2EB" w14:textId="77777777" w:rsidR="00173B82" w:rsidRPr="00F80EDA" w:rsidRDefault="00173B82"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F569D8" w:rsidRPr="00F80EDA" w14:paraId="206B778C" w14:textId="77777777" w:rsidTr="00173B82">
        <w:trPr>
          <w:trHeight w:val="428"/>
        </w:trPr>
        <w:tc>
          <w:tcPr>
            <w:tcW w:w="5245"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818"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173B82">
        <w:tc>
          <w:tcPr>
            <w:tcW w:w="5245"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818" w:type="dxa"/>
          </w:tcPr>
          <w:p w14:paraId="62BBE239" w14:textId="7BB13F02" w:rsidR="007906FA" w:rsidRPr="00F80EDA" w:rsidRDefault="007906FA" w:rsidP="00831ED0">
            <w:pPr>
              <w:autoSpaceDE w:val="0"/>
              <w:autoSpaceDN w:val="0"/>
              <w:adjustRightInd w:val="0"/>
              <w:jc w:val="center"/>
              <w:rPr>
                <w:b/>
                <w:bCs/>
                <w:sz w:val="22"/>
                <w:szCs w:val="22"/>
              </w:rPr>
            </w:pPr>
          </w:p>
        </w:tc>
      </w:tr>
      <w:tr w:rsidR="005B6BCA" w:rsidRPr="00F80EDA" w14:paraId="7144FE02" w14:textId="77777777" w:rsidTr="00173B82">
        <w:tc>
          <w:tcPr>
            <w:tcW w:w="5245" w:type="dxa"/>
          </w:tcPr>
          <w:p w14:paraId="026E08AC" w14:textId="77777777" w:rsidR="00173B82" w:rsidRDefault="00173B82" w:rsidP="00173B82">
            <w:pPr>
              <w:rPr>
                <w:rFonts w:eastAsia="Times New Roman"/>
                <w:sz w:val="22"/>
                <w:szCs w:val="22"/>
                <w:lang w:eastAsia="ru-RU"/>
              </w:rPr>
            </w:pPr>
          </w:p>
          <w:p w14:paraId="59A72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Юридический адрес: 183031, Российская Федерация, г. Мурманск, ул. Павлика Морозова, д. 6</w:t>
            </w:r>
          </w:p>
          <w:p w14:paraId="7C30EFDC"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Фактический адрес: 183031, Российская Федерация, г. Мурманск, ул. Павлика Морозова, д. 6</w:t>
            </w:r>
          </w:p>
          <w:p w14:paraId="7C6EBA3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ИНН 5190053159/ КПП 519001001</w:t>
            </w:r>
          </w:p>
          <w:p w14:paraId="3EE9B99A"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Лицевые счета 20496В00980,21496В00980,22496В00980 в Управлении Федерального казначейства по Нижегородской области</w:t>
            </w:r>
          </w:p>
          <w:p w14:paraId="27820D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Казначейский счет 03214643000000013212</w:t>
            </w:r>
          </w:p>
          <w:p w14:paraId="4352AF2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БИК 012202102 </w:t>
            </w:r>
          </w:p>
          <w:p w14:paraId="56169C86"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ОКЦ N 1 Волго-Вятского ГУ Банка России //УФК по Нижегородской области, г. Нижний Новгород</w:t>
            </w:r>
          </w:p>
          <w:p w14:paraId="3C7F985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Единый казначейский счет 40102810745370000024</w:t>
            </w:r>
          </w:p>
          <w:p w14:paraId="060455BE"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Код по сводному реестру 001В0098</w:t>
            </w:r>
          </w:p>
          <w:p w14:paraId="6F5A117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ОКПО: 21028652</w:t>
            </w:r>
          </w:p>
          <w:p w14:paraId="6D5D125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ОКОПФ-75103</w:t>
            </w:r>
          </w:p>
          <w:p w14:paraId="269492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ОКОГУ-1320760</w:t>
            </w:r>
          </w:p>
          <w:p w14:paraId="2CCAF9C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ОКФС-12</w:t>
            </w:r>
          </w:p>
          <w:p w14:paraId="01DDB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ОКАТО-47401000000 </w:t>
            </w:r>
          </w:p>
          <w:p w14:paraId="316308A4"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ОКТМО-47701000 </w:t>
            </w:r>
          </w:p>
          <w:p w14:paraId="3F4F4982"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ОГРН- 1157746943661 </w:t>
            </w:r>
          </w:p>
          <w:p w14:paraId="5FC3C71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ОКВЭД- 86.10; 86.21; 86.90.9; 86.23.</w:t>
            </w:r>
          </w:p>
          <w:p w14:paraId="74BA509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тел/факс 55-12-52, 55-12-22</w:t>
            </w:r>
          </w:p>
          <w:p w14:paraId="2AB1AAE3"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Электронная почта: mmc.zakup@yandex.ru</w:t>
            </w:r>
          </w:p>
          <w:p w14:paraId="7CF582A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Бухгалтерия</w:t>
            </w:r>
          </w:p>
          <w:p w14:paraId="71A15538" w14:textId="77777777" w:rsidR="00D1369F" w:rsidRPr="00562AA9" w:rsidRDefault="00D1369F" w:rsidP="00D1369F">
            <w:pPr>
              <w:rPr>
                <w:sz w:val="22"/>
              </w:rPr>
            </w:pPr>
            <w:r w:rsidRPr="00562AA9">
              <w:rPr>
                <w:rFonts w:eastAsia="Times New Roman"/>
                <w:sz w:val="22"/>
                <w:szCs w:val="21"/>
                <w:lang w:eastAsia="ru-RU"/>
              </w:rPr>
              <w:t>Тел: (815) 255-12-17</w:t>
            </w:r>
          </w:p>
          <w:p w14:paraId="6E75B693" w14:textId="77777777" w:rsidR="002B13CD" w:rsidRPr="00F80EDA" w:rsidRDefault="002B13CD" w:rsidP="002B13CD">
            <w:pPr>
              <w:rPr>
                <w:sz w:val="22"/>
                <w:szCs w:val="22"/>
              </w:rPr>
            </w:pPr>
          </w:p>
          <w:p w14:paraId="0204FDD1" w14:textId="1A84005E" w:rsidR="00F569D8" w:rsidRPr="00F80EDA" w:rsidRDefault="00F569D8" w:rsidP="003C0972">
            <w:pPr>
              <w:rPr>
                <w:sz w:val="22"/>
                <w:szCs w:val="22"/>
                <w:lang w:eastAsia="ru-RU"/>
              </w:rPr>
            </w:pPr>
          </w:p>
        </w:tc>
        <w:tc>
          <w:tcPr>
            <w:tcW w:w="4818" w:type="dxa"/>
          </w:tcPr>
          <w:p w14:paraId="50F2AB77" w14:textId="77777777" w:rsidR="002B13CD" w:rsidRPr="007906FA" w:rsidRDefault="002B13CD" w:rsidP="007906FA">
            <w:pPr>
              <w:rPr>
                <w:rFonts w:eastAsia="Times New Roman"/>
                <w:sz w:val="22"/>
                <w:szCs w:val="22"/>
                <w:lang w:eastAsia="ru-RU"/>
              </w:rPr>
            </w:pPr>
          </w:p>
          <w:p w14:paraId="50692987" w14:textId="77777777" w:rsidR="002B13CD" w:rsidRPr="007906FA" w:rsidRDefault="002B13CD" w:rsidP="007906FA">
            <w:pPr>
              <w:rPr>
                <w:rFonts w:eastAsia="Times New Roman"/>
                <w:sz w:val="22"/>
                <w:szCs w:val="22"/>
                <w:lang w:eastAsia="ru-RU"/>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02D6C6E2" w14:textId="77777777" w:rsidR="001C25D6" w:rsidRDefault="001C25D6" w:rsidP="00056A71">
            <w:pPr>
              <w:autoSpaceDE w:val="0"/>
              <w:autoSpaceDN w:val="0"/>
              <w:adjustRightInd w:val="0"/>
              <w:rPr>
                <w:sz w:val="22"/>
                <w:szCs w:val="22"/>
              </w:rPr>
            </w:pPr>
          </w:p>
          <w:p w14:paraId="66B1417A" w14:textId="77777777" w:rsidR="001C25D6" w:rsidRDefault="001C25D6" w:rsidP="00056A71">
            <w:pPr>
              <w:autoSpaceDE w:val="0"/>
              <w:autoSpaceDN w:val="0"/>
              <w:adjustRightInd w:val="0"/>
              <w:rPr>
                <w:sz w:val="22"/>
                <w:szCs w:val="22"/>
              </w:rPr>
            </w:pPr>
          </w:p>
          <w:p w14:paraId="13B6451D" w14:textId="77777777" w:rsidR="001C25D6" w:rsidRDefault="001C25D6" w:rsidP="00056A71">
            <w:pPr>
              <w:autoSpaceDE w:val="0"/>
              <w:autoSpaceDN w:val="0"/>
              <w:adjustRightInd w:val="0"/>
              <w:rPr>
                <w:sz w:val="22"/>
                <w:szCs w:val="22"/>
              </w:rPr>
            </w:pPr>
          </w:p>
          <w:p w14:paraId="2747318F" w14:textId="59CB38B2" w:rsidR="003A3AC2" w:rsidRPr="00D85925" w:rsidRDefault="003A3AC2" w:rsidP="00056A71">
            <w:pPr>
              <w:autoSpaceDE w:val="0"/>
              <w:autoSpaceDN w:val="0"/>
              <w:adjustRightInd w:val="0"/>
              <w:rPr>
                <w:sz w:val="22"/>
                <w:szCs w:val="22"/>
              </w:rPr>
            </w:pPr>
          </w:p>
        </w:tc>
      </w:tr>
      <w:tr w:rsidR="003C0972" w:rsidRPr="00F80EDA" w14:paraId="088395EA" w14:textId="77777777" w:rsidTr="00173B82">
        <w:tc>
          <w:tcPr>
            <w:tcW w:w="5245" w:type="dxa"/>
          </w:tcPr>
          <w:p w14:paraId="15CF1F9E" w14:textId="4C9D0E10" w:rsidR="003C0972" w:rsidRPr="003C0972" w:rsidRDefault="003C0972" w:rsidP="00173B82">
            <w:pPr>
              <w:rPr>
                <w:sz w:val="22"/>
                <w:szCs w:val="22"/>
              </w:rPr>
            </w:pPr>
            <w:r w:rsidRPr="00F80EDA">
              <w:rPr>
                <w:sz w:val="22"/>
                <w:szCs w:val="22"/>
              </w:rPr>
              <w:t>Контрактный управляющий</w:t>
            </w:r>
          </w:p>
        </w:tc>
        <w:tc>
          <w:tcPr>
            <w:tcW w:w="4818" w:type="dxa"/>
          </w:tcPr>
          <w:p w14:paraId="45FCA646" w14:textId="77777777" w:rsidR="003C0972" w:rsidRPr="007906FA" w:rsidRDefault="003C0972" w:rsidP="007906FA">
            <w:pPr>
              <w:rPr>
                <w:rFonts w:eastAsia="Times New Roman"/>
                <w:sz w:val="22"/>
                <w:szCs w:val="22"/>
                <w:lang w:eastAsia="ru-RU"/>
              </w:rPr>
            </w:pPr>
          </w:p>
        </w:tc>
      </w:tr>
      <w:tr w:rsidR="005B6BCA" w:rsidRPr="00F80EDA" w14:paraId="247498DA" w14:textId="77777777" w:rsidTr="00173B82">
        <w:tc>
          <w:tcPr>
            <w:tcW w:w="5245" w:type="dxa"/>
          </w:tcPr>
          <w:p w14:paraId="7B3F2EE1" w14:textId="59F7E28E" w:rsidR="00F569D8" w:rsidRPr="00F80EDA" w:rsidRDefault="00F569D8" w:rsidP="00056A71">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922249" w:rsidRPr="00F80EDA">
              <w:rPr>
                <w:sz w:val="22"/>
                <w:szCs w:val="22"/>
              </w:rPr>
              <w:t>О.Д. Лукинова</w:t>
            </w:r>
            <w:r w:rsidR="00056A71" w:rsidRPr="00F80EDA">
              <w:rPr>
                <w:sz w:val="22"/>
                <w:szCs w:val="22"/>
              </w:rPr>
              <w:t xml:space="preserve"> </w:t>
            </w:r>
            <w:r w:rsidR="005B6BCA" w:rsidRPr="00F80EDA">
              <w:rPr>
                <w:sz w:val="22"/>
                <w:szCs w:val="22"/>
              </w:rPr>
              <w:t>/</w:t>
            </w:r>
          </w:p>
        </w:tc>
        <w:tc>
          <w:tcPr>
            <w:tcW w:w="4818" w:type="dxa"/>
          </w:tcPr>
          <w:p w14:paraId="41F6645A" w14:textId="278049F3" w:rsidR="00F569D8" w:rsidRPr="00D85925" w:rsidRDefault="00F569D8" w:rsidP="0055422A">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55422A" w:rsidRPr="00D85925">
              <w:rPr>
                <w:sz w:val="22"/>
                <w:szCs w:val="22"/>
              </w:rPr>
              <w:t xml:space="preserve"> </w:t>
            </w:r>
            <w:r w:rsidR="005B6BCA" w:rsidRPr="00D85925">
              <w:rPr>
                <w:sz w:val="22"/>
                <w:szCs w:val="22"/>
              </w:rPr>
              <w:t>/</w:t>
            </w:r>
          </w:p>
        </w:tc>
      </w:tr>
      <w:tr w:rsidR="00F569D8" w:rsidRPr="00F80EDA" w14:paraId="2240A86D" w14:textId="77777777" w:rsidTr="00173B82">
        <w:tc>
          <w:tcPr>
            <w:tcW w:w="5245"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818"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134B18D3" w14:textId="77777777" w:rsidR="00DC6445" w:rsidRDefault="00DC6445" w:rsidP="006C6C88">
      <w:pPr>
        <w:jc w:val="right"/>
        <w:rPr>
          <w:sz w:val="22"/>
          <w:szCs w:val="22"/>
        </w:rPr>
      </w:pPr>
    </w:p>
    <w:p w14:paraId="0FC885D9" w14:textId="77777777" w:rsidR="00DC6445" w:rsidRDefault="00DC6445" w:rsidP="006C6C88">
      <w:pPr>
        <w:jc w:val="right"/>
        <w:rPr>
          <w:sz w:val="22"/>
          <w:szCs w:val="22"/>
        </w:rPr>
      </w:pPr>
    </w:p>
    <w:p w14:paraId="5DB34820" w14:textId="77777777" w:rsidR="00DC6445" w:rsidRDefault="00DC6445" w:rsidP="006C6C88">
      <w:pPr>
        <w:jc w:val="right"/>
        <w:rPr>
          <w:sz w:val="22"/>
          <w:szCs w:val="22"/>
        </w:rPr>
      </w:pPr>
    </w:p>
    <w:p w14:paraId="353BDC8A" w14:textId="77777777" w:rsidR="00DC6445" w:rsidRDefault="00DC6445" w:rsidP="006C6C88">
      <w:pPr>
        <w:jc w:val="right"/>
        <w:rPr>
          <w:sz w:val="22"/>
          <w:szCs w:val="22"/>
        </w:rPr>
      </w:pPr>
    </w:p>
    <w:p w14:paraId="12F55C33" w14:textId="77777777" w:rsidR="00DC6445" w:rsidRDefault="00DC6445" w:rsidP="006C6C88">
      <w:pPr>
        <w:jc w:val="right"/>
        <w:rPr>
          <w:sz w:val="22"/>
          <w:szCs w:val="22"/>
        </w:rPr>
      </w:pPr>
    </w:p>
    <w:p w14:paraId="237C5BBE" w14:textId="77777777" w:rsidR="00DC6445" w:rsidRDefault="00DC6445" w:rsidP="006C6C88">
      <w:pPr>
        <w:jc w:val="right"/>
        <w:rPr>
          <w:sz w:val="22"/>
          <w:szCs w:val="22"/>
        </w:rPr>
      </w:pPr>
    </w:p>
    <w:p w14:paraId="290A512C" w14:textId="77777777" w:rsidR="00DC6445" w:rsidRDefault="00DC6445" w:rsidP="006C6C88">
      <w:pPr>
        <w:jc w:val="right"/>
        <w:rPr>
          <w:sz w:val="22"/>
          <w:szCs w:val="22"/>
        </w:rPr>
      </w:pPr>
    </w:p>
    <w:p w14:paraId="627BF50D" w14:textId="0DD45C9A" w:rsidR="00D457ED" w:rsidRPr="00831ED0" w:rsidRDefault="00D457ED" w:rsidP="00DB537F">
      <w:pPr>
        <w:pageBreakBefore/>
        <w:jc w:val="right"/>
        <w:rPr>
          <w:sz w:val="22"/>
          <w:szCs w:val="22"/>
        </w:rPr>
      </w:pPr>
      <w:r w:rsidRPr="00831ED0">
        <w:rPr>
          <w:sz w:val="22"/>
          <w:szCs w:val="22"/>
        </w:rPr>
        <w:lastRenderedPageBreak/>
        <w:t xml:space="preserve">Приложение №1 </w:t>
      </w:r>
    </w:p>
    <w:p w14:paraId="4BC5AAAC" w14:textId="7FA1C2F8"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7411B70E" w:rsidR="00865410" w:rsidRPr="00822669" w:rsidRDefault="00D457ED" w:rsidP="00D457ED">
      <w:pPr>
        <w:jc w:val="right"/>
        <w:rPr>
          <w:sz w:val="22"/>
          <w:szCs w:val="22"/>
        </w:rPr>
      </w:pPr>
      <w:r w:rsidRPr="00831ED0">
        <w:rPr>
          <w:sz w:val="22"/>
          <w:szCs w:val="22"/>
        </w:rPr>
        <w:t xml:space="preserve">от </w:t>
      </w:r>
      <w:proofErr w:type="gramStart"/>
      <w:r w:rsidR="00831ED0" w:rsidRPr="00831ED0">
        <w:rPr>
          <w:sz w:val="22"/>
          <w:szCs w:val="22"/>
        </w:rPr>
        <w:t xml:space="preserve">«  </w:t>
      </w:r>
      <w:proofErr w:type="gramEnd"/>
      <w:r w:rsidR="00831ED0" w:rsidRPr="00831ED0">
        <w:rPr>
          <w:sz w:val="22"/>
          <w:szCs w:val="22"/>
        </w:rPr>
        <w:t xml:space="preserve">  » </w:t>
      </w:r>
      <w:r w:rsidR="00D1369F">
        <w:rPr>
          <w:sz w:val="22"/>
          <w:szCs w:val="22"/>
        </w:rPr>
        <w:t>___________</w:t>
      </w:r>
      <w:r w:rsidR="00F64B2A" w:rsidRPr="00831ED0">
        <w:rPr>
          <w:sz w:val="22"/>
          <w:szCs w:val="22"/>
        </w:rPr>
        <w:t xml:space="preserve"> </w:t>
      </w:r>
      <w:r w:rsidR="00822669" w:rsidRPr="00831ED0">
        <w:rPr>
          <w:sz w:val="22"/>
          <w:szCs w:val="22"/>
        </w:rPr>
        <w:t>20</w:t>
      </w:r>
      <w:r w:rsidRPr="00831ED0">
        <w:rPr>
          <w:sz w:val="22"/>
          <w:szCs w:val="22"/>
        </w:rPr>
        <w:t>2</w:t>
      </w:r>
      <w:r w:rsidR="0055422A">
        <w:rPr>
          <w:sz w:val="22"/>
          <w:szCs w:val="22"/>
        </w:rPr>
        <w:t>6</w:t>
      </w:r>
      <w:r w:rsidR="00831ED0" w:rsidRPr="00831ED0">
        <w:rPr>
          <w:sz w:val="22"/>
          <w:szCs w:val="22"/>
        </w:rPr>
        <w:t xml:space="preserve"> </w:t>
      </w:r>
      <w:r w:rsidRPr="00831ED0">
        <w:rPr>
          <w:sz w:val="22"/>
          <w:szCs w:val="22"/>
        </w:rPr>
        <w:t>г.</w:t>
      </w:r>
    </w:p>
    <w:p w14:paraId="45D929A5" w14:textId="77777777" w:rsidR="00D457ED" w:rsidRPr="009055F9" w:rsidRDefault="00D457ED" w:rsidP="00D457ED">
      <w:pPr>
        <w:jc w:val="right"/>
        <w:rPr>
          <w:sz w:val="22"/>
          <w:szCs w:val="22"/>
        </w:rPr>
      </w:pPr>
    </w:p>
    <w:p w14:paraId="371F82E6" w14:textId="77777777" w:rsidR="00D457ED" w:rsidRPr="009055F9" w:rsidRDefault="00D457ED" w:rsidP="00D457ED">
      <w:pPr>
        <w:jc w:val="right"/>
        <w:rPr>
          <w:sz w:val="22"/>
          <w:szCs w:val="22"/>
        </w:rPr>
      </w:pPr>
    </w:p>
    <w:p w14:paraId="4EED70DE" w14:textId="77777777" w:rsidR="00D457ED" w:rsidRPr="009055F9" w:rsidRDefault="00D457ED" w:rsidP="00D457ED">
      <w:pPr>
        <w:jc w:val="right"/>
        <w:rPr>
          <w:sz w:val="22"/>
          <w:szCs w:val="22"/>
        </w:rPr>
      </w:pPr>
    </w:p>
    <w:p w14:paraId="060FE126" w14:textId="77777777" w:rsidR="00D457ED" w:rsidRPr="009055F9" w:rsidRDefault="00D457ED" w:rsidP="00D457ED">
      <w:pPr>
        <w:jc w:val="right"/>
        <w:rPr>
          <w:sz w:val="22"/>
          <w:szCs w:val="22"/>
        </w:rPr>
      </w:pPr>
    </w:p>
    <w:p w14:paraId="100EEE89" w14:textId="77777777" w:rsidR="00D457ED" w:rsidRPr="009055F9" w:rsidRDefault="00D457ED" w:rsidP="00D457ED">
      <w:pPr>
        <w:jc w:val="right"/>
        <w:rPr>
          <w:sz w:val="22"/>
          <w:szCs w:val="22"/>
        </w:rPr>
      </w:pPr>
    </w:p>
    <w:p w14:paraId="27E1A8A1" w14:textId="77777777" w:rsidR="00D457ED" w:rsidRPr="009055F9" w:rsidRDefault="00D457ED" w:rsidP="00D457ED">
      <w:pPr>
        <w:jc w:val="right"/>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90"/>
        <w:gridCol w:w="5670"/>
        <w:gridCol w:w="992"/>
        <w:gridCol w:w="709"/>
        <w:gridCol w:w="992"/>
        <w:gridCol w:w="1307"/>
      </w:tblGrid>
      <w:tr w:rsidR="00951D84" w:rsidRPr="00F64B2A" w14:paraId="664FC43D" w14:textId="77777777" w:rsidTr="00DC6445">
        <w:trPr>
          <w:trHeight w:val="330"/>
        </w:trPr>
        <w:tc>
          <w:tcPr>
            <w:tcW w:w="390"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670"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992"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709"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92" w:type="dxa"/>
            <w:vAlign w:val="center"/>
            <w:hideMark/>
          </w:tcPr>
          <w:p w14:paraId="3F0F1B6B" w14:textId="5DFCD33B" w:rsidR="00951D84" w:rsidRPr="00F64B2A" w:rsidRDefault="00951D84" w:rsidP="00DC6445">
            <w:pPr>
              <w:jc w:val="center"/>
              <w:rPr>
                <w:b/>
                <w:bCs/>
                <w:sz w:val="20"/>
                <w:szCs w:val="20"/>
              </w:rPr>
            </w:pPr>
            <w:r w:rsidRPr="00F64B2A">
              <w:rPr>
                <w:b/>
                <w:bCs/>
                <w:sz w:val="20"/>
                <w:szCs w:val="20"/>
              </w:rPr>
              <w:t>Цена</w:t>
            </w:r>
            <w:r>
              <w:rPr>
                <w:b/>
                <w:bCs/>
                <w:sz w:val="20"/>
                <w:szCs w:val="20"/>
              </w:rPr>
              <w:t>, руб</w:t>
            </w:r>
            <w:r w:rsidR="00DC6445">
              <w:rPr>
                <w:b/>
                <w:bCs/>
                <w:sz w:val="20"/>
                <w:szCs w:val="20"/>
              </w:rPr>
              <w:t xml:space="preserve">. без </w:t>
            </w:r>
            <w:r>
              <w:rPr>
                <w:b/>
                <w:bCs/>
                <w:sz w:val="20"/>
                <w:szCs w:val="20"/>
              </w:rPr>
              <w:t>НДС</w:t>
            </w:r>
          </w:p>
        </w:tc>
        <w:tc>
          <w:tcPr>
            <w:tcW w:w="1307" w:type="dxa"/>
            <w:vAlign w:val="center"/>
            <w:hideMark/>
          </w:tcPr>
          <w:p w14:paraId="0C6DAB42" w14:textId="437E9F62" w:rsidR="00951D84" w:rsidRPr="00F64B2A" w:rsidRDefault="00951D84" w:rsidP="00FC3E77">
            <w:pPr>
              <w:jc w:val="center"/>
              <w:rPr>
                <w:b/>
                <w:bCs/>
                <w:sz w:val="20"/>
                <w:szCs w:val="20"/>
              </w:rPr>
            </w:pPr>
            <w:r>
              <w:rPr>
                <w:b/>
                <w:bCs/>
                <w:sz w:val="20"/>
                <w:szCs w:val="20"/>
              </w:rPr>
              <w:t>Сумма</w:t>
            </w:r>
            <w:r w:rsidR="00DC6445">
              <w:rPr>
                <w:b/>
                <w:bCs/>
                <w:sz w:val="20"/>
                <w:szCs w:val="20"/>
              </w:rPr>
              <w:t>, руб. без НДС</w:t>
            </w:r>
          </w:p>
        </w:tc>
      </w:tr>
      <w:tr w:rsidR="00086DF6" w:rsidRPr="00F64B2A" w14:paraId="0CF1DC61" w14:textId="77777777" w:rsidTr="00086DF6">
        <w:tc>
          <w:tcPr>
            <w:tcW w:w="390" w:type="dxa"/>
            <w:tcBorders>
              <w:bottom w:val="single" w:sz="4" w:space="0" w:color="auto"/>
            </w:tcBorders>
            <w:vAlign w:val="center"/>
          </w:tcPr>
          <w:p w14:paraId="0101B292" w14:textId="15742BFD" w:rsidR="00086DF6" w:rsidRDefault="00086DF6" w:rsidP="00086DF6">
            <w:pPr>
              <w:jc w:val="center"/>
              <w:rPr>
                <w:sz w:val="20"/>
                <w:szCs w:val="20"/>
              </w:rPr>
            </w:pPr>
            <w:r>
              <w:rPr>
                <w:sz w:val="20"/>
                <w:szCs w:val="20"/>
              </w:rPr>
              <w:t>1</w:t>
            </w:r>
          </w:p>
        </w:tc>
        <w:tc>
          <w:tcPr>
            <w:tcW w:w="5670" w:type="dxa"/>
            <w:tcBorders>
              <w:bottom w:val="single" w:sz="4" w:space="0" w:color="auto"/>
            </w:tcBorders>
          </w:tcPr>
          <w:p w14:paraId="76A630CB" w14:textId="119C1F96" w:rsidR="003C0972" w:rsidRPr="00577FE8" w:rsidRDefault="003C0972" w:rsidP="003C0972">
            <w:pPr>
              <w:rPr>
                <w:b/>
                <w:u w:val="single"/>
              </w:rPr>
            </w:pPr>
            <w:r w:rsidRPr="00577FE8">
              <w:rPr>
                <w:b/>
                <w:u w:val="single"/>
              </w:rPr>
              <w:t xml:space="preserve">Шкаф металлический 2-х секционный усиленный </w:t>
            </w:r>
            <w:r>
              <w:rPr>
                <w:b/>
                <w:u w:val="single"/>
                <w:lang w:val="en-US"/>
              </w:rPr>
              <w:t>LK</w:t>
            </w:r>
            <w:r w:rsidRPr="00577FE8">
              <w:rPr>
                <w:b/>
                <w:u w:val="single"/>
              </w:rPr>
              <w:t xml:space="preserve">-21-60 </w:t>
            </w:r>
            <w:r>
              <w:rPr>
                <w:b/>
                <w:u w:val="single"/>
              </w:rPr>
              <w:t>Усиленный</w:t>
            </w:r>
          </w:p>
          <w:p w14:paraId="60AAD6A0" w14:textId="77777777" w:rsidR="003C0972" w:rsidRPr="00577FE8" w:rsidRDefault="003C0972" w:rsidP="003C0972">
            <w:r w:rsidRPr="00577FE8">
              <w:t>Кол-во ячеек/отделений</w:t>
            </w:r>
            <w:r w:rsidRPr="00577FE8">
              <w:tab/>
              <w:t>2</w:t>
            </w:r>
          </w:p>
          <w:p w14:paraId="14F8B422" w14:textId="459677C6" w:rsidR="003C0972" w:rsidRPr="00577FE8" w:rsidRDefault="003C0972" w:rsidP="003C0972">
            <w:r w:rsidRPr="00577FE8">
              <w:t>Размеры (В×Ш×Г)</w:t>
            </w:r>
            <w:r w:rsidRPr="00577FE8">
              <w:tab/>
              <w:t>1</w:t>
            </w:r>
            <w:r>
              <w:t>83</w:t>
            </w:r>
            <w:r w:rsidRPr="00577FE8">
              <w:t>0×600×500 мм</w:t>
            </w:r>
          </w:p>
          <w:p w14:paraId="392C3AEB" w14:textId="2423476F" w:rsidR="00DB537F" w:rsidRPr="00086DF6" w:rsidRDefault="003C0972" w:rsidP="003C0972">
            <w:pPr>
              <w:rPr>
                <w:sz w:val="22"/>
              </w:rPr>
            </w:pPr>
            <w:r w:rsidRPr="00577FE8">
              <w:t>Материал изготовления</w:t>
            </w:r>
            <w:r w:rsidRPr="00577FE8">
              <w:tab/>
              <w:t>металл</w:t>
            </w:r>
          </w:p>
        </w:tc>
        <w:tc>
          <w:tcPr>
            <w:tcW w:w="992" w:type="dxa"/>
            <w:tcBorders>
              <w:bottom w:val="single" w:sz="4" w:space="0" w:color="auto"/>
            </w:tcBorders>
            <w:vAlign w:val="center"/>
          </w:tcPr>
          <w:p w14:paraId="70DD25D5" w14:textId="3394E9E3" w:rsidR="00086DF6" w:rsidRPr="00086DF6" w:rsidRDefault="003C0972" w:rsidP="00086DF6">
            <w:pPr>
              <w:jc w:val="center"/>
              <w:rPr>
                <w:color w:val="000000"/>
                <w:sz w:val="22"/>
                <w:szCs w:val="22"/>
              </w:rPr>
            </w:pPr>
            <w:r>
              <w:rPr>
                <w:color w:val="000000"/>
                <w:sz w:val="22"/>
                <w:szCs w:val="22"/>
              </w:rPr>
              <w:t>9</w:t>
            </w:r>
          </w:p>
        </w:tc>
        <w:tc>
          <w:tcPr>
            <w:tcW w:w="709" w:type="dxa"/>
            <w:tcBorders>
              <w:bottom w:val="single" w:sz="4" w:space="0" w:color="auto"/>
            </w:tcBorders>
            <w:vAlign w:val="center"/>
          </w:tcPr>
          <w:p w14:paraId="6F014739" w14:textId="4140608F" w:rsidR="00086DF6" w:rsidRPr="00086DF6" w:rsidRDefault="00086DF6" w:rsidP="00086DF6">
            <w:pPr>
              <w:jc w:val="center"/>
              <w:rPr>
                <w:color w:val="000000"/>
                <w:sz w:val="22"/>
                <w:szCs w:val="22"/>
              </w:rPr>
            </w:pPr>
            <w:proofErr w:type="spellStart"/>
            <w:r w:rsidRPr="00086DF6">
              <w:rPr>
                <w:color w:val="000000"/>
                <w:sz w:val="22"/>
                <w:szCs w:val="22"/>
              </w:rPr>
              <w:t>шт</w:t>
            </w:r>
            <w:proofErr w:type="spellEnd"/>
          </w:p>
        </w:tc>
        <w:tc>
          <w:tcPr>
            <w:tcW w:w="992" w:type="dxa"/>
            <w:tcBorders>
              <w:bottom w:val="single" w:sz="4" w:space="0" w:color="auto"/>
            </w:tcBorders>
            <w:vAlign w:val="center"/>
          </w:tcPr>
          <w:p w14:paraId="1F1656D0" w14:textId="77777777" w:rsidR="00086DF6" w:rsidRPr="00DC6445" w:rsidRDefault="00086DF6" w:rsidP="00086DF6">
            <w:pPr>
              <w:jc w:val="center"/>
              <w:rPr>
                <w:color w:val="000000"/>
                <w:sz w:val="20"/>
                <w:szCs w:val="22"/>
              </w:rPr>
            </w:pPr>
          </w:p>
        </w:tc>
        <w:tc>
          <w:tcPr>
            <w:tcW w:w="1307" w:type="dxa"/>
            <w:tcBorders>
              <w:bottom w:val="single" w:sz="4" w:space="0" w:color="auto"/>
            </w:tcBorders>
            <w:vAlign w:val="center"/>
          </w:tcPr>
          <w:p w14:paraId="370D1BD7" w14:textId="77777777" w:rsidR="00086DF6" w:rsidRPr="00DC6445" w:rsidRDefault="00086DF6" w:rsidP="00086DF6">
            <w:pPr>
              <w:jc w:val="center"/>
              <w:rPr>
                <w:color w:val="000000"/>
                <w:sz w:val="20"/>
                <w:szCs w:val="22"/>
              </w:rPr>
            </w:pPr>
          </w:p>
        </w:tc>
      </w:tr>
      <w:tr w:rsidR="00951D84" w:rsidRPr="00F64B2A" w14:paraId="0E1C6912" w14:textId="77777777" w:rsidTr="00DC6445">
        <w:trPr>
          <w:trHeight w:val="510"/>
        </w:trPr>
        <w:tc>
          <w:tcPr>
            <w:tcW w:w="390" w:type="dxa"/>
            <w:tcBorders>
              <w:top w:val="single" w:sz="4" w:space="0" w:color="auto"/>
              <w:left w:val="nil"/>
              <w:bottom w:val="nil"/>
              <w:right w:val="nil"/>
            </w:tcBorders>
            <w:vAlign w:val="center"/>
          </w:tcPr>
          <w:p w14:paraId="05378E2F" w14:textId="77777777" w:rsidR="00951D84" w:rsidRPr="00F64B2A" w:rsidRDefault="00951D84" w:rsidP="00FC3E77">
            <w:pPr>
              <w:jc w:val="right"/>
              <w:rPr>
                <w:sz w:val="20"/>
                <w:szCs w:val="20"/>
              </w:rPr>
            </w:pPr>
          </w:p>
        </w:tc>
        <w:tc>
          <w:tcPr>
            <w:tcW w:w="7371" w:type="dxa"/>
            <w:gridSpan w:val="3"/>
            <w:tcBorders>
              <w:top w:val="single" w:sz="4" w:space="0" w:color="auto"/>
              <w:left w:val="nil"/>
              <w:bottom w:val="nil"/>
              <w:right w:val="nil"/>
            </w:tcBorders>
            <w:vAlign w:val="center"/>
          </w:tcPr>
          <w:p w14:paraId="3F5642CB" w14:textId="77777777" w:rsidR="00951D84" w:rsidRPr="005D7832" w:rsidRDefault="00951D84" w:rsidP="00FC3E77">
            <w:pPr>
              <w:jc w:val="right"/>
              <w:rPr>
                <w:b/>
                <w:bCs/>
                <w:sz w:val="22"/>
                <w:szCs w:val="22"/>
              </w:rPr>
            </w:pPr>
          </w:p>
          <w:p w14:paraId="6B4D358B" w14:textId="77777777" w:rsidR="00951D84" w:rsidRPr="005D7832" w:rsidRDefault="00951D84" w:rsidP="00FC3E77">
            <w:pPr>
              <w:jc w:val="right"/>
              <w:rPr>
                <w:b/>
                <w:bCs/>
                <w:sz w:val="22"/>
                <w:szCs w:val="22"/>
              </w:rPr>
            </w:pPr>
            <w:r w:rsidRPr="005D7832">
              <w:rPr>
                <w:b/>
                <w:bCs/>
                <w:sz w:val="22"/>
                <w:szCs w:val="22"/>
              </w:rPr>
              <w:t>ИТОГО:</w:t>
            </w:r>
          </w:p>
          <w:p w14:paraId="0C0C007F" w14:textId="13DBF593" w:rsidR="00951D84" w:rsidRPr="005D7832" w:rsidRDefault="00DC6445" w:rsidP="00DC6445">
            <w:pPr>
              <w:jc w:val="right"/>
              <w:rPr>
                <w:sz w:val="20"/>
                <w:szCs w:val="20"/>
              </w:rPr>
            </w:pPr>
            <w:r>
              <w:rPr>
                <w:sz w:val="22"/>
                <w:szCs w:val="22"/>
              </w:rPr>
              <w:t xml:space="preserve">Без </w:t>
            </w:r>
            <w:r w:rsidR="00951D84" w:rsidRPr="005D7832">
              <w:rPr>
                <w:sz w:val="22"/>
                <w:szCs w:val="22"/>
              </w:rPr>
              <w:t>НДС</w:t>
            </w:r>
          </w:p>
        </w:tc>
        <w:tc>
          <w:tcPr>
            <w:tcW w:w="992" w:type="dxa"/>
            <w:tcBorders>
              <w:top w:val="single" w:sz="4" w:space="0" w:color="auto"/>
              <w:left w:val="nil"/>
              <w:bottom w:val="nil"/>
              <w:right w:val="nil"/>
            </w:tcBorders>
            <w:vAlign w:val="center"/>
          </w:tcPr>
          <w:p w14:paraId="2489D6B7" w14:textId="0CFC92B9" w:rsidR="00951D84" w:rsidRPr="00DC6445" w:rsidRDefault="00951D84" w:rsidP="00FC3E77">
            <w:pPr>
              <w:jc w:val="right"/>
              <w:rPr>
                <w:b/>
                <w:sz w:val="22"/>
                <w:szCs w:val="22"/>
              </w:rPr>
            </w:pPr>
          </w:p>
        </w:tc>
        <w:tc>
          <w:tcPr>
            <w:tcW w:w="1307" w:type="dxa"/>
            <w:tcBorders>
              <w:top w:val="single" w:sz="4" w:space="0" w:color="auto"/>
              <w:left w:val="nil"/>
              <w:bottom w:val="nil"/>
              <w:right w:val="nil"/>
            </w:tcBorders>
            <w:vAlign w:val="center"/>
          </w:tcPr>
          <w:p w14:paraId="56FEF57C" w14:textId="77777777" w:rsidR="00951D84" w:rsidRPr="005D7832" w:rsidRDefault="00951D84" w:rsidP="00FC3E77">
            <w:pPr>
              <w:jc w:val="right"/>
              <w:rPr>
                <w:sz w:val="22"/>
                <w:szCs w:val="22"/>
              </w:rPr>
            </w:pPr>
          </w:p>
        </w:tc>
      </w:tr>
    </w:tbl>
    <w:p w14:paraId="7B9823AE" w14:textId="77777777" w:rsidR="00F64B2A" w:rsidRDefault="00F64B2A" w:rsidP="00865410">
      <w:pPr>
        <w:jc w:val="center"/>
        <w:rPr>
          <w:sz w:val="22"/>
          <w:szCs w:val="22"/>
        </w:rPr>
      </w:pPr>
    </w:p>
    <w:p w14:paraId="5B617B50" w14:textId="77777777" w:rsidR="007A5D78" w:rsidRDefault="007A5D78" w:rsidP="00865410">
      <w:pPr>
        <w:jc w:val="center"/>
        <w:rPr>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3C0972" w:rsidRPr="007906FA" w14:paraId="3DA3305D" w14:textId="77777777" w:rsidTr="00FB1B48">
        <w:tc>
          <w:tcPr>
            <w:tcW w:w="5245" w:type="dxa"/>
          </w:tcPr>
          <w:p w14:paraId="02B221BA" w14:textId="77777777" w:rsidR="003C0972" w:rsidRPr="003C0972" w:rsidRDefault="003C0972" w:rsidP="00FB1B48">
            <w:pPr>
              <w:rPr>
                <w:sz w:val="22"/>
                <w:szCs w:val="22"/>
              </w:rPr>
            </w:pPr>
            <w:r w:rsidRPr="00F80EDA">
              <w:rPr>
                <w:sz w:val="22"/>
                <w:szCs w:val="22"/>
              </w:rPr>
              <w:t>Контрактный управляющий</w:t>
            </w:r>
          </w:p>
        </w:tc>
        <w:tc>
          <w:tcPr>
            <w:tcW w:w="4818" w:type="dxa"/>
          </w:tcPr>
          <w:p w14:paraId="06C48EB3" w14:textId="77777777" w:rsidR="003C0972" w:rsidRPr="007906FA" w:rsidRDefault="003C0972" w:rsidP="00FB1B48">
            <w:pPr>
              <w:rPr>
                <w:rFonts w:eastAsia="Times New Roman"/>
                <w:sz w:val="22"/>
                <w:szCs w:val="22"/>
                <w:lang w:eastAsia="ru-RU"/>
              </w:rPr>
            </w:pPr>
          </w:p>
        </w:tc>
      </w:tr>
      <w:tr w:rsidR="003C0972" w:rsidRPr="00D85925" w14:paraId="1D9AB31A" w14:textId="77777777" w:rsidTr="00FB1B48">
        <w:tc>
          <w:tcPr>
            <w:tcW w:w="5245" w:type="dxa"/>
          </w:tcPr>
          <w:p w14:paraId="38832742" w14:textId="77777777" w:rsidR="003C0972" w:rsidRPr="00F80EDA" w:rsidRDefault="003C0972" w:rsidP="00FB1B48">
            <w:pPr>
              <w:autoSpaceDE w:val="0"/>
              <w:autoSpaceDN w:val="0"/>
              <w:adjustRightInd w:val="0"/>
              <w:rPr>
                <w:sz w:val="22"/>
                <w:szCs w:val="22"/>
              </w:rPr>
            </w:pPr>
            <w:r w:rsidRPr="00F80EDA">
              <w:rPr>
                <w:sz w:val="22"/>
                <w:szCs w:val="22"/>
              </w:rPr>
              <w:t>__________________ /О.Д. Лукинова /</w:t>
            </w:r>
          </w:p>
        </w:tc>
        <w:tc>
          <w:tcPr>
            <w:tcW w:w="4818" w:type="dxa"/>
          </w:tcPr>
          <w:p w14:paraId="1A85E479" w14:textId="77777777" w:rsidR="003C0972" w:rsidRPr="00D85925" w:rsidRDefault="003C0972" w:rsidP="00FB1B48">
            <w:pPr>
              <w:autoSpaceDE w:val="0"/>
              <w:autoSpaceDN w:val="0"/>
              <w:adjustRightInd w:val="0"/>
              <w:rPr>
                <w:b/>
                <w:bCs/>
                <w:sz w:val="22"/>
                <w:szCs w:val="22"/>
              </w:rPr>
            </w:pPr>
            <w:r w:rsidRPr="00D85925">
              <w:rPr>
                <w:sz w:val="22"/>
                <w:szCs w:val="22"/>
              </w:rPr>
              <w:t>__________________/ /</w:t>
            </w:r>
          </w:p>
        </w:tc>
      </w:tr>
      <w:tr w:rsidR="003C0972" w:rsidRPr="00D85925" w14:paraId="4282ACED" w14:textId="77777777" w:rsidTr="00FB1B48">
        <w:tc>
          <w:tcPr>
            <w:tcW w:w="5245" w:type="dxa"/>
          </w:tcPr>
          <w:p w14:paraId="52D5A850" w14:textId="77777777" w:rsidR="003C0972" w:rsidRPr="00F80EDA" w:rsidRDefault="003C0972" w:rsidP="00FB1B48">
            <w:pPr>
              <w:autoSpaceDE w:val="0"/>
              <w:autoSpaceDN w:val="0"/>
              <w:adjustRightInd w:val="0"/>
              <w:rPr>
                <w:sz w:val="22"/>
                <w:szCs w:val="22"/>
              </w:rPr>
            </w:pPr>
            <w:r w:rsidRPr="00F80EDA">
              <w:rPr>
                <w:sz w:val="22"/>
                <w:szCs w:val="22"/>
              </w:rPr>
              <w:t>М.П.</w:t>
            </w:r>
          </w:p>
        </w:tc>
        <w:tc>
          <w:tcPr>
            <w:tcW w:w="4818" w:type="dxa"/>
          </w:tcPr>
          <w:p w14:paraId="69A6E3EB" w14:textId="77777777" w:rsidR="003C0972" w:rsidRPr="00D85925" w:rsidRDefault="003C0972" w:rsidP="00FB1B48">
            <w:pPr>
              <w:autoSpaceDE w:val="0"/>
              <w:autoSpaceDN w:val="0"/>
              <w:adjustRightInd w:val="0"/>
              <w:jc w:val="center"/>
              <w:rPr>
                <w:b/>
                <w:bCs/>
                <w:sz w:val="22"/>
                <w:szCs w:val="22"/>
              </w:rPr>
            </w:pPr>
            <w:r w:rsidRPr="00D85925">
              <w:rPr>
                <w:sz w:val="22"/>
                <w:szCs w:val="22"/>
              </w:rPr>
              <w:t>М.П.</w:t>
            </w:r>
          </w:p>
        </w:tc>
      </w:tr>
    </w:tbl>
    <w:p w14:paraId="170EFE6F" w14:textId="77777777" w:rsidR="00D457ED" w:rsidRPr="009055F9" w:rsidRDefault="00D457ED" w:rsidP="00865410">
      <w:pPr>
        <w:jc w:val="center"/>
        <w:rPr>
          <w:sz w:val="22"/>
          <w:szCs w:val="22"/>
        </w:rPr>
      </w:pPr>
    </w:p>
    <w:p w14:paraId="7FB3E282" w14:textId="34C8D54D" w:rsidR="00A23670" w:rsidRDefault="00A23670" w:rsidP="00A27662">
      <w:pPr>
        <w:jc w:val="right"/>
        <w:rPr>
          <w:sz w:val="22"/>
          <w:szCs w:val="22"/>
        </w:rPr>
      </w:pPr>
    </w:p>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F2FE3"/>
    <w:multiLevelType w:val="hybridMultilevel"/>
    <w:tmpl w:val="6B923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3578F"/>
    <w:rsid w:val="00043B0A"/>
    <w:rsid w:val="00056A71"/>
    <w:rsid w:val="00077632"/>
    <w:rsid w:val="00077814"/>
    <w:rsid w:val="00086DF6"/>
    <w:rsid w:val="0009647B"/>
    <w:rsid w:val="000A1716"/>
    <w:rsid w:val="00122FAD"/>
    <w:rsid w:val="001439C5"/>
    <w:rsid w:val="00143BA1"/>
    <w:rsid w:val="00173B82"/>
    <w:rsid w:val="00176708"/>
    <w:rsid w:val="00177C62"/>
    <w:rsid w:val="00182144"/>
    <w:rsid w:val="00182836"/>
    <w:rsid w:val="001C1F60"/>
    <w:rsid w:val="001C25D6"/>
    <w:rsid w:val="001D347B"/>
    <w:rsid w:val="002129FB"/>
    <w:rsid w:val="00213951"/>
    <w:rsid w:val="002434A2"/>
    <w:rsid w:val="00253DE1"/>
    <w:rsid w:val="00280283"/>
    <w:rsid w:val="00287236"/>
    <w:rsid w:val="002B13CD"/>
    <w:rsid w:val="00305A07"/>
    <w:rsid w:val="00350D88"/>
    <w:rsid w:val="003664AD"/>
    <w:rsid w:val="003A3AC2"/>
    <w:rsid w:val="003C0972"/>
    <w:rsid w:val="003C7C3F"/>
    <w:rsid w:val="00407671"/>
    <w:rsid w:val="00442E2C"/>
    <w:rsid w:val="00450C1F"/>
    <w:rsid w:val="004560C1"/>
    <w:rsid w:val="0047014E"/>
    <w:rsid w:val="004C12E0"/>
    <w:rsid w:val="004D4BE9"/>
    <w:rsid w:val="004E0753"/>
    <w:rsid w:val="0051004D"/>
    <w:rsid w:val="00537EA6"/>
    <w:rsid w:val="0055422A"/>
    <w:rsid w:val="005B6BCA"/>
    <w:rsid w:val="005D5935"/>
    <w:rsid w:val="005E1D4A"/>
    <w:rsid w:val="005E2089"/>
    <w:rsid w:val="005E3C6A"/>
    <w:rsid w:val="005F189A"/>
    <w:rsid w:val="005F5BBF"/>
    <w:rsid w:val="00617B79"/>
    <w:rsid w:val="00625D50"/>
    <w:rsid w:val="00630870"/>
    <w:rsid w:val="00683033"/>
    <w:rsid w:val="00683D3D"/>
    <w:rsid w:val="006A318B"/>
    <w:rsid w:val="006B7739"/>
    <w:rsid w:val="006C6C88"/>
    <w:rsid w:val="006D11E8"/>
    <w:rsid w:val="006E0FE3"/>
    <w:rsid w:val="00700264"/>
    <w:rsid w:val="00703E7D"/>
    <w:rsid w:val="00770B39"/>
    <w:rsid w:val="0077346A"/>
    <w:rsid w:val="007853DD"/>
    <w:rsid w:val="007906FA"/>
    <w:rsid w:val="00796C34"/>
    <w:rsid w:val="007A4D92"/>
    <w:rsid w:val="007A545E"/>
    <w:rsid w:val="007A5D78"/>
    <w:rsid w:val="007D695B"/>
    <w:rsid w:val="007D703C"/>
    <w:rsid w:val="007F2DFE"/>
    <w:rsid w:val="00806CE4"/>
    <w:rsid w:val="0081292D"/>
    <w:rsid w:val="008141BB"/>
    <w:rsid w:val="00815ED0"/>
    <w:rsid w:val="00822669"/>
    <w:rsid w:val="00831ED0"/>
    <w:rsid w:val="00844CBD"/>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A23670"/>
    <w:rsid w:val="00A27662"/>
    <w:rsid w:val="00A32941"/>
    <w:rsid w:val="00A87317"/>
    <w:rsid w:val="00A94FDB"/>
    <w:rsid w:val="00B03C6D"/>
    <w:rsid w:val="00B54B7B"/>
    <w:rsid w:val="00B92E24"/>
    <w:rsid w:val="00BB76C7"/>
    <w:rsid w:val="00BC479D"/>
    <w:rsid w:val="00BC5F52"/>
    <w:rsid w:val="00BE0FDF"/>
    <w:rsid w:val="00BE1A9F"/>
    <w:rsid w:val="00BF2298"/>
    <w:rsid w:val="00C175AE"/>
    <w:rsid w:val="00C334A0"/>
    <w:rsid w:val="00C36100"/>
    <w:rsid w:val="00C503F5"/>
    <w:rsid w:val="00C54A17"/>
    <w:rsid w:val="00C64061"/>
    <w:rsid w:val="00C86E45"/>
    <w:rsid w:val="00C91EDF"/>
    <w:rsid w:val="00C9247B"/>
    <w:rsid w:val="00C96A86"/>
    <w:rsid w:val="00CA7D26"/>
    <w:rsid w:val="00CC5742"/>
    <w:rsid w:val="00CF03F2"/>
    <w:rsid w:val="00D1369F"/>
    <w:rsid w:val="00D3650F"/>
    <w:rsid w:val="00D457ED"/>
    <w:rsid w:val="00D52084"/>
    <w:rsid w:val="00D66AE7"/>
    <w:rsid w:val="00D85925"/>
    <w:rsid w:val="00D87DA4"/>
    <w:rsid w:val="00D92D19"/>
    <w:rsid w:val="00DA5800"/>
    <w:rsid w:val="00DB537F"/>
    <w:rsid w:val="00DC6445"/>
    <w:rsid w:val="00DE40C6"/>
    <w:rsid w:val="00E32748"/>
    <w:rsid w:val="00E35944"/>
    <w:rsid w:val="00E40EB8"/>
    <w:rsid w:val="00E9370E"/>
    <w:rsid w:val="00EA1B91"/>
    <w:rsid w:val="00EB2D31"/>
    <w:rsid w:val="00ED1DC8"/>
    <w:rsid w:val="00F176C1"/>
    <w:rsid w:val="00F43F43"/>
    <w:rsid w:val="00F503F1"/>
    <w:rsid w:val="00F51BF0"/>
    <w:rsid w:val="00F569D8"/>
    <w:rsid w:val="00F6232C"/>
    <w:rsid w:val="00F64B2A"/>
    <w:rsid w:val="00F715BC"/>
    <w:rsid w:val="00F80EDA"/>
    <w:rsid w:val="00FA1519"/>
    <w:rsid w:val="00FC0837"/>
    <w:rsid w:val="00FE2EF7"/>
    <w:rsid w:val="00FF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190461679">
      <w:bodyDiv w:val="1"/>
      <w:marLeft w:val="0"/>
      <w:marRight w:val="0"/>
      <w:marTop w:val="0"/>
      <w:marBottom w:val="0"/>
      <w:divBdr>
        <w:top w:val="none" w:sz="0" w:space="0" w:color="auto"/>
        <w:left w:val="none" w:sz="0" w:space="0" w:color="auto"/>
        <w:bottom w:val="none" w:sz="0" w:space="0" w:color="auto"/>
        <w:right w:val="none" w:sz="0" w:space="0" w:color="auto"/>
      </w:divBdr>
      <w:divsChild>
        <w:div w:id="692340389">
          <w:marLeft w:val="-225"/>
          <w:marRight w:val="-225"/>
          <w:marTop w:val="0"/>
          <w:marBottom w:val="0"/>
          <w:divBdr>
            <w:top w:val="none" w:sz="0" w:space="0" w:color="auto"/>
            <w:left w:val="none" w:sz="0" w:space="0" w:color="auto"/>
            <w:bottom w:val="none" w:sz="0" w:space="0" w:color="auto"/>
            <w:right w:val="none" w:sz="0" w:space="0" w:color="auto"/>
          </w:divBdr>
          <w:divsChild>
            <w:div w:id="1643316482">
              <w:marLeft w:val="0"/>
              <w:marRight w:val="0"/>
              <w:marTop w:val="0"/>
              <w:marBottom w:val="0"/>
              <w:divBdr>
                <w:top w:val="none" w:sz="0" w:space="0" w:color="auto"/>
                <w:left w:val="none" w:sz="0" w:space="0" w:color="auto"/>
                <w:bottom w:val="none" w:sz="0" w:space="0" w:color="auto"/>
                <w:right w:val="none" w:sz="0" w:space="0" w:color="auto"/>
              </w:divBdr>
            </w:div>
          </w:divsChild>
        </w:div>
        <w:div w:id="1690570429">
          <w:marLeft w:val="-225"/>
          <w:marRight w:val="-225"/>
          <w:marTop w:val="0"/>
          <w:marBottom w:val="0"/>
          <w:divBdr>
            <w:top w:val="none" w:sz="0" w:space="0" w:color="auto"/>
            <w:left w:val="none" w:sz="0" w:space="0" w:color="auto"/>
            <w:bottom w:val="none" w:sz="0" w:space="0" w:color="auto"/>
            <w:right w:val="none" w:sz="0" w:space="0" w:color="auto"/>
          </w:divBdr>
          <w:divsChild>
            <w:div w:id="1239949494">
              <w:marLeft w:val="0"/>
              <w:marRight w:val="0"/>
              <w:marTop w:val="0"/>
              <w:marBottom w:val="0"/>
              <w:divBdr>
                <w:top w:val="none" w:sz="0" w:space="0" w:color="auto"/>
                <w:left w:val="none" w:sz="0" w:space="0" w:color="auto"/>
                <w:bottom w:val="none" w:sz="0" w:space="0" w:color="auto"/>
                <w:right w:val="none" w:sz="0" w:space="0" w:color="auto"/>
              </w:divBdr>
            </w:div>
          </w:divsChild>
        </w:div>
        <w:div w:id="862326878">
          <w:marLeft w:val="-225"/>
          <w:marRight w:val="-225"/>
          <w:marTop w:val="0"/>
          <w:marBottom w:val="0"/>
          <w:divBdr>
            <w:top w:val="none" w:sz="0" w:space="0" w:color="auto"/>
            <w:left w:val="none" w:sz="0" w:space="0" w:color="auto"/>
            <w:bottom w:val="none" w:sz="0" w:space="0" w:color="auto"/>
            <w:right w:val="none" w:sz="0" w:space="0" w:color="auto"/>
          </w:divBdr>
          <w:divsChild>
            <w:div w:id="1919240882">
              <w:marLeft w:val="0"/>
              <w:marRight w:val="0"/>
              <w:marTop w:val="0"/>
              <w:marBottom w:val="0"/>
              <w:divBdr>
                <w:top w:val="none" w:sz="0" w:space="0" w:color="auto"/>
                <w:left w:val="none" w:sz="0" w:space="0" w:color="auto"/>
                <w:bottom w:val="none" w:sz="0" w:space="0" w:color="auto"/>
                <w:right w:val="none" w:sz="0" w:space="0" w:color="auto"/>
              </w:divBdr>
            </w:div>
          </w:divsChild>
        </w:div>
        <w:div w:id="1352226189">
          <w:marLeft w:val="-225"/>
          <w:marRight w:val="-225"/>
          <w:marTop w:val="0"/>
          <w:marBottom w:val="0"/>
          <w:divBdr>
            <w:top w:val="none" w:sz="0" w:space="0" w:color="auto"/>
            <w:left w:val="none" w:sz="0" w:space="0" w:color="auto"/>
            <w:bottom w:val="none" w:sz="0" w:space="0" w:color="auto"/>
            <w:right w:val="none" w:sz="0" w:space="0" w:color="auto"/>
          </w:divBdr>
          <w:divsChild>
            <w:div w:id="1970696485">
              <w:marLeft w:val="0"/>
              <w:marRight w:val="0"/>
              <w:marTop w:val="0"/>
              <w:marBottom w:val="0"/>
              <w:divBdr>
                <w:top w:val="none" w:sz="0" w:space="0" w:color="auto"/>
                <w:left w:val="none" w:sz="0" w:space="0" w:color="auto"/>
                <w:bottom w:val="none" w:sz="0" w:space="0" w:color="auto"/>
                <w:right w:val="none" w:sz="0" w:space="0" w:color="auto"/>
              </w:divBdr>
            </w:div>
          </w:divsChild>
        </w:div>
        <w:div w:id="851721656">
          <w:marLeft w:val="-225"/>
          <w:marRight w:val="-225"/>
          <w:marTop w:val="0"/>
          <w:marBottom w:val="0"/>
          <w:divBdr>
            <w:top w:val="none" w:sz="0" w:space="0" w:color="auto"/>
            <w:left w:val="none" w:sz="0" w:space="0" w:color="auto"/>
            <w:bottom w:val="none" w:sz="0" w:space="0" w:color="auto"/>
            <w:right w:val="none" w:sz="0" w:space="0" w:color="auto"/>
          </w:divBdr>
          <w:divsChild>
            <w:div w:id="800876833">
              <w:marLeft w:val="0"/>
              <w:marRight w:val="0"/>
              <w:marTop w:val="0"/>
              <w:marBottom w:val="0"/>
              <w:divBdr>
                <w:top w:val="none" w:sz="0" w:space="0" w:color="auto"/>
                <w:left w:val="none" w:sz="0" w:space="0" w:color="auto"/>
                <w:bottom w:val="none" w:sz="0" w:space="0" w:color="auto"/>
                <w:right w:val="none" w:sz="0" w:space="0" w:color="auto"/>
              </w:divBdr>
            </w:div>
          </w:divsChild>
        </w:div>
        <w:div w:id="176622570">
          <w:marLeft w:val="-225"/>
          <w:marRight w:val="-225"/>
          <w:marTop w:val="0"/>
          <w:marBottom w:val="0"/>
          <w:divBdr>
            <w:top w:val="none" w:sz="0" w:space="0" w:color="auto"/>
            <w:left w:val="none" w:sz="0" w:space="0" w:color="auto"/>
            <w:bottom w:val="none" w:sz="0" w:space="0" w:color="auto"/>
            <w:right w:val="none" w:sz="0" w:space="0" w:color="auto"/>
          </w:divBdr>
          <w:divsChild>
            <w:div w:id="16553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320694658">
      <w:bodyDiv w:val="1"/>
      <w:marLeft w:val="0"/>
      <w:marRight w:val="0"/>
      <w:marTop w:val="0"/>
      <w:marBottom w:val="0"/>
      <w:divBdr>
        <w:top w:val="none" w:sz="0" w:space="0" w:color="auto"/>
        <w:left w:val="none" w:sz="0" w:space="0" w:color="auto"/>
        <w:bottom w:val="none" w:sz="0" w:space="0" w:color="auto"/>
        <w:right w:val="none" w:sz="0" w:space="0" w:color="auto"/>
      </w:divBdr>
    </w:div>
    <w:div w:id="68193189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916477481">
      <w:bodyDiv w:val="1"/>
      <w:marLeft w:val="0"/>
      <w:marRight w:val="0"/>
      <w:marTop w:val="0"/>
      <w:marBottom w:val="0"/>
      <w:divBdr>
        <w:top w:val="none" w:sz="0" w:space="0" w:color="auto"/>
        <w:left w:val="none" w:sz="0" w:space="0" w:color="auto"/>
        <w:bottom w:val="none" w:sz="0" w:space="0" w:color="auto"/>
        <w:right w:val="none" w:sz="0" w:space="0" w:color="auto"/>
      </w:divBdr>
    </w:div>
    <w:div w:id="1157916269">
      <w:bodyDiv w:val="1"/>
      <w:marLeft w:val="0"/>
      <w:marRight w:val="0"/>
      <w:marTop w:val="0"/>
      <w:marBottom w:val="0"/>
      <w:divBdr>
        <w:top w:val="none" w:sz="0" w:space="0" w:color="auto"/>
        <w:left w:val="none" w:sz="0" w:space="0" w:color="auto"/>
        <w:bottom w:val="none" w:sz="0" w:space="0" w:color="auto"/>
        <w:right w:val="none" w:sz="0" w:space="0" w:color="auto"/>
      </w:divBdr>
      <w:divsChild>
        <w:div w:id="834340601">
          <w:marLeft w:val="-225"/>
          <w:marRight w:val="-225"/>
          <w:marTop w:val="0"/>
          <w:marBottom w:val="0"/>
          <w:divBdr>
            <w:top w:val="none" w:sz="0" w:space="0" w:color="auto"/>
            <w:left w:val="none" w:sz="0" w:space="0" w:color="auto"/>
            <w:bottom w:val="none" w:sz="0" w:space="0" w:color="auto"/>
            <w:right w:val="none" w:sz="0" w:space="0" w:color="auto"/>
          </w:divBdr>
          <w:divsChild>
            <w:div w:id="2106416449">
              <w:marLeft w:val="0"/>
              <w:marRight w:val="0"/>
              <w:marTop w:val="0"/>
              <w:marBottom w:val="0"/>
              <w:divBdr>
                <w:top w:val="none" w:sz="0" w:space="0" w:color="auto"/>
                <w:left w:val="none" w:sz="0" w:space="0" w:color="auto"/>
                <w:bottom w:val="none" w:sz="0" w:space="0" w:color="auto"/>
                <w:right w:val="none" w:sz="0" w:space="0" w:color="auto"/>
              </w:divBdr>
            </w:div>
          </w:divsChild>
        </w:div>
        <w:div w:id="834491230">
          <w:marLeft w:val="-225"/>
          <w:marRight w:val="-225"/>
          <w:marTop w:val="0"/>
          <w:marBottom w:val="0"/>
          <w:divBdr>
            <w:top w:val="none" w:sz="0" w:space="0" w:color="auto"/>
            <w:left w:val="none" w:sz="0" w:space="0" w:color="auto"/>
            <w:bottom w:val="none" w:sz="0" w:space="0" w:color="auto"/>
            <w:right w:val="none" w:sz="0" w:space="0" w:color="auto"/>
          </w:divBdr>
          <w:divsChild>
            <w:div w:id="408577709">
              <w:marLeft w:val="0"/>
              <w:marRight w:val="0"/>
              <w:marTop w:val="0"/>
              <w:marBottom w:val="0"/>
              <w:divBdr>
                <w:top w:val="none" w:sz="0" w:space="0" w:color="auto"/>
                <w:left w:val="none" w:sz="0" w:space="0" w:color="auto"/>
                <w:bottom w:val="none" w:sz="0" w:space="0" w:color="auto"/>
                <w:right w:val="none" w:sz="0" w:space="0" w:color="auto"/>
              </w:divBdr>
            </w:div>
          </w:divsChild>
        </w:div>
        <w:div w:id="636376947">
          <w:marLeft w:val="-225"/>
          <w:marRight w:val="-225"/>
          <w:marTop w:val="0"/>
          <w:marBottom w:val="0"/>
          <w:divBdr>
            <w:top w:val="none" w:sz="0" w:space="0" w:color="auto"/>
            <w:left w:val="none" w:sz="0" w:space="0" w:color="auto"/>
            <w:bottom w:val="none" w:sz="0" w:space="0" w:color="auto"/>
            <w:right w:val="none" w:sz="0" w:space="0" w:color="auto"/>
          </w:divBdr>
          <w:divsChild>
            <w:div w:id="1695227704">
              <w:marLeft w:val="0"/>
              <w:marRight w:val="0"/>
              <w:marTop w:val="0"/>
              <w:marBottom w:val="0"/>
              <w:divBdr>
                <w:top w:val="none" w:sz="0" w:space="0" w:color="auto"/>
                <w:left w:val="none" w:sz="0" w:space="0" w:color="auto"/>
                <w:bottom w:val="none" w:sz="0" w:space="0" w:color="auto"/>
                <w:right w:val="none" w:sz="0" w:space="0" w:color="auto"/>
              </w:divBdr>
            </w:div>
          </w:divsChild>
        </w:div>
        <w:div w:id="687801390">
          <w:marLeft w:val="-225"/>
          <w:marRight w:val="-225"/>
          <w:marTop w:val="0"/>
          <w:marBottom w:val="0"/>
          <w:divBdr>
            <w:top w:val="none" w:sz="0" w:space="0" w:color="auto"/>
            <w:left w:val="none" w:sz="0" w:space="0" w:color="auto"/>
            <w:bottom w:val="none" w:sz="0" w:space="0" w:color="auto"/>
            <w:right w:val="none" w:sz="0" w:space="0" w:color="auto"/>
          </w:divBdr>
          <w:divsChild>
            <w:div w:id="1883204249">
              <w:marLeft w:val="0"/>
              <w:marRight w:val="0"/>
              <w:marTop w:val="0"/>
              <w:marBottom w:val="0"/>
              <w:divBdr>
                <w:top w:val="none" w:sz="0" w:space="0" w:color="auto"/>
                <w:left w:val="none" w:sz="0" w:space="0" w:color="auto"/>
                <w:bottom w:val="none" w:sz="0" w:space="0" w:color="auto"/>
                <w:right w:val="none" w:sz="0" w:space="0" w:color="auto"/>
              </w:divBdr>
            </w:div>
          </w:divsChild>
        </w:div>
        <w:div w:id="2127964693">
          <w:marLeft w:val="-225"/>
          <w:marRight w:val="-225"/>
          <w:marTop w:val="0"/>
          <w:marBottom w:val="0"/>
          <w:divBdr>
            <w:top w:val="none" w:sz="0" w:space="0" w:color="auto"/>
            <w:left w:val="none" w:sz="0" w:space="0" w:color="auto"/>
            <w:bottom w:val="none" w:sz="0" w:space="0" w:color="auto"/>
            <w:right w:val="none" w:sz="0" w:space="0" w:color="auto"/>
          </w:divBdr>
          <w:divsChild>
            <w:div w:id="1645743432">
              <w:marLeft w:val="0"/>
              <w:marRight w:val="0"/>
              <w:marTop w:val="0"/>
              <w:marBottom w:val="0"/>
              <w:divBdr>
                <w:top w:val="none" w:sz="0" w:space="0" w:color="auto"/>
                <w:left w:val="none" w:sz="0" w:space="0" w:color="auto"/>
                <w:bottom w:val="none" w:sz="0" w:space="0" w:color="auto"/>
                <w:right w:val="none" w:sz="0" w:space="0" w:color="auto"/>
              </w:divBdr>
            </w:div>
          </w:divsChild>
        </w:div>
        <w:div w:id="744307187">
          <w:marLeft w:val="-225"/>
          <w:marRight w:val="-225"/>
          <w:marTop w:val="0"/>
          <w:marBottom w:val="0"/>
          <w:divBdr>
            <w:top w:val="none" w:sz="0" w:space="0" w:color="auto"/>
            <w:left w:val="none" w:sz="0" w:space="0" w:color="auto"/>
            <w:bottom w:val="none" w:sz="0" w:space="0" w:color="auto"/>
            <w:right w:val="none" w:sz="0" w:space="0" w:color="auto"/>
          </w:divBdr>
          <w:divsChild>
            <w:div w:id="1052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192872AE689AFAE98451BE81BC7A20C1EB08BFA53499E05BD2538068143B5669839AC7517C3869E613E5A69B6179457494975B434945ABZ2v1I" TargetMode="External"/><Relationship Id="rId3" Type="http://schemas.openxmlformats.org/officeDocument/2006/relationships/settings" Target="settings.xml"/><Relationship Id="rId7" Type="http://schemas.openxmlformats.org/officeDocument/2006/relationships/hyperlink" Target="consultantplus://offline/ref=0D192872AE689AFAE98451BE81BC7A20C1EB08BFA53499E05BD2538068143B5669839AC7517C3869E413E5A69B6179457494975B434945ABZ2v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DF7E46AFB5071437B01565415CE8A6F4B07EDF74D6290352FB1E2D4467D24317094732541A6BA09183437F67F72C617F3F623FF41B172D34S0G" TargetMode="External"/><Relationship Id="rId11" Type="http://schemas.openxmlformats.org/officeDocument/2006/relationships/theme" Target="theme/theme1.xml"/><Relationship Id="rId5" Type="http://schemas.openxmlformats.org/officeDocument/2006/relationships/hyperlink" Target="consultantplus://offline/ref=4A51099AD3EEDB66C824DF3870680DD1A278031295D5633A57F393D3A864C8F74133F712BE50E00ECE4865BC1C12A5B176EFBE7FB2DADDCBSFS1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E64A5DDAE6AC4F34077187D11C747497F1B8DB268326376237D0FCDE35174A016D570F5FA17F55F8A8A07E2A483CE46AFECA1C1538370AUDF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9</Pages>
  <Words>4044</Words>
  <Characters>23051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Землянова Майя Александровна</cp:lastModifiedBy>
  <cp:revision>54</cp:revision>
  <cp:lastPrinted>2025-07-24T08:20:00Z</cp:lastPrinted>
  <dcterms:created xsi:type="dcterms:W3CDTF">2025-09-08T07:18:00Z</dcterms:created>
  <dcterms:modified xsi:type="dcterms:W3CDTF">2026-07-03T13:04:00Z</dcterms:modified>
</cp:coreProperties>
</file>