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1093"/>
        <w:jc w:val="center"/>
        <w:widowControl w:val="off"/>
        <w:rPr>
          <w:rFonts w:ascii="Times New Roman" w:hAnsi="Times New Roman" w:cs="Times New Roman"/>
          <w:sz w:val="24"/>
          <w:szCs w:val="24"/>
        </w:rPr>
      </w:pPr>
      <w:r>
        <w:rPr>
          <w:rFonts w:ascii="Times New Roman" w:hAnsi="Times New Roman" w:cs="Times New Roman"/>
          <w:sz w:val="24"/>
          <w:szCs w:val="24"/>
        </w:rPr>
        <w:t xml:space="preserve">Государственный контракт № _____ </w:t>
      </w:r>
      <w:r>
        <w:rPr>
          <w:rFonts w:ascii="Times New Roman" w:hAnsi="Times New Roman" w:cs="Times New Roman"/>
          <w:sz w:val="24"/>
          <w:szCs w:val="24"/>
        </w:rPr>
      </w:r>
    </w:p>
    <w:p>
      <w:pPr>
        <w:pStyle w:val="1093"/>
        <w:jc w:val="center"/>
        <w:widowControl w:val="off"/>
        <w:rPr>
          <w:rFonts w:ascii="Times New Roman" w:hAnsi="Times New Roman" w:cs="Times New Roman"/>
          <w:sz w:val="24"/>
          <w:szCs w:val="24"/>
        </w:rPr>
      </w:pPr>
      <w:r>
        <w:rPr>
          <w:rFonts w:ascii="Times New Roman" w:hAnsi="Times New Roman" w:cs="Times New Roman"/>
          <w:sz w:val="24"/>
          <w:szCs w:val="24"/>
        </w:rPr>
        <w:t xml:space="preserve">г. Владимир                                                                                                  </w:t>
      </w:r>
      <w:r>
        <w:rPr>
          <w:rFonts w:ascii="Times New Roman" w:hAnsi="Times New Roman" w:cs="Times New Roman"/>
          <w:sz w:val="24"/>
          <w:szCs w:val="24"/>
        </w:rPr>
        <w:t xml:space="preserve">   «</w:t>
      </w:r>
      <w:r>
        <w:rPr>
          <w:rFonts w:ascii="Times New Roman" w:hAnsi="Times New Roman" w:cs="Times New Roman"/>
          <w:sz w:val="24"/>
          <w:szCs w:val="24"/>
        </w:rPr>
        <w:t xml:space="preserve">___» ___________ 20__ г.</w:t>
      </w:r>
      <w:r>
        <w:rPr>
          <w:rFonts w:ascii="Times New Roman" w:hAnsi="Times New Roman" w:cs="Times New Roman"/>
          <w:sz w:val="24"/>
          <w:szCs w:val="24"/>
        </w:rPr>
      </w:r>
    </w:p>
    <w:p>
      <w:pPr>
        <w:pStyle w:val="1093"/>
        <w:jc w:val="both"/>
        <w:widowControl w:val="off"/>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r>
        <w:rPr>
          <w:szCs w:val="22"/>
        </w:rPr>
        <w:t xml:space="preserve">          Федеральное казенное учреждение «Центр по обеспечению деятельности Казначейства России»</w:t>
      </w:r>
      <w:r>
        <w:t xml:space="preserve">, выполняющее функции государственного заказчика от имени Российской Федерации, именуемое в дальнейшем «Государственный заказчик» (далее - Заказчик) (свидетельс</w:t>
      </w:r>
      <w:r>
        <w:t xml:space="preserve">тво о государственной регистрации юридического лица серия 77 № 011767946 (ОГРН 1127746046691)), в лице заместителя начальника Межрегионального филиала Федерального казенного учреждения «Центр по обеспечению деятельности Казначейства России» в г. Владимире </w:t>
      </w:r>
      <w:r>
        <w:t xml:space="preserve">Ханбабаевой</w:t>
      </w:r>
      <w:r>
        <w:t xml:space="preserve"> Валерии Валерьевны, действующего на основании Доверенности от 13.08.2024 № 01012408000015512401 и Положения о Межрегиональном филиале Федерального каз</w:t>
      </w:r>
      <w:r>
        <w:t xml:space="preserve">енного учреждения «Центр по обеспечению деятельности Казначейства России» в г. Владимире, утвержденного приказом Федерального казенного учреждения «Центр по обеспечению деятельности Казначейства России» от 17.06.2026 г. № 588, с одной стороны, и _________ </w:t>
      </w:r>
      <w:r>
        <w:rPr>
          <w:i/>
        </w:rPr>
        <w:t xml:space="preserve">«Наименование организации»</w:t>
      </w:r>
      <w:r>
        <w:t xml:space="preserve">, именуемое в дальнейшем «Поставщик»,</w:t>
      </w:r>
      <w:r>
        <w:rPr>
          <w:i/>
          <w:iCs/>
        </w:rPr>
        <w:t xml:space="preserve"> </w:t>
      </w:r>
      <w:r>
        <w:t xml:space="preserve">в лице __________ </w:t>
      </w:r>
      <w:r>
        <w:rPr>
          <w:i/>
        </w:rPr>
        <w:t xml:space="preserve">(должность), Ф.И.О.</w:t>
      </w:r>
      <w:r>
        <w:t xml:space="preserve">, действующего на основании ___________, с другой стороны, именуемые в дальнейшем «Стороны», в соответствии с пунктом 4 части 1 статьи 93 Федерального закона от 05.04.2013 № 44-ФЗ «О контрактной системе в сф</w:t>
      </w:r>
      <w:r>
        <w:t xml:space="preserve">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 (далее – контракт) для обеспечения государственных нужд о нижеследующем:</w:t>
      </w:r>
      <w:r/>
    </w:p>
    <w:p>
      <w:pPr>
        <w:ind w:right="14" w:firstLine="708"/>
      </w:pPr>
      <w:r/>
      <w:r/>
    </w:p>
    <w:p>
      <w:pPr>
        <w:rPr>
          <w:b/>
          <w:bCs/>
        </w:rPr>
      </w:pPr>
      <w:r>
        <w:rPr>
          <w:b/>
          <w:bCs/>
        </w:rPr>
      </w:r>
      <w:r>
        <w:rPr>
          <w:b/>
          <w:bCs/>
        </w:rPr>
      </w:r>
    </w:p>
    <w:p>
      <w:pPr>
        <w:numPr>
          <w:ilvl w:val="0"/>
          <w:numId w:val="26"/>
        </w:numPr>
        <w:jc w:val="center"/>
        <w:rPr>
          <w:b/>
          <w:bCs/>
        </w:rPr>
      </w:pPr>
      <w:r>
        <w:rPr>
          <w:b/>
          <w:bCs/>
        </w:rPr>
        <w:t xml:space="preserve">Предмет контракта</w:t>
      </w:r>
      <w:r>
        <w:rPr>
          <w:b/>
          <w:bCs/>
        </w:rPr>
      </w:r>
    </w:p>
    <w:p>
      <w:pPr>
        <w:numPr>
          <w:ilvl w:val="1"/>
          <w:numId w:val="26"/>
        </w:numPr>
        <w:ind w:left="0" w:firstLine="709"/>
      </w:pPr>
      <w:r>
        <w:t xml:space="preserve">Предметом контракта является поставка горюче-</w:t>
      </w:r>
      <w:r>
        <w:t xml:space="preserve">смазочных материалов для дизель </w:t>
      </w:r>
      <w:r>
        <w:t xml:space="preserve">генераторных установок для обеспечения нужд Управления Федерального казначейства по </w:t>
      </w:r>
      <w:r>
        <w:t xml:space="preserve">Белгородской</w:t>
      </w:r>
      <w:r>
        <w:t xml:space="preserve"> области. </w:t>
      </w:r>
      <w:r/>
    </w:p>
    <w:p>
      <w:pPr>
        <w:numPr>
          <w:ilvl w:val="1"/>
          <w:numId w:val="26"/>
        </w:numPr>
      </w:pPr>
      <w:r>
        <w:t xml:space="preserve">Количество поставляемого товара: </w:t>
      </w:r>
      <w:r>
        <w:t xml:space="preserve">2000</w:t>
      </w:r>
      <w:r>
        <w:t xml:space="preserve"> (</w:t>
      </w:r>
      <w:r>
        <w:t xml:space="preserve">две тысячи</w:t>
      </w:r>
      <w:r>
        <w:t xml:space="preserve">) литров.</w:t>
      </w:r>
      <w:r/>
    </w:p>
    <w:p>
      <w:pPr>
        <w:ind w:firstLine="709"/>
      </w:pPr>
      <w:r>
        <w:t xml:space="preserve">1.3. Характеристика и наименование </w:t>
      </w:r>
      <w:bookmarkStart w:id="0" w:name="_Hlt127685461"/>
      <w:r>
        <w:t xml:space="preserve">поставляемого товара указаны в Спецификации поставляемого товара - </w:t>
      </w:r>
      <w:bookmarkEnd w:id="0"/>
      <w:r>
        <w:t xml:space="preserve">Приложение к к</w:t>
      </w:r>
      <w:bookmarkStart w:id="1" w:name="_GoBack"/>
      <w:r/>
      <w:bookmarkEnd w:id="1"/>
      <w:r>
        <w:t xml:space="preserve">онтракту.</w:t>
      </w:r>
      <w:r/>
    </w:p>
    <w:p>
      <w:pPr>
        <w:pStyle w:val="1113"/>
        <w:ind w:firstLine="708"/>
        <w:jc w:val="both"/>
        <w:rPr>
          <w:sz w:val="24"/>
          <w:szCs w:val="24"/>
        </w:rPr>
      </w:pPr>
      <w:r>
        <w:rPr>
          <w:sz w:val="24"/>
          <w:szCs w:val="24"/>
        </w:rPr>
        <w:t xml:space="preserve">1.4. Поставляемый товар должен быть новым товаром (товар</w:t>
      </w:r>
      <w:r>
        <w:rPr>
          <w:sz w:val="24"/>
          <w:szCs w:val="24"/>
        </w:rPr>
        <w:t xml:space="preserve">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должен иметь повреждений (вмятин, трещин, разрывов).  </w:t>
      </w:r>
      <w:r>
        <w:rPr>
          <w:sz w:val="24"/>
          <w:szCs w:val="24"/>
        </w:rPr>
      </w:r>
    </w:p>
    <w:p>
      <w:pPr>
        <w:pStyle w:val="1113"/>
        <w:ind w:firstLine="708"/>
        <w:jc w:val="both"/>
        <w:widowControl w:val="off"/>
        <w:rPr>
          <w:sz w:val="24"/>
          <w:szCs w:val="24"/>
        </w:rPr>
      </w:pPr>
      <w:r>
        <w:rPr>
          <w:sz w:val="24"/>
          <w:szCs w:val="24"/>
        </w:rPr>
        <w:t xml:space="preserve">1.5.</w:t>
      </w:r>
      <w:r>
        <w:t xml:space="preserve"> </w:t>
      </w:r>
      <w:r>
        <w:rPr>
          <w:sz w:val="24"/>
          <w:szCs w:val="24"/>
        </w:rPr>
        <w:t xml:space="preserve">Идентификационный код закупки (ИКЗ) _______________________________________.</w:t>
      </w:r>
      <w:r>
        <w:rPr>
          <w:sz w:val="24"/>
          <w:szCs w:val="24"/>
        </w:rPr>
      </w:r>
    </w:p>
    <w:p>
      <w:pPr>
        <w:ind w:firstLine="708"/>
        <w:widowControl w:val="off"/>
      </w:pPr>
      <w:r/>
      <w:r/>
    </w:p>
    <w:p>
      <w:pPr>
        <w:jc w:val="center"/>
        <w:rPr>
          <w:rFonts w:eastAsia="Calibri"/>
          <w:b/>
          <w:bCs/>
        </w:rPr>
      </w:pPr>
      <w:r>
        <w:rPr>
          <w:b/>
          <w:bCs/>
        </w:rPr>
        <w:t xml:space="preserve">2. </w:t>
      </w:r>
      <w:r>
        <w:rPr>
          <w:rFonts w:eastAsia="Calibri"/>
          <w:b/>
          <w:bCs/>
        </w:rPr>
        <w:t xml:space="preserve">Максимальное значение Цены контракта,</w:t>
      </w:r>
      <w:r>
        <w:rPr>
          <w:rFonts w:eastAsia="Calibri"/>
          <w:b/>
          <w:bCs/>
        </w:rPr>
      </w:r>
    </w:p>
    <w:p>
      <w:pPr>
        <w:jc w:val="center"/>
        <w:rPr>
          <w:rFonts w:eastAsia="Calibri"/>
          <w:b/>
          <w:bCs/>
        </w:rPr>
      </w:pPr>
      <w:r>
        <w:rPr>
          <w:rFonts w:eastAsia="Calibri"/>
          <w:b/>
          <w:bCs/>
        </w:rPr>
        <w:t xml:space="preserve">формула цены Контракта и порядок расчетов</w:t>
      </w:r>
      <w:r>
        <w:rPr>
          <w:rFonts w:eastAsia="Calibri"/>
          <w:b/>
          <w:bCs/>
        </w:rPr>
      </w:r>
    </w:p>
    <w:p>
      <w:pPr>
        <w:jc w:val="center"/>
        <w:widowControl w:val="off"/>
        <w:rPr>
          <w:b/>
          <w:bCs/>
        </w:rPr>
      </w:pPr>
      <w:r>
        <w:rPr>
          <w:b/>
          <w:bCs/>
        </w:rPr>
      </w:r>
      <w:r>
        <w:rPr>
          <w:b/>
          <w:bCs/>
        </w:rPr>
      </w:r>
    </w:p>
    <w:p>
      <w:pPr>
        <w:ind w:firstLine="720"/>
      </w:pPr>
      <w:r>
        <w:t xml:space="preserve">2.1. Максимальное значение цены контракта представляет собой цену Контракта, и составляет </w:t>
      </w:r>
      <w:r>
        <w:t xml:space="preserve">____________</w:t>
      </w:r>
      <w:r>
        <w:t xml:space="preserve"> </w:t>
      </w:r>
      <w:r>
        <w:t xml:space="preserve">(</w:t>
      </w:r>
      <w:r>
        <w:t xml:space="preserve">___________</w:t>
      </w:r>
      <w:r>
        <w:t xml:space="preserve">) рублей </w:t>
      </w:r>
      <w:r>
        <w:t xml:space="preserve">__</w:t>
      </w:r>
      <w:r>
        <w:t xml:space="preserve"> копеек, в том числе НДС.</w:t>
      </w:r>
      <w:r/>
    </w:p>
    <w:p>
      <w:pPr>
        <w:ind w:firstLine="720"/>
      </w:pPr>
      <w:r>
        <w:rPr>
          <w:i/>
        </w:rPr>
        <w:t xml:space="preserve">(если Поставщик освобожден от уплаты НДС в соответствии с законодательством Российской Федерации, то фраза «</w:t>
      </w:r>
      <w:r>
        <w:t xml:space="preserve">в том числе НДС</w:t>
      </w:r>
      <w:r>
        <w:rPr>
          <w:i/>
        </w:rPr>
        <w:t xml:space="preserve">»</w:t>
      </w:r>
      <w:r>
        <w:t xml:space="preserve"> </w:t>
      </w:r>
      <w:r>
        <w:rPr>
          <w:i/>
        </w:rPr>
        <w:t xml:space="preserve">заменяется на фразу</w:t>
      </w:r>
      <w:r>
        <w:t xml:space="preserve"> «без НДС</w:t>
      </w:r>
      <w:r>
        <w:rPr>
          <w:i/>
        </w:rPr>
        <w:t xml:space="preserve">»).</w:t>
      </w:r>
      <w:r/>
    </w:p>
    <w:p>
      <w:pPr>
        <w:ind w:firstLine="720"/>
        <w:rPr>
          <w:i/>
        </w:rPr>
      </w:pPr>
      <w:r>
        <w:t xml:space="preserve">Сумма, подлежащая уплате</w:t>
      </w:r>
      <w:r>
        <w:rPr>
          <w:iCs/>
        </w:rPr>
        <w:t xml:space="preserve"> Заказчиком Поставщику</w:t>
      </w:r>
      <w:r>
        <w:rPr>
          <w:i/>
          <w:iCs/>
        </w:rPr>
        <w:t xml:space="preserve">,</w:t>
      </w:r>
      <w:r>
        <w:t xml:space="preserve"> будет уменьшена на размер налогов, сборов и иных обязательных платежей в бюджеты бюджетной системы Р</w:t>
      </w:r>
      <w: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i/>
        </w:rPr>
      </w:r>
    </w:p>
    <w:p>
      <w:pPr>
        <w:ind w:firstLine="720"/>
        <w:rPr>
          <w:i/>
        </w:rPr>
      </w:pPr>
      <w:r>
        <w:rPr>
          <w:i/>
        </w:rPr>
        <w:t xml:space="preserve">В случае если контракт заключается с физическим лицом, за исключением индивидуального предпринимателя или иного занимающегося частной практикой лица, то в контракте указывается: </w:t>
      </w:r>
      <w:r>
        <w:t xml:space="preserve">«Сумма, подлежащая уплате, будет уменьшена на сумму НДФЛ - 13% и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w:t>
      </w:r>
      <w:r>
        <w:t xml:space="preserve">медицинское страхование в едином размере (единый тариф страховых взносов) в пределах установленной единой предельной величины базы для исчисления страховых взносов - 30 %.»</w:t>
      </w:r>
      <w:r>
        <w:rPr>
          <w:i/>
        </w:rPr>
      </w:r>
    </w:p>
    <w:p>
      <w:pPr>
        <w:ind w:firstLine="708"/>
        <w:rPr>
          <w:bCs/>
        </w:rPr>
      </w:pPr>
      <w:r>
        <w:rPr>
          <w:bCs/>
        </w:rPr>
        <w:t xml:space="preserve">2.2. 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и контрактом.</w:t>
      </w:r>
      <w:r>
        <w:rPr>
          <w:bCs/>
        </w:rPr>
      </w:r>
    </w:p>
    <w:p>
      <w:pPr>
        <w:ind w:firstLine="720"/>
        <w:rPr>
          <w:i/>
        </w:rPr>
      </w:pPr>
      <w:r>
        <w:rPr>
          <w:iCs/>
          <w:lang w:eastAsia="zh-CN"/>
        </w:rPr>
        <w:t xml:space="preserve">2.3. Формула </w:t>
      </w:r>
      <w:r>
        <w:rPr>
          <w:lang w:eastAsia="zh-CN"/>
        </w:rPr>
        <w:t xml:space="preserve">цены Контракта:</w:t>
      </w:r>
      <w:r>
        <w:rPr>
          <w:i/>
        </w:rPr>
      </w:r>
    </w:p>
    <w:p>
      <w:pPr>
        <w:contextualSpacing/>
        <w:ind w:left="851" w:hanging="131"/>
        <w:jc w:val="left"/>
        <w:widowControl w:val="off"/>
        <w:tabs>
          <w:tab w:val="left" w:pos="993" w:leader="none"/>
        </w:tabs>
        <w:rPr>
          <w:b/>
          <w:sz w:val="16"/>
          <w:szCs w:val="16"/>
          <w:lang w:eastAsia="zh-CN"/>
        </w:rPr>
        <w:suppressLineNumbers/>
      </w:pPr>
      <w:r>
        <w:rPr>
          <w:b/>
          <w:sz w:val="20"/>
          <w:szCs w:val="20"/>
          <w:lang w:eastAsia="zh-CN"/>
        </w:rPr>
        <w:t xml:space="preserve">        </w:t>
      </w:r>
      <w:r>
        <w:rPr>
          <w:b/>
          <w:sz w:val="16"/>
          <w:szCs w:val="16"/>
          <w:lang w:val="en-US" w:eastAsia="zh-CN"/>
        </w:rPr>
        <w:t xml:space="preserve">n</w:t>
      </w:r>
      <w:r>
        <w:rPr>
          <w:b/>
          <w:sz w:val="16"/>
          <w:szCs w:val="16"/>
          <w:lang w:eastAsia="zh-CN"/>
        </w:rPr>
        <w:t xml:space="preserve"> =</w:t>
      </w:r>
      <w:r>
        <w:rPr>
          <w:b/>
          <w:sz w:val="16"/>
          <w:szCs w:val="16"/>
          <w:lang w:eastAsia="zh-CN"/>
        </w:rPr>
      </w:r>
    </w:p>
    <w:p>
      <w:pPr>
        <w:ind w:left="851" w:hanging="131"/>
        <w:widowControl w:val="off"/>
        <w:tabs>
          <w:tab w:val="left" w:pos="993" w:leader="none"/>
        </w:tabs>
        <w:rPr>
          <w:b/>
        </w:rPr>
        <w:suppressLineNumbers/>
      </w:pPr>
      <w:r>
        <w:rPr>
          <w:b/>
        </w:rPr>
        <w:t xml:space="preserve">ЦК = ∑ Ц</w:t>
      </w:r>
      <w:r>
        <w:rPr>
          <w:b/>
          <w:lang w:val="en-US"/>
        </w:rPr>
        <w:t xml:space="preserve">i</w:t>
      </w:r>
      <w:r>
        <w:rPr>
          <w:b/>
        </w:rPr>
        <w:t xml:space="preserve"> </w:t>
      </w:r>
      <w:r>
        <w:rPr>
          <w:b/>
          <w:sz w:val="20"/>
          <w:szCs w:val="20"/>
        </w:rPr>
        <w:t xml:space="preserve">х </w:t>
      </w:r>
      <w:r>
        <w:rPr>
          <w:b/>
          <w:lang w:val="en-US"/>
        </w:rPr>
        <w:t xml:space="preserve">Vi</w:t>
      </w:r>
      <w:r>
        <w:rPr>
          <w:b/>
        </w:rPr>
        <w:t xml:space="preserve">, </w:t>
      </w:r>
      <w:r>
        <w:t xml:space="preserve">где</w:t>
      </w:r>
      <w:r>
        <w:rPr>
          <w:b/>
        </w:rPr>
      </w:r>
    </w:p>
    <w:p>
      <w:pPr>
        <w:ind w:left="851" w:hanging="131"/>
        <w:widowControl w:val="off"/>
        <w:tabs>
          <w:tab w:val="left" w:pos="993" w:leader="none"/>
        </w:tabs>
        <w:rPr>
          <w:b/>
          <w:sz w:val="16"/>
          <w:szCs w:val="16"/>
        </w:rPr>
        <w:suppressLineNumbers/>
      </w:pPr>
      <w:r>
        <w:rPr>
          <w:b/>
          <w:sz w:val="20"/>
          <w:szCs w:val="20"/>
        </w:rPr>
        <w:t xml:space="preserve">           </w:t>
      </w:r>
      <w:r>
        <w:rPr>
          <w:b/>
          <w:sz w:val="16"/>
          <w:szCs w:val="16"/>
          <w:lang w:val="en-US"/>
        </w:rPr>
        <w:t xml:space="preserve">t</w:t>
      </w:r>
      <w:r>
        <w:rPr>
          <w:b/>
          <w:sz w:val="16"/>
          <w:szCs w:val="16"/>
        </w:rPr>
        <w:t xml:space="preserve"> = 1</w:t>
      </w:r>
      <w:r>
        <w:rPr>
          <w:b/>
          <w:sz w:val="16"/>
          <w:szCs w:val="16"/>
        </w:rPr>
      </w:r>
    </w:p>
    <w:p>
      <w:pPr>
        <w:ind w:firstLine="360"/>
      </w:pPr>
      <w:r>
        <w:rPr>
          <w:bCs/>
        </w:rPr>
        <w:t xml:space="preserve">ЦК</w:t>
      </w:r>
      <w:r>
        <w:t xml:space="preserve"> – цена Контракта, определённая с использованием настоящей формулы, которая не может превышать максимальное значение цены контракта </w:t>
      </w:r>
      <w:r>
        <w:rPr>
          <w:color w:val="000000"/>
        </w:rPr>
        <w:t xml:space="preserve">(</w:t>
      </w:r>
      <w:r>
        <w:rPr>
          <w:bCs/>
          <w:color w:val="000000"/>
        </w:rPr>
        <w:t xml:space="preserve">ЦК</w:t>
      </w:r>
      <w:r>
        <w:rPr>
          <w:rFonts w:ascii="Cambria Math" w:hAnsi="Cambria Math" w:cs="Cambria Math"/>
          <w:bCs/>
          <w:color w:val="000000"/>
        </w:rPr>
        <w:t xml:space="preserve">⩽</w:t>
      </w:r>
      <w:r>
        <w:rPr>
          <w:bCs/>
          <w:color w:val="000000"/>
        </w:rPr>
        <w:t xml:space="preserve">ЦКmax</w:t>
      </w:r>
      <w:r>
        <w:rPr>
          <w:color w:val="000000"/>
        </w:rPr>
        <w:t xml:space="preserve">)</w:t>
      </w:r>
      <w:r>
        <w:t xml:space="preserve">; </w:t>
      </w:r>
      <w:r/>
    </w:p>
    <w:p>
      <w:pPr>
        <w:ind w:firstLine="360"/>
      </w:pPr>
      <w:r>
        <w:rPr>
          <w:bCs/>
        </w:rPr>
        <w:t xml:space="preserve">Ц</w:t>
      </w:r>
      <w:r>
        <w:rPr>
          <w:bCs/>
          <w:lang w:val="en-US"/>
        </w:rPr>
        <w:t xml:space="preserve">i</w:t>
      </w:r>
      <w:r>
        <w:t xml:space="preserve"> – отпускная цена Поставщика за единицу поставляемого товара в месяце (периоде) поставки, указываемая Поставщиком в документе о приемке;</w:t>
      </w:r>
      <w:r/>
    </w:p>
    <w:p>
      <w:pPr>
        <w:ind w:firstLine="360"/>
      </w:pPr>
      <w:r>
        <w:rPr>
          <w:lang w:val="en-US"/>
        </w:rPr>
        <w:t xml:space="preserve">Vi</w:t>
      </w:r>
      <w:r>
        <w:t xml:space="preserve"> – объем поставляемого Товара в месяце (периоде) поставки;</w:t>
      </w:r>
      <w:r/>
    </w:p>
    <w:p>
      <w:pPr>
        <w:ind w:left="360"/>
      </w:pPr>
      <w:r>
        <w:rPr>
          <w:bCs/>
        </w:rPr>
        <w:t xml:space="preserve">i</w:t>
      </w:r>
      <w:r>
        <w:t xml:space="preserve"> – начальное значение (индекс суммирования), который равен значению суммируемых величин</w:t>
      </w:r>
      <w:r/>
    </w:p>
    <w:p>
      <w:r>
        <w:t xml:space="preserve">(</w:t>
      </w:r>
      <w:r>
        <w:t xml:space="preserve">Цi</w:t>
      </w:r>
      <w:r>
        <w:t xml:space="preserve"> </w:t>
      </w:r>
      <w:r>
        <w:rPr>
          <w:sz w:val="20"/>
          <w:szCs w:val="20"/>
        </w:rPr>
        <w:t xml:space="preserve">х </w:t>
      </w:r>
      <w:r>
        <w:rPr>
          <w:lang w:val="en-US"/>
        </w:rPr>
        <w:t xml:space="preserve">Vi</w:t>
      </w:r>
      <w:r>
        <w:t xml:space="preserve">) за один месяц поставки;</w:t>
      </w:r>
      <w:r/>
    </w:p>
    <w:p>
      <w:pPr>
        <w:ind w:left="360"/>
      </w:pPr>
      <w:r>
        <w:rPr>
          <w:bCs/>
        </w:rPr>
        <w:t xml:space="preserve">n</w:t>
      </w:r>
      <w:r>
        <w:t xml:space="preserve"> – конечное значение (диапазон суммирования), которое равно значению суммируемых величин за 4 месяца (периода) поставки, используемые при расчёте.</w:t>
      </w:r>
      <w:r/>
    </w:p>
    <w:p>
      <w:pPr>
        <w:ind w:firstLine="708"/>
        <w:rPr>
          <w:bCs/>
        </w:rPr>
      </w:pPr>
      <w:r>
        <w:rPr>
          <w:bCs/>
        </w:rPr>
        <w:t xml:space="preserve">2.4. Источником финансирования являются средства федерального бюджета. Оплата производится в соответствии с объемом финансирования и в пределах лимитов бюджетных обязательств.</w:t>
      </w:r>
      <w:r>
        <w:rPr>
          <w:bCs/>
        </w:rPr>
      </w:r>
    </w:p>
    <w:p>
      <w:pPr>
        <w:ind w:firstLine="709"/>
      </w:pPr>
      <w:r>
        <w:rPr>
          <w:lang w:eastAsia="zh-CN"/>
        </w:rPr>
        <w:t xml:space="preserve">2.5. В соответствии с </w:t>
      </w:r>
      <w:r>
        <w:rPr>
          <w:color w:val="000000"/>
          <w:shd w:val="clear" w:color="auto" w:fill="ffffff"/>
          <w:lang w:eastAsia="zh-CN"/>
        </w:rPr>
        <w:t xml:space="preserve">частью 2 статьи 34 Федерального закона от 05.04.2013 г. № 44-ФЗ «О контрактной системе в сфере закупок товаров, работ, услуг для обеспечения государственных и муниципальных нужд» и </w:t>
      </w:r>
      <w:r>
        <w:rPr>
          <w:b/>
          <w:bCs/>
          <w:color w:val="000000"/>
          <w:shd w:val="clear" w:color="auto" w:fill="ffffff"/>
          <w:lang w:eastAsia="zh-CN"/>
        </w:rPr>
        <w:t xml:space="preserve"> </w:t>
      </w:r>
      <w:r>
        <w:rPr>
          <w:color w:val="000000"/>
          <w:shd w:val="clear" w:color="auto" w:fill="ffffff"/>
          <w:lang w:eastAsia="zh-CN"/>
        </w:rPr>
        <w:t xml:space="preserve">постановлением  Правительства РФ от 13 января 2014 г. № 19 «Об установлении случаев, в которых при заключении контракта указываю</w:t>
      </w:r>
      <w:r>
        <w:rPr>
          <w:color w:val="000000"/>
          <w:shd w:val="clear" w:color="auto" w:fill="ffffff"/>
          <w:lang w:eastAsia="zh-CN"/>
        </w:rPr>
        <w:t xml:space="preserve">тся формула цены и максимальное значение цены контракта» Заказчик оплачивает стоимость Товара по формуле цены Контракта, указанной в пункте 2.3. Контракта, в пределах максимального значения цены Контракта, предусмотренного пунктом 2.1 настоящего Контракта.</w:t>
      </w:r>
      <w:r/>
    </w:p>
    <w:p>
      <w:pPr>
        <w:ind w:firstLine="709"/>
      </w:pPr>
      <w:r>
        <w:t xml:space="preserve">Превышение Поставщиком максимального значения цены Контракта, указанной в пункте 2.1. настоящего Контракта, при поставке Товара оплачивается Поставщиком за его счет.</w:t>
      </w:r>
      <w:r/>
    </w:p>
    <w:p>
      <w:pPr>
        <w:ind w:firstLine="709"/>
        <w:widowControl w:val="off"/>
        <w:tabs>
          <w:tab w:val="left" w:pos="1418" w:leader="none"/>
        </w:tabs>
        <w:rPr>
          <w:bCs/>
        </w:rPr>
      </w:pPr>
      <w:r>
        <w:rPr>
          <w:bCs/>
        </w:rPr>
        <w:t xml:space="preserve">2.6. Форма оплаты – безналичный расчет, путем перечисления денежных средств на расчетный счет Поставщика. Оплата производится за фактически поставленный товар в течение 7 (семи) рабочих дней на основании </w:t>
      </w:r>
      <w:r>
        <w:t xml:space="preserve">акта приемки товаров, работ, услуг (код формы по ОКУД 0510452), подписанного сторонами контракта.</w:t>
      </w:r>
      <w:r>
        <w:rPr>
          <w:bCs/>
        </w:rPr>
      </w:r>
    </w:p>
    <w:p>
      <w:pPr>
        <w:ind w:firstLine="709"/>
        <w:widowControl w:val="off"/>
        <w:tabs>
          <w:tab w:val="left" w:pos="1418" w:leader="none"/>
        </w:tabs>
        <w:rPr>
          <w:bCs/>
        </w:rPr>
      </w:pPr>
      <w:r>
        <w:rPr>
          <w:bCs/>
        </w:rPr>
        <w:t xml:space="preserve">2.7. Оплата осуществляется по виду расходов классификации расходов бюджетов 244 «Прочая закупка товаров, работ и услуг для обеспечения государственных (муниципальных) нужд».</w:t>
      </w:r>
      <w:r>
        <w:tab/>
      </w:r>
      <w:r>
        <w:rPr>
          <w:bCs/>
        </w:rPr>
      </w:r>
    </w:p>
    <w:p>
      <w:pPr>
        <w:ind w:firstLine="709"/>
        <w:widowControl w:val="off"/>
        <w:tabs>
          <w:tab w:val="left" w:pos="1418" w:leader="none"/>
        </w:tabs>
      </w:pPr>
      <w:r>
        <w:t xml:space="preserve">2.8. Заказчик вправе удержать сумму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w:t>
      </w:r>
      <w:r/>
    </w:p>
    <w:p>
      <w:pPr>
        <w:ind w:firstLine="709"/>
        <w:widowControl w:val="off"/>
        <w:tabs>
          <w:tab w:val="left" w:pos="1418" w:leader="none"/>
        </w:tabs>
        <w:rPr>
          <w:bCs/>
        </w:rPr>
      </w:pPr>
      <w:r>
        <w:rPr>
          <w:bCs/>
        </w:rPr>
      </w:r>
      <w:r>
        <w:rPr>
          <w:bCs/>
        </w:rPr>
      </w:r>
    </w:p>
    <w:p>
      <w:pPr>
        <w:jc w:val="center"/>
        <w:rPr>
          <w:b/>
          <w:bCs/>
        </w:rPr>
        <w:outlineLvl w:val="0"/>
      </w:pPr>
      <w:r>
        <w:rPr>
          <w:b/>
          <w:bCs/>
        </w:rPr>
        <w:t xml:space="preserve">3. Место, сроки и условия поставки товара</w:t>
      </w:r>
      <w:r>
        <w:rPr>
          <w:b/>
          <w:bCs/>
        </w:rPr>
      </w:r>
    </w:p>
    <w:p>
      <w:pPr>
        <w:ind w:firstLine="426"/>
      </w:pPr>
      <w:r>
        <w:t xml:space="preserve">3.1. Место поставки товара: п</w:t>
      </w:r>
      <w:r>
        <w:rPr>
          <w:bCs/>
        </w:rPr>
        <w:t xml:space="preserve">оставка товара осуществляется в тару Заказчика с АЗС, расположенных в г. </w:t>
      </w:r>
      <w:r>
        <w:rPr>
          <w:bCs/>
        </w:rPr>
        <w:t xml:space="preserve">Белгороде</w:t>
      </w:r>
      <w:r>
        <w:rPr>
          <w:bCs/>
        </w:rPr>
        <w:t xml:space="preserve"> </w:t>
      </w:r>
      <w:r>
        <w:rPr>
          <w:rStyle w:val="1102"/>
          <w:b w:val="0"/>
        </w:rPr>
        <w:t xml:space="preserve">и </w:t>
      </w:r>
      <w:r>
        <w:rPr>
          <w:rStyle w:val="1102"/>
          <w:b w:val="0"/>
        </w:rPr>
        <w:t xml:space="preserve">Белгородской</w:t>
      </w:r>
      <w:r>
        <w:rPr>
          <w:rStyle w:val="1102"/>
          <w:b w:val="0"/>
        </w:rPr>
        <w:t xml:space="preserve"> области </w:t>
      </w:r>
      <w:r>
        <w:rPr>
          <w:bCs/>
        </w:rPr>
        <w:t xml:space="preserve">в количестве не менее 3 (трех) АЗС. Перечень и адреса АЗС предоставляются Заказчику Поставщиком в течение 3 (трех) рабочих дней с даты заключения контракта.</w:t>
      </w:r>
      <w:r/>
    </w:p>
    <w:p>
      <w:pPr>
        <w:ind w:firstLine="567"/>
        <w:rPr>
          <w:sz w:val="22"/>
          <w:szCs w:val="22"/>
        </w:rPr>
      </w:pPr>
      <w:r>
        <w:t xml:space="preserve">3.2 Сроки и условия поставки товара: т</w:t>
      </w:r>
      <w:r>
        <w:rPr>
          <w:bCs/>
        </w:rPr>
        <w:t xml:space="preserve">овар поставляется в период с </w:t>
      </w:r>
      <w:r>
        <w:t xml:space="preserve">даты заключения контракта</w:t>
      </w:r>
      <w:r>
        <w:rPr>
          <w:bCs/>
        </w:rPr>
        <w:t xml:space="preserve"> по </w:t>
      </w:r>
      <w:r>
        <w:rPr>
          <w:bCs/>
        </w:rPr>
        <w:t xml:space="preserve">27</w:t>
      </w:r>
      <w:r>
        <w:rPr>
          <w:bCs/>
        </w:rPr>
        <w:t xml:space="preserve">.1</w:t>
      </w:r>
      <w:r>
        <w:rPr>
          <w:bCs/>
        </w:rPr>
        <w:t xml:space="preserve">1</w:t>
      </w:r>
      <w:r>
        <w:rPr>
          <w:bCs/>
        </w:rPr>
        <w:t xml:space="preserve">.2026 включительно.</w:t>
      </w:r>
      <w:r>
        <w:rPr>
          <w:sz w:val="22"/>
          <w:szCs w:val="22"/>
        </w:rPr>
      </w:r>
    </w:p>
    <w:p>
      <w:pPr>
        <w:pStyle w:val="1113"/>
        <w:ind w:firstLine="708"/>
        <w:jc w:val="both"/>
        <w:rPr>
          <w:b/>
          <w:bCs/>
        </w:rPr>
      </w:pPr>
      <w:r>
        <w:rPr>
          <w:b/>
          <w:bCs/>
        </w:rPr>
      </w:r>
      <w:r>
        <w:rPr>
          <w:b/>
          <w:bCs/>
        </w:rPr>
      </w:r>
    </w:p>
    <w:p>
      <w:pPr>
        <w:jc w:val="center"/>
        <w:widowControl w:val="off"/>
        <w:rPr>
          <w:b/>
          <w:bCs/>
        </w:rPr>
      </w:pPr>
      <w:r>
        <w:rPr>
          <w:b/>
          <w:bCs/>
        </w:rPr>
        <w:t xml:space="preserve">4. Права и обязанности Сторон</w:t>
      </w:r>
      <w:r>
        <w:rPr>
          <w:b/>
          <w:bCs/>
        </w:rPr>
      </w:r>
    </w:p>
    <w:p>
      <w:pPr>
        <w:ind w:firstLine="720"/>
        <w:widowControl w:val="off"/>
      </w:pPr>
      <w:r>
        <w:t xml:space="preserve">4.1. Поставщик обязуется: </w:t>
      </w:r>
      <w:r/>
    </w:p>
    <w:p>
      <w:pPr>
        <w:ind w:firstLine="720"/>
        <w:widowControl w:val="off"/>
      </w:pPr>
      <w:r>
        <w:t xml:space="preserve">4.1.1. Осуществлять поставку товара в соответствии с требованиями законодательства </w:t>
      </w:r>
      <w:r>
        <w:t xml:space="preserve">Российской Федерации и контрактом.</w:t>
      </w:r>
      <w:r/>
    </w:p>
    <w:p>
      <w:pPr>
        <w:ind w:firstLine="720"/>
        <w:widowControl w:val="off"/>
      </w:pPr>
      <w:r>
        <w:t xml:space="preserve">4.1.2. Осуществлять поставку товара в объеме и в сроки, предусмотренные контрактом.</w:t>
      </w:r>
      <w:r/>
    </w:p>
    <w:p>
      <w:pPr>
        <w:ind w:firstLine="720"/>
        <w:widowControl w:val="off"/>
      </w:pPr>
      <w:r>
        <w:t xml:space="preserve">4.1.3. Доставить товар на склад Заказчика своими силами и средствами.</w:t>
      </w:r>
      <w:r/>
    </w:p>
    <w:p>
      <w:pPr>
        <w:ind w:firstLine="720"/>
        <w:widowControl w:val="off"/>
      </w:pPr>
      <w:r>
        <w:t xml:space="preserve">4.1.4.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 за свой счет.</w:t>
      </w:r>
      <w:r/>
    </w:p>
    <w:p>
      <w:pPr>
        <w:ind w:firstLine="720"/>
        <w:widowControl w:val="off"/>
      </w:pPr>
      <w:r>
        <w:t xml:space="preserve">4.1.5. Одновременно с поставкой товара предоставить Заказчику сертификаты соответствия,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r/>
    </w:p>
    <w:p>
      <w:pPr>
        <w:ind w:firstLine="720"/>
        <w:widowControl w:val="off"/>
      </w:pPr>
      <w:r>
        <w:t xml:space="preserve">4.1.6. Устранять недостатки товара и его некомплектность в течение 5 (пяти) календарных дней с момента заявления о них Заказчиком.</w:t>
      </w:r>
      <w:r/>
    </w:p>
    <w:p>
      <w:pPr>
        <w:ind w:firstLine="720"/>
        <w:widowControl w:val="off"/>
      </w:pPr>
      <w:r>
        <w:t xml:space="preserve">Расходы, связанные с устранением недостатков товара и некомплектности, несет Поставщик.</w:t>
      </w:r>
      <w:r/>
    </w:p>
    <w:p>
      <w:pPr>
        <w:ind w:firstLine="720"/>
        <w:widowControl w:val="off"/>
      </w:pPr>
      <w:r>
        <w:t xml:space="preserve">4.1.7. Участвовать в приемке-передаче товара в соответствии с разделом 5 контракта.</w:t>
      </w:r>
      <w:r/>
    </w:p>
    <w:p>
      <w:pPr>
        <w:ind w:firstLine="720"/>
        <w:widowControl w:val="off"/>
      </w:pPr>
      <w:r>
        <w:t xml:space="preserve">4.1.8. В случае если при поставке товара персоналом Поставщика нанесены повреждения объекту(</w:t>
      </w:r>
      <w:r>
        <w:t xml:space="preserve">ам</w:t>
      </w:r>
      <w:r>
        <w:t xml:space="preserve">), ответственность и устранение нанесенного ущерба возложить на Поставщика.</w:t>
      </w:r>
      <w:r/>
    </w:p>
    <w:p>
      <w:pPr>
        <w:ind w:firstLine="720"/>
        <w:widowControl w:val="off"/>
      </w:pPr>
      <w:r>
        <w:t xml:space="preserve">4.1.9. Осуществлять поставку товара без остановки рабочего процесса Заказчика.</w:t>
      </w:r>
      <w:r/>
    </w:p>
    <w:p>
      <w:pPr>
        <w:ind w:firstLine="720"/>
        <w:widowControl w:val="off"/>
      </w:pPr>
      <w:r>
        <w:t xml:space="preserve">4.1.10. Осуществлять поставку товара за свой риск, своими силами и техническими средствами, а также силами и техническими средствами привлеченных им соисполнителей на условиях, установленных контрактом;</w:t>
      </w:r>
      <w:r/>
    </w:p>
    <w:p>
      <w:pPr>
        <w:ind w:firstLine="720"/>
        <w:widowControl w:val="off"/>
      </w:pPr>
      <w:r>
        <w:t xml:space="preserve">4.1.11. Не разглашать сведения, полученные о Заказчике в ходе исполнения контракта.</w:t>
      </w:r>
      <w:r/>
    </w:p>
    <w:p>
      <w:pPr>
        <w:ind w:firstLine="720"/>
        <w:widowControl w:val="off"/>
      </w:pPr>
      <w:r>
        <w:t xml:space="preserve">4.1.12. По требованию Заказчика заменить товар на товар, соо</w:t>
      </w:r>
      <w:r>
        <w:t xml:space="preserve">тветствующий по качеству условиям контракта, либо вернуть денежные средства, полученные в счет оплаты данного товара, в течение 5 (пяти) календарных дней с даты получения соответствующего требования Заказчика и забрать товар при обнаружении недостатков и н</w:t>
      </w:r>
      <w:r>
        <w:t xml:space="preserve">евозможности их устранения на месте. Возврат товара, не соответствующего по своему качеству требованиям контракта, не освобождает Поставщика от ответственности за своевременное исполнение обязательств по поставке товара в сроки, предусмотренные контрактом.</w:t>
      </w:r>
      <w:r/>
    </w:p>
    <w:p>
      <w:pPr>
        <w:ind w:firstLine="720"/>
        <w:widowControl w:val="off"/>
      </w:pPr>
      <w:r>
        <w:t xml:space="preserve">4.1.13.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товар Заказчику.</w:t>
      </w:r>
      <w:r/>
    </w:p>
    <w:p>
      <w:pPr>
        <w:ind w:firstLine="720"/>
        <w:widowControl w:val="off"/>
      </w:pPr>
      <w:r>
        <w:t xml:space="preserve">4.2. Поставщик имеет право:</w:t>
      </w:r>
      <w:r/>
    </w:p>
    <w:p>
      <w:pPr>
        <w:ind w:firstLine="720"/>
        <w:widowControl w:val="off"/>
      </w:pPr>
      <w:r>
        <w:t xml:space="preserve">4.2.1. Привлекать соисполнителей для осуществления поставки товара по контракту. Поставщик несет ответственность перед Заказчиком за ненадлежащую поставку товара привлеченными им соисполнителями и за координацию их деятельности.</w:t>
      </w:r>
      <w:r/>
    </w:p>
    <w:p>
      <w:pPr>
        <w:ind w:firstLine="720"/>
        <w:widowControl w:val="off"/>
      </w:pPr>
      <w:r>
        <w:t xml:space="preserve">4.3. Заказчик обязуется:</w:t>
      </w:r>
      <w:r/>
    </w:p>
    <w:p>
      <w:pPr>
        <w:ind w:firstLine="720"/>
        <w:widowControl w:val="off"/>
      </w:pPr>
      <w:r>
        <w:t xml:space="preserve">4.3.1. Обеспечить условия для осуществления поставки товара, обеспечить доступ на объект(ы).</w:t>
      </w:r>
      <w:r/>
    </w:p>
    <w:p>
      <w:pPr>
        <w:ind w:firstLine="720"/>
        <w:widowControl w:val="off"/>
      </w:pPr>
      <w:r>
        <w:t xml:space="preserve">4.3.2. Принять товар в соответствии с разделом 5 контракта при отсутствии претензий относительно качества, количества, ассортимента, комплектности и других характеристик.</w:t>
      </w:r>
      <w:r/>
    </w:p>
    <w:p>
      <w:pPr>
        <w:ind w:firstLine="720"/>
        <w:widowControl w:val="off"/>
      </w:pPr>
      <w:r>
        <w:t xml:space="preserve">4.3.3. Оплатить поставку товара в соответствии с условиями контракта.</w:t>
      </w:r>
      <w:r/>
    </w:p>
    <w:p>
      <w:pPr>
        <w:ind w:firstLine="720"/>
        <w:widowControl w:val="off"/>
      </w:pPr>
      <w:r>
        <w:t xml:space="preserve">4.4. Заказчик имеет право: </w:t>
      </w:r>
      <w:r/>
    </w:p>
    <w:p>
      <w:pPr>
        <w:ind w:firstLine="720"/>
        <w:widowControl w:val="off"/>
      </w:pPr>
      <w:r>
        <w:t xml:space="preserve">4.4.1. Требовать от Поставщика, надлежащего исполнения обязательств по контракту;</w:t>
      </w:r>
      <w:r/>
    </w:p>
    <w:p>
      <w:pPr>
        <w:ind w:firstLine="720"/>
        <w:widowControl w:val="off"/>
      </w:pPr>
      <w:r>
        <w:t xml:space="preserve">4.4.2. Предъявлять претензии по расчетам и к качеству поставляемого товара.</w:t>
      </w:r>
      <w:r/>
    </w:p>
    <w:p>
      <w:pPr>
        <w:ind w:firstLine="720"/>
        <w:widowControl w:val="off"/>
      </w:pPr>
      <w:r>
        <w:t xml:space="preserve">4.4.3. Выполнить иные обязательства, предусмотренные контрактом и действующим законодательством Российской Федерации.</w:t>
      </w:r>
      <w:r/>
    </w:p>
    <w:p>
      <w:pPr>
        <w:ind w:firstLine="720"/>
        <w:widowControl w:val="off"/>
        <w:rPr>
          <w:b/>
          <w:bCs/>
        </w:rPr>
      </w:pPr>
      <w:r>
        <w:rPr>
          <w:b/>
          <w:bCs/>
        </w:rPr>
      </w:r>
      <w:r>
        <w:rPr>
          <w:b/>
          <w:bCs/>
        </w:rPr>
      </w:r>
    </w:p>
    <w:p>
      <w:pPr>
        <w:ind w:firstLine="720"/>
        <w:jc w:val="center"/>
        <w:widowControl w:val="off"/>
        <w:rPr>
          <w:b/>
          <w:bCs/>
        </w:rPr>
      </w:pPr>
      <w:r>
        <w:rPr>
          <w:b/>
          <w:bCs/>
        </w:rPr>
        <w:t xml:space="preserve">5. Порядок приемки и сроки осуществления приемки товара</w:t>
      </w:r>
      <w:r>
        <w:rPr>
          <w:b/>
          <w:bCs/>
        </w:rPr>
      </w:r>
    </w:p>
    <w:p>
      <w:pPr>
        <w:ind w:firstLine="709"/>
        <w:widowControl w:val="off"/>
        <w:tabs>
          <w:tab w:val="right" w:pos="9900" w:leader="none"/>
        </w:tabs>
      </w:pPr>
      <w:r>
        <w:t xml:space="preserve">5.1. Приемка поставленного товара осуществляется Заказчиком по акту приемки товаров, работ, услуг (код формы по ОКУД 0510452) в течение 7 (семи) рабочих дней с момента поставки и включает в себя следующие этапы:</w:t>
      </w:r>
      <w:r/>
    </w:p>
    <w:p>
      <w:pPr>
        <w:ind w:firstLine="709"/>
        <w:widowControl w:val="off"/>
        <w:tabs>
          <w:tab w:val="right" w:pos="9900" w:leader="none"/>
        </w:tabs>
        <w:rPr>
          <w:rFonts w:eastAsia="Calibri"/>
          <w:lang w:eastAsia="en-US"/>
        </w:rPr>
      </w:pPr>
      <w:r>
        <w:rPr>
          <w:rFonts w:eastAsia="Calibri"/>
          <w:lang w:eastAsia="en-US"/>
        </w:rPr>
        <w:t xml:space="preserve">а) проверка комплектности и номенклатуры поставляемого товара на соответствие </w:t>
      </w:r>
      <w:r>
        <w:rPr>
          <w:rFonts w:eastAsia="Calibri"/>
          <w:lang w:eastAsia="en-US"/>
        </w:rPr>
        <w:t xml:space="preserve">контракту;</w:t>
      </w:r>
      <w:r>
        <w:rPr>
          <w:rFonts w:eastAsia="Calibri"/>
          <w:lang w:eastAsia="en-US"/>
        </w:rPr>
      </w:r>
    </w:p>
    <w:p>
      <w:pPr>
        <w:ind w:firstLine="709"/>
        <w:widowControl w:val="off"/>
        <w:tabs>
          <w:tab w:val="right" w:pos="9900" w:leader="none"/>
        </w:tabs>
        <w:rPr>
          <w:rFonts w:eastAsia="Calibri"/>
          <w:lang w:eastAsia="en-US"/>
        </w:rPr>
      </w:pPr>
      <w:r>
        <w:rPr>
          <w:rFonts w:eastAsia="Calibri"/>
          <w:lang w:eastAsia="en-US"/>
        </w:rPr>
        <w:t xml:space="preserve">б) проверка соответствия наименования и характеристик товара, требованиям, указанным в контракте; </w:t>
      </w:r>
      <w:r>
        <w:rPr>
          <w:rFonts w:eastAsia="Calibri"/>
          <w:lang w:eastAsia="en-US"/>
        </w:rPr>
      </w:r>
    </w:p>
    <w:p>
      <w:pPr>
        <w:ind w:firstLine="709"/>
        <w:widowControl w:val="off"/>
        <w:tabs>
          <w:tab w:val="right" w:pos="9900" w:leader="none"/>
        </w:tabs>
        <w:rPr>
          <w:rFonts w:eastAsia="Calibri"/>
          <w:lang w:eastAsia="en-US"/>
        </w:rPr>
      </w:pPr>
      <w:r>
        <w:rPr>
          <w:rFonts w:eastAsia="Calibri"/>
          <w:lang w:eastAsia="en-US"/>
        </w:rPr>
        <w:t xml:space="preserve">в) проверка полноты и правильности оформления комплекта документов по передаче товара, в соответствии с условиями контракта;</w:t>
      </w:r>
      <w:r>
        <w:rPr>
          <w:rFonts w:eastAsia="Calibri"/>
          <w:lang w:eastAsia="en-US"/>
        </w:rPr>
      </w:r>
    </w:p>
    <w:p>
      <w:pPr>
        <w:ind w:firstLine="709"/>
        <w:rPr>
          <w:sz w:val="22"/>
          <w:szCs w:val="22"/>
        </w:rPr>
      </w:pPr>
      <w:r>
        <w:t xml:space="preserve">5.2. Одновременно с поставкой товара Поставщик предоставляет Заказчику: сертификаты соотве</w:t>
      </w:r>
      <w:r>
        <w:t xml:space="preserve">тствия, обязательные для данного вида товара, и товарные накладные. Наименования и единицы измерения товаров в товарных накладных и акте приемки товаров, работ, услуг (код формы по ОКУД 0510452) должны быть указаны в соответствии с Приложением к контракту.</w:t>
      </w:r>
      <w:r>
        <w:rPr>
          <w:sz w:val="22"/>
          <w:szCs w:val="22"/>
        </w:rPr>
      </w:r>
    </w:p>
    <w:p>
      <w:pPr>
        <w:ind w:firstLine="709"/>
        <w:widowControl w:val="off"/>
        <w:tabs>
          <w:tab w:val="right" w:pos="9900" w:leader="none"/>
        </w:tabs>
      </w:pPr>
      <w:r>
        <w:t xml:space="preserve">5.3. В срок, установленный пунктом 5.1 Контракта, Заказчик и Поставщик оформляют акт приемки товаров, работ, услуг (код формы по ОКУД 0510452) в порядке, предусмотренном Приказом Минфина России от 15.04.20</w:t>
      </w:r>
      <w:r>
        <w:t xml:space="preserve">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p>
    <w:p>
      <w:pPr>
        <w:widowControl w:val="off"/>
      </w:pPr>
      <w:r>
        <w:t xml:space="preserve">           5.3.1. </w:t>
      </w:r>
      <w:r>
        <w:rPr>
          <w:color w:val="000000"/>
        </w:rPr>
        <w:t xml:space="preserve">Заказчик в течение 3 (трех) рабочих дней, следующих за днем поставки товара</w:t>
      </w:r>
      <w:r>
        <w:rPr>
          <w:rFonts w:eastAsia="Calibri"/>
        </w:rPr>
        <w:t xml:space="preserve">,</w:t>
      </w:r>
      <w:r>
        <w:rPr>
          <w:color w:val="000000"/>
        </w:rPr>
        <w:t xml:space="preserve"> формирует проект акта </w:t>
      </w:r>
      <w:r>
        <w:t xml:space="preserve">приемки товаров, работ, услуг (код формы по ОКУД 0510452) </w:t>
      </w:r>
      <w:r>
        <w:rPr>
          <w:color w:val="000000"/>
        </w:rPr>
        <w:t xml:space="preserve">и направляет его </w:t>
      </w:r>
      <w:r>
        <w:t xml:space="preserve">Поставщику</w:t>
      </w:r>
      <w:r>
        <w:rPr>
          <w:color w:val="000000"/>
        </w:rPr>
        <w:t xml:space="preserve">. В случае отказа от приемки Заказчик к проекту акта </w:t>
      </w:r>
      <w:r>
        <w:t xml:space="preserve">приемки товаров, работ, услуг (код формы по ОКУД 0510452)</w:t>
      </w:r>
      <w:r>
        <w:rPr>
          <w:color w:val="000000"/>
        </w:rPr>
        <w:t xml:space="preserve"> прикладывает </w:t>
      </w:r>
      <w:r>
        <w:t xml:space="preserve">мотивированный отказ от приемки товара.</w:t>
      </w:r>
      <w:r/>
    </w:p>
    <w:p>
      <w:pPr>
        <w:ind w:firstLine="708"/>
        <w:widowControl w:val="off"/>
      </w:pPr>
      <w:r>
        <w:rPr>
          <w:color w:val="000000"/>
        </w:rPr>
        <w:t xml:space="preserve">5.3.2. </w:t>
      </w:r>
      <w:r>
        <w:t xml:space="preserve">Поставщик </w:t>
      </w:r>
      <w:r>
        <w:rPr>
          <w:color w:val="000000"/>
        </w:rPr>
        <w:t xml:space="preserve">в течение 2 (двух) рабочих дней, следующих за днем поступления проекта акта </w:t>
      </w:r>
      <w:r>
        <w:t xml:space="preserve">приемки товаров, работ, услуг (код формы по ОКУД 0510452), </w:t>
      </w:r>
      <w:r>
        <w:rPr>
          <w:color w:val="000000"/>
        </w:rPr>
        <w:t xml:space="preserve">подписывает его и направляет Заказчику.</w:t>
      </w:r>
      <w:r>
        <w:t xml:space="preserve"> </w:t>
      </w:r>
      <w:r/>
    </w:p>
    <w:p>
      <w:pPr>
        <w:ind w:firstLine="708"/>
        <w:widowControl w:val="off"/>
      </w:pPr>
      <w:r>
        <w:t xml:space="preserve">5.3.3. Заказчик </w:t>
      </w:r>
      <w:r>
        <w:rPr>
          <w:color w:val="000000"/>
        </w:rPr>
        <w:t xml:space="preserve">в течение 2 (двух) рабочих дней, следующих за днем поступления </w:t>
      </w:r>
      <w:r>
        <w:t xml:space="preserve">подписанного Поставщиком </w:t>
      </w:r>
      <w:r>
        <w:rPr>
          <w:color w:val="000000"/>
        </w:rPr>
        <w:t xml:space="preserve">акта </w:t>
      </w:r>
      <w:r>
        <w:t xml:space="preserve">приемки товаров, работ, услуг (код формы по ОКУД 0510452), утверждает его.</w:t>
      </w:r>
      <w:r/>
    </w:p>
    <w:p>
      <w:pPr>
        <w:ind w:firstLine="708"/>
        <w:widowControl w:val="off"/>
        <w:rPr>
          <w:color w:val="000000"/>
        </w:rPr>
      </w:pPr>
      <w:r>
        <w:t xml:space="preserve">5.3.4. Датой приемки поставленного товара считается дата утверждения Заказчиком подписанного Поставщиком </w:t>
      </w:r>
      <w:r>
        <w:rPr>
          <w:color w:val="000000"/>
        </w:rPr>
        <w:t xml:space="preserve">акта </w:t>
      </w:r>
      <w:r>
        <w:t xml:space="preserve">приемки товаров, работ, услуг (код формы по ОКУД 0510452).</w:t>
      </w:r>
      <w:r>
        <w:rPr>
          <w:color w:val="000000"/>
        </w:rPr>
      </w:r>
    </w:p>
    <w:p>
      <w:pPr>
        <w:ind w:firstLine="709"/>
        <w:widowControl w:val="off"/>
        <w:tabs>
          <w:tab w:val="right" w:pos="9900" w:leader="none"/>
        </w:tabs>
      </w:pPr>
      <w:r>
        <w:t xml:space="preserve">5.4. Переход права собственн</w:t>
      </w:r>
      <w:r>
        <w:t xml:space="preserve">ости на товар от Поставщика к Заказчику происходит в момент утверждения Заказчиком подписанного Поставщиком акта приемки товаров, работ, услуг (код формы по ОКУД 0510452), с этого момента риск случайной гибели, утраты или повреждения переходит к Заказчику.</w:t>
      </w:r>
      <w:r/>
    </w:p>
    <w:p>
      <w:pPr>
        <w:ind w:firstLine="709"/>
      </w:pPr>
      <w:r>
        <w:t xml:space="preserve">5.5. В соответствии с Федеральным законом от 05.04.2013 № 44-ФЗ для проверки поставляемого товара Поставщиком, предусмотренного контрактом, в части их соответствия условиям контракта Заказчик обязан провести экспертизу. Эксперт</w:t>
      </w:r>
      <w:r>
        <w:t xml:space="preserve">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r/>
    </w:p>
    <w:p>
      <w:pPr>
        <w:ind w:firstLine="709"/>
      </w:pPr>
      <w:r>
        <w:t xml:space="preserve">5.6. По решению Заказчика для приемки товара может создаваться приемочная комиссия, которая состоит не менее чем из пяти человек.</w:t>
      </w:r>
      <w:r/>
    </w:p>
    <w:p>
      <w:pPr>
        <w:ind w:firstLine="720"/>
      </w:pPr>
      <w:r>
        <w:t xml:space="preserve">5.7. В случае мотивированного отказа Заказчика Поставщик обязан в срок, указанный в мотивированном отказе, провести необходимые доработки без дополнительной оплаты при условии, что они не выходят за пределы требований, предусмотренных контрактом</w:t>
      </w:r>
      <w:r>
        <w:rPr>
          <w:color w:val="000000"/>
          <w:spacing w:val="-2"/>
        </w:rPr>
        <w:t xml:space="preserve">,</w:t>
      </w:r>
      <w:r>
        <w:t xml:space="preserve"> и передать </w:t>
      </w:r>
      <w:r>
        <w:t xml:space="preserve">Заказчику надлежащий товар, а также повторно предоставить товарные накладные в срок, указанный в мотивированном отказе. Приемка повторно поставленного товара осуществляется в порядке и сроки, предусмотренные пунктами 5.1, 5.2, 5.3, 5.3.1 - 5.3.4 контракта.</w:t>
      </w:r>
      <w:r/>
    </w:p>
    <w:p>
      <w:pPr>
        <w:ind w:firstLine="720"/>
      </w:pPr>
      <w:r>
        <w:t xml:space="preserve">5.8. В случае направления Поставщику повторно</w:t>
      </w:r>
      <w:r>
        <w:t xml:space="preserve">го мотивированного отказа поставляемый товар считается непринятым, а Заказчик вправе инициировать расторжение контракта в порядке, установленном действующим законодательством Российской Федерации, с применением штрафных санкций, предусмотренных контрактом.</w:t>
      </w:r>
      <w:r/>
    </w:p>
    <w:p>
      <w:pPr>
        <w:pStyle w:val="1127"/>
        <w:jc w:val="center"/>
        <w:spacing w:before="0" w:after="0"/>
        <w:rPr>
          <w:sz w:val="24"/>
          <w:szCs w:val="24"/>
        </w:rPr>
      </w:pPr>
      <w:r>
        <w:rPr>
          <w:sz w:val="24"/>
          <w:szCs w:val="24"/>
        </w:rPr>
      </w:r>
      <w:r>
        <w:rPr>
          <w:sz w:val="24"/>
          <w:szCs w:val="24"/>
        </w:rPr>
      </w:r>
    </w:p>
    <w:p>
      <w:pPr>
        <w:pStyle w:val="1127"/>
        <w:jc w:val="center"/>
        <w:spacing w:before="0" w:after="0"/>
        <w:rPr>
          <w:sz w:val="24"/>
          <w:szCs w:val="24"/>
        </w:rPr>
      </w:pPr>
      <w:r>
        <w:rPr>
          <w:sz w:val="24"/>
          <w:szCs w:val="24"/>
        </w:rPr>
        <w:t xml:space="preserve">6. Ответственность Сторон за неисполнение и ненадлежащее исполнение обязательств, предусмотренных контрактом</w:t>
      </w:r>
      <w:r>
        <w:rPr>
          <w:sz w:val="24"/>
          <w:szCs w:val="24"/>
        </w:rPr>
      </w:r>
    </w:p>
    <w:p>
      <w:pPr>
        <w:pStyle w:val="1113"/>
        <w:ind w:firstLine="708"/>
        <w:jc w:val="both"/>
        <w:rPr>
          <w:sz w:val="24"/>
          <w:szCs w:val="24"/>
        </w:rPr>
      </w:pPr>
      <w:r>
        <w:rPr>
          <w:sz w:val="24"/>
          <w:szCs w:val="24"/>
        </w:rPr>
        <w:t xml:space="preserve">6.1. Заказчик и Поставщик несут ответственность за неисполнение или ненадлежащее исполнение обязательств, предусмотренных контрактом.</w:t>
      </w:r>
      <w:r>
        <w:rPr>
          <w:sz w:val="24"/>
          <w:szCs w:val="24"/>
        </w:rPr>
      </w:r>
    </w:p>
    <w:p>
      <w:pPr>
        <w:pStyle w:val="1113"/>
        <w:ind w:firstLine="708"/>
        <w:jc w:val="both"/>
        <w:rPr>
          <w:sz w:val="24"/>
          <w:szCs w:val="24"/>
        </w:rPr>
      </w:pPr>
      <w:r>
        <w:rPr>
          <w:sz w:val="24"/>
          <w:szCs w:val="24"/>
        </w:rPr>
        <w:t xml:space="preserve">6.2. В случае</w:t>
      </w:r>
      <w:r>
        <w:rPr>
          <w:sz w:val="24"/>
          <w:szCs w:val="24"/>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r>
        <w:rPr>
          <w:sz w:val="24"/>
          <w:szCs w:val="24"/>
        </w:rPr>
      </w:r>
    </w:p>
    <w:p>
      <w:pPr>
        <w:ind w:firstLine="708"/>
      </w:pPr>
      <w: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w:t>
      </w:r>
      <w:r>
        <w:t xml:space="preserve">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p>
    <w:p>
      <w:pPr>
        <w:pStyle w:val="1113"/>
        <w:ind w:firstLine="708"/>
        <w:jc w:val="both"/>
        <w:rPr>
          <w:sz w:val="24"/>
          <w:szCs w:val="24"/>
        </w:rPr>
      </w:pPr>
      <w:r>
        <w:rPr>
          <w:sz w:val="24"/>
          <w:szCs w:val="24"/>
        </w:rPr>
        <w:t xml:space="preserve">6.4. Штраф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w:t>
      </w:r>
      <w:hyperlink r:id="rId12" w:tooltip="consultantplus://offline/ref=D0EA6D5523D853CD89279C5FF8F445E19EBEE92152FF86CA0EF7EDC82FE4F70432FE212BD9BF3EDD3292FD0D1CFFAE26F934FECF71458C29T0F5G" w:history="1">
        <w:r>
          <w:rPr>
            <w:rStyle w:val="914"/>
            <w:color w:val="000000"/>
            <w:sz w:val="24"/>
            <w:szCs w:val="24"/>
            <w:u w:val="none"/>
          </w:rPr>
          <w:t xml:space="preserve">порядке</w:t>
        </w:r>
      </w:hyperlink>
      <w:r>
        <w:rPr>
          <w:sz w:val="24"/>
          <w:szCs w:val="24"/>
        </w:rPr>
        <w:t xml:space="preserve">, установленном Правительством Российской Федерации, и составляет 1000,00 рублей.</w:t>
      </w:r>
      <w:r>
        <w:rPr>
          <w:sz w:val="24"/>
          <w:szCs w:val="24"/>
        </w:rPr>
      </w:r>
    </w:p>
    <w:p>
      <w:pPr>
        <w:pStyle w:val="1113"/>
        <w:jc w:val="both"/>
        <w:rPr>
          <w:sz w:val="24"/>
          <w:szCs w:val="24"/>
        </w:rPr>
      </w:pPr>
      <w:r>
        <w:rPr>
          <w:i/>
          <w:sz w:val="24"/>
          <w:szCs w:val="24"/>
        </w:rPr>
        <w:t xml:space="preserve"> </w:t>
      </w:r>
      <w:r>
        <w:rPr>
          <w:i/>
          <w:sz w:val="24"/>
          <w:szCs w:val="24"/>
        </w:rPr>
        <w:tab/>
      </w:r>
      <w:r>
        <w:rPr>
          <w:sz w:val="24"/>
          <w:szCs w:val="24"/>
        </w:rPr>
        <w:t xml:space="preserve">6.5. В случае просрочки исполнения Поставщиком обязательств (в том числ</w:t>
      </w:r>
      <w:r>
        <w:rPr>
          <w:sz w:val="24"/>
          <w:szCs w:val="24"/>
        </w:rPr>
        <w:t xml:space="preserve">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Pr>
          <w:sz w:val="24"/>
          <w:szCs w:val="24"/>
        </w:rPr>
      </w:r>
    </w:p>
    <w:p>
      <w:pPr>
        <w:pStyle w:val="1113"/>
        <w:ind w:firstLine="708"/>
        <w:jc w:val="both"/>
        <w:rPr>
          <w:sz w:val="24"/>
          <w:szCs w:val="24"/>
        </w:rPr>
      </w:pPr>
      <w:r>
        <w:rPr>
          <w:sz w:val="24"/>
          <w:szCs w:val="24"/>
        </w:rPr>
        <w:t xml:space="preserve">6.6. Пеня начисляется за каждый день просрочки исполнения Поставщиком обязательства, предусмотренного кон</w:t>
      </w:r>
      <w:r>
        <w:rPr>
          <w:sz w:val="24"/>
          <w:szCs w:val="24"/>
        </w:rPr>
        <w:t xml:space="preserve">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w:t>
      </w:r>
      <w:r>
        <w:rPr>
          <w:color w:val="ff0000"/>
        </w:rPr>
        <w:t xml:space="preserve"> </w:t>
      </w:r>
      <w:r>
        <w:rPr>
          <w:sz w:val="24"/>
          <w:szCs w:val="24"/>
        </w:rPr>
        <w:t xml:space="preserve">от цены контракта, уменьшенной на сумму, пропорциональную объему обязательств, предусмотренных контрактом и фактически исполненных Поставщиком.</w:t>
      </w:r>
      <w:r>
        <w:rPr>
          <w:sz w:val="24"/>
          <w:szCs w:val="24"/>
        </w:rPr>
      </w:r>
    </w:p>
    <w:p>
      <w:pPr>
        <w:pStyle w:val="1113"/>
        <w:ind w:firstLine="708"/>
        <w:jc w:val="both"/>
        <w:rPr>
          <w:sz w:val="24"/>
          <w:szCs w:val="24"/>
        </w:rPr>
      </w:pPr>
      <w:r>
        <w:rPr>
          <w:sz w:val="24"/>
          <w:szCs w:val="24"/>
        </w:rPr>
        <w:t xml:space="preserve">6.7</w:t>
      </w:r>
      <w:r>
        <w:rPr>
          <w:sz w:val="24"/>
          <w:szCs w:val="24"/>
        </w:rPr>
        <w:t xml:space="preserve">. Штраф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w:t>
      </w:r>
      <w:hyperlink r:id="rId13" w:tooltip="consultantplus://offline/ref=D0EA6D5523D853CD89279C5FF8F445E19EBEE92152FF86CA0EF7EDC82FE4F70432FE212BD9BF3EDD3292FD0D1CFFAE26F934FECF71458C29T0F5G" w:history="1">
        <w:r>
          <w:rPr>
            <w:rStyle w:val="914"/>
            <w:color w:val="000000"/>
            <w:sz w:val="24"/>
            <w:szCs w:val="24"/>
            <w:u w:val="none"/>
          </w:rPr>
          <w:t xml:space="preserve">порядке</w:t>
        </w:r>
      </w:hyperlink>
      <w:r>
        <w:rPr>
          <w:sz w:val="24"/>
          <w:szCs w:val="24"/>
        </w:rPr>
        <w:t xml:space="preserve">, установленном Правительством Российской Федерации,  и составляет ________рублей.</w:t>
      </w:r>
      <w:r>
        <w:rPr>
          <w:sz w:val="24"/>
          <w:szCs w:val="24"/>
        </w:rPr>
      </w:r>
    </w:p>
    <w:p>
      <w:pPr>
        <w:ind w:firstLine="540"/>
        <w:rPr>
          <w:i/>
          <w:iCs/>
          <w:color w:val="000000"/>
        </w:rPr>
      </w:pPr>
      <w:r>
        <w:rPr>
          <w:i/>
          <w:iCs/>
          <w:color w:val="000000"/>
        </w:rPr>
        <w:t xml:space="preserve">10 процентов цены контракта (этапа) в случае, если цена контракта (этапа) не превышает 3 млн. рублей;</w:t>
      </w:r>
      <w:r>
        <w:rPr>
          <w:i/>
          <w:iCs/>
          <w:color w:val="000000"/>
        </w:rPr>
      </w:r>
    </w:p>
    <w:p>
      <w:pPr>
        <w:pStyle w:val="1113"/>
        <w:ind w:firstLine="708"/>
        <w:jc w:val="both"/>
        <w:rPr>
          <w:sz w:val="24"/>
          <w:szCs w:val="24"/>
        </w:rPr>
      </w:pPr>
      <w:r>
        <w:rPr>
          <w:color w:val="000000"/>
          <w:sz w:val="24"/>
          <w:szCs w:val="24"/>
        </w:rPr>
        <w:t xml:space="preserve">6.8. Штраф з</w:t>
      </w:r>
      <w:r>
        <w:rPr>
          <w:sz w:val="24"/>
          <w:szCs w:val="24"/>
        </w:rPr>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составляет 1000,00 рублей.</w:t>
      </w:r>
      <w:r>
        <w:rPr>
          <w:sz w:val="24"/>
          <w:szCs w:val="24"/>
        </w:rPr>
      </w:r>
    </w:p>
    <w:p>
      <w:pPr>
        <w:pStyle w:val="1113"/>
        <w:ind w:firstLine="708"/>
        <w:jc w:val="both"/>
        <w:rPr>
          <w:sz w:val="24"/>
          <w:szCs w:val="24"/>
        </w:rPr>
      </w:pPr>
      <w:r>
        <w:rPr>
          <w:sz w:val="24"/>
          <w:szCs w:val="24"/>
        </w:rPr>
        <w:t xml:space="preserve">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sz w:val="24"/>
          <w:szCs w:val="24"/>
        </w:rPr>
      </w:r>
    </w:p>
    <w:p>
      <w:pPr>
        <w:pStyle w:val="1113"/>
        <w:ind w:firstLine="708"/>
        <w:jc w:val="both"/>
        <w:rPr>
          <w:sz w:val="24"/>
          <w:szCs w:val="24"/>
        </w:rPr>
      </w:pPr>
      <w:r>
        <w:rPr>
          <w:sz w:val="24"/>
          <w:szCs w:val="24"/>
        </w:rPr>
        <w:t xml:space="preserve">6.10. В случае принятия решения о вз</w:t>
      </w:r>
      <w:r>
        <w:rPr>
          <w:sz w:val="24"/>
          <w:szCs w:val="24"/>
        </w:rPr>
        <w:t xml:space="preserve">ыскании с Поставщика неустоек (штрафов, пеней), предусмотренных контрактом, Заказчиком в соответствии с пунктом 6.5. контракта выставляется Поставщику требование о выплате неустойки (штрафа, пеней), в котором, в том числе, указывается сумма неустойки (штра</w:t>
      </w:r>
      <w:r>
        <w:rPr>
          <w:sz w:val="24"/>
          <w:szCs w:val="24"/>
        </w:rPr>
        <w:t xml:space="preserve">фа, пеней) по контракту, расчет суммы неустойки (штрафа, пеней) на конкретную дату, а также реквизиты счета, на который Поставщик должен перечислить денежные средства в уплату такой неустойки (штрафа, пеней), и сроки перечисления неустойки (штрафа, пеней).</w:t>
      </w:r>
      <w:r>
        <w:rPr>
          <w:sz w:val="24"/>
          <w:szCs w:val="24"/>
        </w:rPr>
      </w:r>
    </w:p>
    <w:p>
      <w:pPr>
        <w:pStyle w:val="1113"/>
        <w:ind w:firstLine="708"/>
        <w:jc w:val="both"/>
        <w:rPr>
          <w:sz w:val="24"/>
          <w:szCs w:val="24"/>
        </w:rPr>
      </w:pPr>
      <w:r>
        <w:rPr>
          <w:sz w:val="24"/>
          <w:szCs w:val="24"/>
        </w:rPr>
        <w:t xml:space="preserve">6.11. Выплата неустоек (штрафов, пеней), предусмотренных контрактом, не освобождает Стороны от исполнения обязательств по контракту.</w:t>
      </w:r>
      <w:r>
        <w:rPr>
          <w:sz w:val="24"/>
          <w:szCs w:val="24"/>
        </w:rPr>
      </w:r>
    </w:p>
    <w:p>
      <w:pPr>
        <w:pStyle w:val="1113"/>
        <w:ind w:firstLine="708"/>
        <w:jc w:val="both"/>
        <w:rPr>
          <w:sz w:val="24"/>
          <w:szCs w:val="24"/>
        </w:rPr>
      </w:pPr>
      <w:r>
        <w:rPr>
          <w:sz w:val="24"/>
          <w:szCs w:val="24"/>
        </w:rPr>
        <w:t xml:space="preserve">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sz w:val="24"/>
          <w:szCs w:val="24"/>
        </w:rPr>
      </w:r>
    </w:p>
    <w:p>
      <w:pPr>
        <w:pStyle w:val="1113"/>
        <w:ind w:firstLine="708"/>
        <w:jc w:val="both"/>
        <w:rPr>
          <w:sz w:val="24"/>
          <w:szCs w:val="24"/>
        </w:rPr>
      </w:pPr>
      <w:r>
        <w:rPr>
          <w:sz w:val="24"/>
          <w:szCs w:val="24"/>
        </w:rPr>
        <w:t xml:space="preserve">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sz w:val="24"/>
          <w:szCs w:val="24"/>
        </w:rPr>
      </w:r>
    </w:p>
    <w:p>
      <w:pPr>
        <w:pStyle w:val="1113"/>
        <w:ind w:firstLine="708"/>
        <w:jc w:val="both"/>
        <w:rPr>
          <w:sz w:val="24"/>
          <w:szCs w:val="24"/>
        </w:rPr>
      </w:pPr>
      <w:r>
        <w:rPr>
          <w:sz w:val="24"/>
          <w:szCs w:val="24"/>
        </w:rPr>
      </w:r>
      <w:r>
        <w:rPr>
          <w:sz w:val="24"/>
          <w:szCs w:val="24"/>
        </w:rPr>
      </w:r>
    </w:p>
    <w:p>
      <w:pPr>
        <w:jc w:val="center"/>
        <w:rPr>
          <w:b/>
        </w:rPr>
      </w:pPr>
      <w:r>
        <w:rPr>
          <w:b/>
        </w:rPr>
        <w:t xml:space="preserve">7. Обстоятельства непреодолимой силы</w:t>
      </w:r>
      <w:r>
        <w:rPr>
          <w:b/>
        </w:rPr>
      </w:r>
    </w:p>
    <w:p>
      <w:pPr>
        <w:pStyle w:val="981"/>
        <w:ind w:firstLine="720"/>
        <w:spacing w:after="0"/>
        <w:rPr>
          <w:spacing w:val="-2"/>
          <w:lang w:val="ru-RU"/>
        </w:rPr>
      </w:pPr>
      <w:r>
        <w:rPr>
          <w:lang w:val="ru-RU"/>
        </w:rPr>
        <w:t xml:space="preserve">7.1. Ни одна из Сторон не будет нести ответственность за полное или частичное неисполнение обязательств по контракту, если оно явилось</w:t>
      </w:r>
      <w:r>
        <w:rPr>
          <w:spacing w:val="-2"/>
          <w:lang w:val="ru-RU"/>
        </w:rPr>
        <w:t xml:space="preserve"> следствием природных явлений, военных действий и прочих обстоятельств непреодолимой силы (форс-мажора) и если эти обстоятельства непосредственно повлияли на исполнение контракта.</w:t>
      </w:r>
      <w:r>
        <w:rPr>
          <w:spacing w:val="-2"/>
          <w:lang w:val="ru-RU"/>
        </w:rPr>
      </w:r>
    </w:p>
    <w:p>
      <w:pPr>
        <w:pStyle w:val="981"/>
        <w:ind w:firstLine="720"/>
        <w:spacing w:after="0"/>
        <w:rPr>
          <w:lang w:val="ru-RU"/>
        </w:rPr>
      </w:pPr>
      <w:r>
        <w:rPr>
          <w:lang w:val="ru-RU"/>
        </w:rPr>
        <w:t xml:space="preserve">7.2. Сторона, для которой создалась невозможность исполнения обязательств по контракту, обязана немедленно, не позднее 5 (пяти) календарных дней с момента их наступления, известить в письменной форме другую </w:t>
      </w:r>
      <w:r>
        <w:t xml:space="preserve">Сторону</w:t>
      </w:r>
      <w:r>
        <w:t xml:space="preserve"> о </w:t>
      </w:r>
      <w:r>
        <w:t xml:space="preserve">наступлении</w:t>
      </w:r>
      <w:r>
        <w:t xml:space="preserve"> и </w:t>
      </w:r>
      <w:r>
        <w:t xml:space="preserve">прекращении</w:t>
      </w:r>
      <w:r>
        <w:t xml:space="preserve"> </w:t>
      </w:r>
      <w:r>
        <w:t xml:space="preserve">вышеуказанных</w:t>
      </w:r>
      <w:r>
        <w:t xml:space="preserve"> </w:t>
      </w:r>
      <w:r>
        <w:t xml:space="preserve">обстоятельств</w:t>
      </w:r>
      <w:r>
        <w:t xml:space="preserve">. </w:t>
      </w:r>
      <w:r>
        <w:rPr>
          <w:lang w:val="ru-RU"/>
        </w:rPr>
        <w:t xml:space="preserve">Информация должна содержать данные о характере обстоятельств, оценку их влияния на исполнение Стороной своих обязательств по контракту и на срок исполнения обязательств.</w:t>
      </w:r>
      <w:r>
        <w:rPr>
          <w:lang w:val="ru-RU"/>
        </w:rPr>
      </w:r>
    </w:p>
    <w:p>
      <w:pPr>
        <w:pStyle w:val="981"/>
        <w:ind w:firstLine="720"/>
        <w:spacing w:after="0"/>
        <w:rPr>
          <w:lang w:val="ru-RU"/>
        </w:rPr>
      </w:pPr>
      <w:r>
        <w:rPr>
          <w:lang w:val="ru-RU"/>
        </w:rPr>
        <w:t xml:space="preserve">7.3. Несвоевременное извещение об обстоятельствах непреодолимой силы лишает соответствующую Сторону права ссылаться на них в будущем.</w:t>
      </w:r>
      <w:r>
        <w:rPr>
          <w:lang w:val="ru-RU"/>
        </w:rPr>
      </w:r>
    </w:p>
    <w:p>
      <w:pPr>
        <w:pStyle w:val="981"/>
        <w:ind w:firstLine="720"/>
        <w:spacing w:after="0"/>
        <w:rPr>
          <w:lang w:val="ru-RU"/>
        </w:rPr>
      </w:pPr>
      <w:r>
        <w:rPr>
          <w:lang w:val="ru-RU"/>
        </w:rPr>
        <w:t xml:space="preserve">7.4. Сторона, ссылающаяся на обстоятельства непреодолимой силы, должна представить документы компетентных органов, подтверждающих такие обстоятельства.</w:t>
      </w:r>
      <w:r>
        <w:rPr>
          <w:lang w:val="ru-RU"/>
        </w:rPr>
      </w:r>
    </w:p>
    <w:p>
      <w:pPr>
        <w:pStyle w:val="981"/>
        <w:ind w:firstLine="720"/>
        <w:spacing w:after="0"/>
        <w:rPr>
          <w:lang w:val="ru-RU"/>
        </w:rPr>
      </w:pPr>
      <w:r>
        <w:rPr>
          <w:lang w:val="ru-RU"/>
        </w:rPr>
      </w:r>
      <w:r>
        <w:rPr>
          <w:lang w:val="ru-RU"/>
        </w:rPr>
      </w:r>
    </w:p>
    <w:p>
      <w:pPr>
        <w:pStyle w:val="981"/>
        <w:jc w:val="center"/>
        <w:spacing w:after="0"/>
        <w:rPr>
          <w:b/>
          <w:lang w:val="ru-RU"/>
        </w:rPr>
      </w:pPr>
      <w:r>
        <w:rPr>
          <w:b/>
          <w:lang w:val="ru-RU"/>
        </w:rPr>
        <w:t xml:space="preserve">8. Срок действия контракта</w:t>
      </w:r>
      <w:r>
        <w:rPr>
          <w:b/>
          <w:lang w:val="ru-RU"/>
        </w:rPr>
      </w:r>
    </w:p>
    <w:p>
      <w:pPr>
        <w:pStyle w:val="981"/>
        <w:ind w:firstLine="709"/>
        <w:spacing w:after="0"/>
        <w:widowControl w:val="off"/>
        <w:rPr>
          <w:lang w:val="ru-RU"/>
        </w:rPr>
      </w:pPr>
      <w:r>
        <w:rPr>
          <w:lang w:val="ru-RU"/>
        </w:rPr>
        <w:t xml:space="preserve">8.1. Контракт вступает в силу с момента заключения и действует до полного выполнения Сторонами всех обязательств по контракту.</w:t>
      </w:r>
      <w:r>
        <w:rPr>
          <w:lang w:val="ru-RU"/>
        </w:rPr>
      </w:r>
    </w:p>
    <w:p>
      <w:pPr>
        <w:ind w:right="-13" w:firstLine="708"/>
        <w:rPr>
          <w:b/>
        </w:rPr>
      </w:pPr>
      <w:r>
        <w:rPr>
          <w:b/>
        </w:rPr>
      </w:r>
      <w:r>
        <w:rPr>
          <w:b/>
        </w:rPr>
      </w:r>
    </w:p>
    <w:p>
      <w:pPr>
        <w:ind w:firstLine="708"/>
        <w:jc w:val="center"/>
        <w:rPr>
          <w:b/>
        </w:rPr>
      </w:pPr>
      <w:r>
        <w:rPr>
          <w:b/>
        </w:rPr>
        <w:t xml:space="preserve">9. Порядок и условия изменения (расторжения) контракта</w:t>
      </w:r>
      <w:r>
        <w:rPr>
          <w:b/>
        </w:rPr>
      </w:r>
    </w:p>
    <w:p>
      <w:pPr>
        <w:ind w:firstLine="709"/>
      </w:pPr>
      <w:r>
        <w:t xml:space="preserve">9.1. Изменение существенных условий контракта при его исполнении не допускается, за исключением случаев, предусмотренных Федеральным законом от 05.04.2013 № 44-ФЗ.</w:t>
      </w:r>
      <w:r/>
    </w:p>
    <w:p>
      <w:pPr>
        <w:ind w:firstLine="709"/>
      </w:pPr>
      <w:r>
        <w:t xml:space="preserve">9.2.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p>
    <w:p>
      <w:pPr>
        <w:ind w:firstLine="708"/>
      </w:pPr>
      <w:r>
        <w:t xml:space="preserve">9.3. В случае перемены Заказчика права и обязанности Заказчика, предусмотренные контрактом, переходят к новому Заказчику.</w:t>
      </w:r>
      <w:r/>
    </w:p>
    <w:p>
      <w:pPr>
        <w:ind w:firstLine="708"/>
        <w:widowControl w:val="off"/>
        <w:rPr>
          <w:bCs/>
        </w:rPr>
      </w:pPr>
      <w:r>
        <w:t xml:space="preserve">9.4. </w:t>
      </w:r>
      <w:r>
        <w:rPr>
          <w:bCs/>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порядке, предусмотренном статьей 95</w:t>
      </w:r>
      <w:r>
        <w:t xml:space="preserve"> </w:t>
      </w:r>
      <w:r>
        <w:rPr>
          <w:bCs/>
        </w:rPr>
        <w:t xml:space="preserve">Федерального закона от 05.04.2013 № 44-ФЗ.</w:t>
      </w:r>
      <w:r>
        <w:rPr>
          <w:bCs/>
        </w:rPr>
      </w:r>
    </w:p>
    <w:p>
      <w:pPr>
        <w:ind w:firstLine="708"/>
      </w:pPr>
      <w:r>
        <w:t xml:space="preserve">9.5.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p>
    <w:p>
      <w:pPr>
        <w:ind w:firstLine="708"/>
      </w:pPr>
      <w:r>
        <w:t xml:space="preserve">9.6.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p>
    <w:p>
      <w:pPr>
        <w:ind w:firstLine="708"/>
      </w:pPr>
      <w:r>
        <w:t xml:space="preserve">9.7. При расторжении контракта в связи с односторонним отказом стороны контракта от</w:t>
      </w:r>
      <w: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p>
    <w:p>
      <w:pPr>
        <w:pStyle w:val="981"/>
        <w:jc w:val="center"/>
        <w:spacing w:after="0"/>
        <w:widowControl w:val="off"/>
        <w:rPr>
          <w:b/>
          <w:bCs/>
          <w:lang w:val="ru-RU"/>
        </w:rPr>
      </w:pPr>
      <w:r>
        <w:rPr>
          <w:b/>
          <w:bCs/>
          <w:lang w:val="ru-RU"/>
        </w:rPr>
        <w:t xml:space="preserve">10. Разрешение споров</w:t>
      </w:r>
      <w:r>
        <w:rPr>
          <w:b/>
          <w:bCs/>
          <w:lang w:val="ru-RU"/>
        </w:rPr>
      </w:r>
    </w:p>
    <w:p>
      <w:pPr>
        <w:pStyle w:val="981"/>
        <w:ind w:firstLine="708"/>
        <w:spacing w:after="0"/>
        <w:widowControl w:val="off"/>
        <w:rPr>
          <w:lang w:val="ru-RU"/>
        </w:rPr>
      </w:pPr>
      <w:r>
        <w:rPr>
          <w:lang w:val="ru-RU"/>
        </w:rPr>
        <w:t xml:space="preserve">10.1. Все споры и разногласия, связанные с контрактом, Стороны обязуются разрешать путем переговоров. </w:t>
      </w:r>
      <w:r>
        <w:rPr>
          <w:lang w:val="ru-RU"/>
        </w:rPr>
      </w:r>
    </w:p>
    <w:p>
      <w:pPr>
        <w:pStyle w:val="981"/>
        <w:ind w:firstLine="708"/>
        <w:spacing w:after="0"/>
        <w:widowControl w:val="off"/>
        <w:rPr>
          <w:lang w:val="ru-RU"/>
        </w:rPr>
      </w:pPr>
      <w:r>
        <w:rPr>
          <w:lang w:val="ru-RU"/>
        </w:rPr>
        <w:t xml:space="preserve">10.2. В случае если Стороны не смогут прийти к соглашению, все споры и разногласия по выполнению контракта, а также споры, связанные с его заключением, изменением, расторжен</w:t>
      </w:r>
      <w:r>
        <w:rPr>
          <w:lang w:val="ru-RU"/>
        </w:rPr>
        <w:t xml:space="preserve">ием, исполнением, подлежат разрешению в Арбитражном суде Владимирской области в соответствии с законодательством Российской Федерации (в случае, если контракт заключается с физическим лицом – в суде в соответствии с законодательством Российской Федерации).</w:t>
      </w:r>
      <w:r>
        <w:rPr>
          <w:lang w:val="ru-RU"/>
        </w:rPr>
      </w:r>
    </w:p>
    <w:p>
      <w:pPr>
        <w:pStyle w:val="981"/>
        <w:spacing w:after="0"/>
        <w:widowControl w:val="off"/>
        <w:rPr>
          <w:b/>
          <w:bCs/>
          <w:lang w:val="ru-RU"/>
        </w:rPr>
      </w:pPr>
      <w:r>
        <w:rPr>
          <w:b/>
          <w:bCs/>
          <w:lang w:val="ru-RU"/>
        </w:rPr>
      </w:r>
      <w:r>
        <w:rPr>
          <w:b/>
          <w:bCs/>
          <w:lang w:val="ru-RU"/>
        </w:rPr>
      </w:r>
    </w:p>
    <w:p>
      <w:pPr>
        <w:pStyle w:val="981"/>
        <w:jc w:val="center"/>
        <w:spacing w:after="0"/>
        <w:widowControl w:val="off"/>
        <w:rPr>
          <w:b/>
          <w:bCs/>
          <w:lang w:val="ru-RU"/>
        </w:rPr>
      </w:pPr>
      <w:r>
        <w:rPr>
          <w:b/>
          <w:bCs/>
          <w:lang w:val="ru-RU"/>
        </w:rPr>
        <w:t xml:space="preserve">11. Дополнительные условия</w:t>
      </w:r>
      <w:r>
        <w:rPr>
          <w:b/>
          <w:bCs/>
          <w:lang w:val="ru-RU"/>
        </w:rPr>
      </w:r>
    </w:p>
    <w:p>
      <w:pPr>
        <w:ind w:firstLine="708"/>
        <w:widowControl w:val="off"/>
      </w:pPr>
      <w:r>
        <w:t xml:space="preserve">11.1. Контракт составлен в 2-х экземплярах по одному для каждой из Сторон. Каждый экземпляр имеет равную юридическую силу.</w:t>
      </w:r>
      <w:r/>
    </w:p>
    <w:p>
      <w:pPr>
        <w:ind w:firstLine="708"/>
        <w:widowControl w:val="off"/>
      </w:pPr>
      <w:r>
        <w:t xml:space="preserve">11.2. Изменение и доп</w:t>
      </w:r>
      <w:r>
        <w:t xml:space="preserve">олнение контракта производится в соответствии с требованиями законодательства Российской Федерации только при наличии согласия обеих Сторон, выраженного путем подписания дополнительного соглашения в соответствии с Федеральным законом от 05.04.2013 № 44-ФЗ.</w:t>
      </w:r>
      <w:r/>
    </w:p>
    <w:p>
      <w:pPr>
        <w:ind w:firstLine="708"/>
        <w:widowControl w:val="off"/>
      </w:pPr>
      <w:r>
        <w:t xml:space="preserve">11.3. Все уведомления в рамках контракта должны направляться Сторонами по электронной почте, либо факсом, либо почтовой связью.</w:t>
      </w:r>
      <w:r/>
    </w:p>
    <w:p>
      <w:pPr>
        <w:pStyle w:val="981"/>
        <w:ind w:firstLine="708"/>
        <w:spacing w:after="0"/>
        <w:rPr>
          <w:lang w:val="ru-RU"/>
        </w:rPr>
      </w:pPr>
      <w:r>
        <w:rPr>
          <w:lang w:val="ru-RU"/>
        </w:rPr>
        <w:t xml:space="preserve">11.4. Стороны обязаны в течение 5 (пяти) рабочих дней письменно уведомлять друг друга об изменении наименования, местонахождения и банковских реквизитов.</w:t>
      </w:r>
      <w:r>
        <w:rPr>
          <w:lang w:val="ru-RU"/>
        </w:rPr>
      </w:r>
    </w:p>
    <w:p>
      <w:pPr>
        <w:pStyle w:val="981"/>
        <w:ind w:firstLine="708"/>
        <w:spacing w:after="0"/>
        <w:rPr>
          <w:lang w:val="ru-RU"/>
        </w:rPr>
      </w:pPr>
      <w:r>
        <w:rPr>
          <w:lang w:val="ru-RU"/>
        </w:rPr>
        <w:t xml:space="preserve">11.5. В случае изменения наименования, местонахождения или банковских реквизитов Сторон заключение дополнительного соглашения не требуется.</w:t>
      </w:r>
      <w:r>
        <w:rPr>
          <w:lang w:val="ru-RU"/>
        </w:rPr>
      </w:r>
    </w:p>
    <w:p>
      <w:pPr>
        <w:ind w:firstLine="708"/>
        <w:widowControl w:val="off"/>
      </w:pPr>
      <w:r/>
      <w:r/>
    </w:p>
    <w:p>
      <w:pPr>
        <w:ind w:firstLine="708"/>
        <w:jc w:val="center"/>
        <w:rPr>
          <w:b/>
        </w:rPr>
      </w:pPr>
      <w:r>
        <w:rPr>
          <w:b/>
        </w:rPr>
      </w:r>
      <w:r>
        <w:rPr>
          <w:b/>
        </w:rPr>
      </w:r>
    </w:p>
    <w:p>
      <w:pPr>
        <w:ind w:firstLine="708"/>
        <w:jc w:val="center"/>
        <w:rPr>
          <w:b/>
        </w:rPr>
      </w:pPr>
      <w:r>
        <w:rPr>
          <w:b/>
        </w:rPr>
        <w:t xml:space="preserve">12. Приложения</w:t>
      </w:r>
      <w:r>
        <w:rPr>
          <w:b/>
        </w:rPr>
      </w:r>
    </w:p>
    <w:p>
      <w:pPr>
        <w:ind w:firstLine="709"/>
        <w:jc w:val="left"/>
        <w:widowControl w:val="off"/>
        <w:tabs>
          <w:tab w:val="left" w:pos="709" w:leader="none"/>
        </w:tabs>
        <w:rPr>
          <w:bCs/>
        </w:rPr>
      </w:pPr>
      <w:r>
        <w:rPr>
          <w:bCs/>
        </w:rPr>
        <w:t xml:space="preserve">12.1. Приложение </w:t>
      </w:r>
      <w:r>
        <w:t xml:space="preserve">Спецификация поставляемого товара.</w:t>
      </w:r>
      <w:r>
        <w:rPr>
          <w:bCs/>
        </w:rPr>
      </w:r>
    </w:p>
    <w:p>
      <w:pPr>
        <w:pStyle w:val="981"/>
        <w:ind w:firstLine="709"/>
        <w:spacing w:after="0"/>
        <w:widowControl w:val="off"/>
        <w:rPr>
          <w:lang w:val="ru-RU" w:eastAsia="ru-RU"/>
        </w:rPr>
      </w:pPr>
      <w:r>
        <w:rPr>
          <w:lang w:val="ru-RU" w:eastAsia="ru-RU"/>
        </w:rPr>
        <w:t xml:space="preserve">Приложение к контракту является его неотъемлемой частью.</w:t>
      </w:r>
      <w:r>
        <w:rPr>
          <w:lang w:val="ru-RU" w:eastAsia="ru-RU"/>
        </w:rPr>
      </w:r>
    </w:p>
    <w:p>
      <w:pPr>
        <w:pStyle w:val="981"/>
        <w:ind w:firstLine="709"/>
        <w:jc w:val="center"/>
        <w:spacing w:after="0"/>
        <w:widowControl w:val="off"/>
        <w:rPr>
          <w:b/>
          <w:lang w:val="ru-RU"/>
        </w:rPr>
      </w:pPr>
      <w:r>
        <w:rPr>
          <w:b/>
          <w:lang w:val="ru-RU"/>
        </w:rPr>
      </w:r>
      <w:r>
        <w:rPr>
          <w:b/>
          <w:lang w:val="ru-RU"/>
        </w:rPr>
      </w:r>
    </w:p>
    <w:p>
      <w:pPr>
        <w:pStyle w:val="981"/>
        <w:ind w:firstLine="709"/>
        <w:jc w:val="center"/>
        <w:spacing w:after="0"/>
        <w:widowControl w:val="off"/>
        <w:rPr>
          <w:b/>
          <w:lang w:val="ru-RU"/>
        </w:rPr>
      </w:pPr>
      <w:r>
        <w:rPr>
          <w:b/>
          <w:lang w:val="ru-RU"/>
        </w:rPr>
        <w:t xml:space="preserve">13. Адреса, банковские реквизиты и подписи сторон</w:t>
      </w:r>
      <w:r>
        <w:rPr>
          <w:b/>
          <w:lang w:val="ru-RU"/>
        </w:rPr>
      </w:r>
    </w:p>
    <w:tbl>
      <w:tblPr>
        <w:tblW w:w="0" w:type="auto"/>
        <w:tblLook w:val="04A0" w:firstRow="1" w:lastRow="0" w:firstColumn="1" w:lastColumn="0" w:noHBand="0" w:noVBand="1"/>
      </w:tblPr>
      <w:tblGrid>
        <w:gridCol w:w="5210"/>
        <w:gridCol w:w="5211"/>
      </w:tblGrid>
      <w:tr>
        <w:tblPrEx/>
        <w:trPr/>
        <w:tc>
          <w:tcPr>
            <w:tcBorders>
              <w:top w:val="none" w:color="000000" w:sz="0" w:space="0"/>
              <w:left w:val="none" w:color="000000" w:sz="0" w:space="0"/>
              <w:bottom w:val="none" w:color="000000" w:sz="0" w:space="0"/>
              <w:right w:val="none" w:color="000000" w:sz="0" w:space="0"/>
            </w:tcBorders>
            <w:tcW w:w="5210" w:type="dxa"/>
            <w:textDirection w:val="lrTb"/>
            <w:noWrap w:val="false"/>
          </w:tcPr>
          <w:p>
            <w:pPr>
              <w:jc w:val="center"/>
              <w:widowControl w:val="off"/>
              <w:rPr>
                <w:b/>
              </w:rPr>
            </w:pPr>
            <w:r>
              <w:rPr>
                <w:b/>
              </w:rPr>
              <w:t xml:space="preserve">Заказчик:</w:t>
            </w:r>
            <w:r>
              <w:rPr>
                <w:b/>
              </w:rPr>
            </w:r>
          </w:p>
          <w:p>
            <w:pPr>
              <w:jc w:val="left"/>
              <w:widowControl w:val="off"/>
            </w:pPr>
            <w:r/>
            <w:r/>
          </w:p>
          <w:p>
            <w:pPr>
              <w:jc w:val="left"/>
              <w:widowControl w:val="off"/>
            </w:pPr>
            <w:r>
              <w:t xml:space="preserve">Федеральное казенное учреждение «Центр по обеспечению деятельности Казначейства России» (ФКУ «ЦОКР»)</w:t>
            </w:r>
            <w:r/>
          </w:p>
          <w:p>
            <w:pPr>
              <w:jc w:val="left"/>
              <w:widowControl w:val="off"/>
            </w:pPr>
            <w:r>
              <w:t xml:space="preserve">Адрес (место нахождения): 109012, г. Москва, Площадь Славянская, д. 4, стр. 1, </w:t>
            </w:r>
            <w:r>
              <w:t xml:space="preserve">эт</w:t>
            </w:r>
            <w:r>
              <w:t xml:space="preserve">. 4, ком. 2-8, 10, 12-19, 23-28, 109-117, 119-122, 122А</w:t>
            </w:r>
            <w:r/>
          </w:p>
          <w:p>
            <w:pPr>
              <w:jc w:val="left"/>
              <w:widowControl w:val="off"/>
            </w:pPr>
            <w:r>
              <w:t xml:space="preserve">Фактический адрес: 103132, г. Москва, </w:t>
            </w:r>
            <w:r>
              <w:t xml:space="preserve">Ипатьевский</w:t>
            </w:r>
            <w:r>
              <w:t xml:space="preserve"> пер., д. 12, стр. 1</w:t>
            </w:r>
            <w:r/>
          </w:p>
          <w:p>
            <w:pPr>
              <w:jc w:val="left"/>
              <w:widowControl w:val="off"/>
            </w:pPr>
            <w:r>
              <w:t xml:space="preserve">ИНН 7709895509 / КПП 770901001</w:t>
            </w:r>
            <w:r/>
          </w:p>
          <w:p>
            <w:pPr>
              <w:jc w:val="left"/>
              <w:widowControl w:val="off"/>
            </w:pPr>
            <w:r>
              <w:t xml:space="preserve">Адрес и наименование филиала:</w:t>
            </w:r>
            <w:r/>
          </w:p>
          <w:p>
            <w:pPr>
              <w:jc w:val="left"/>
              <w:widowControl w:val="off"/>
            </w:pPr>
            <w:r>
              <w:t xml:space="preserve">Межрегиональный филиал Федерального казенного учреждения «Центр по обеспечению деятельности Казначейства России» в г. Владимире</w:t>
            </w:r>
            <w:r/>
          </w:p>
          <w:p>
            <w:pPr>
              <w:jc w:val="left"/>
              <w:widowControl w:val="off"/>
            </w:pPr>
            <w:r>
              <w:t xml:space="preserve">(Межрегиональный филиал ФКУ «ЦОКР» в</w:t>
            </w:r>
            <w:r/>
          </w:p>
          <w:p>
            <w:pPr>
              <w:jc w:val="left"/>
              <w:widowControl w:val="off"/>
            </w:pPr>
            <w:r>
              <w:t xml:space="preserve"> г. Владимире)</w:t>
            </w:r>
            <w:r/>
          </w:p>
          <w:p>
            <w:pPr>
              <w:jc w:val="left"/>
              <w:widowControl w:val="off"/>
            </w:pPr>
            <w:r>
              <w:t xml:space="preserve">600017, Владимирская область,                         </w:t>
            </w:r>
            <w:r/>
          </w:p>
          <w:p>
            <w:pPr>
              <w:jc w:val="left"/>
              <w:widowControl w:val="off"/>
            </w:pPr>
            <w:r>
              <w:t xml:space="preserve"> г. Владимир, ул. Кирова, д. 7.</w:t>
            </w:r>
            <w:r/>
          </w:p>
          <w:p>
            <w:pPr>
              <w:widowControl w:val="off"/>
            </w:pPr>
            <w:r>
              <w:t xml:space="preserve">Плательщик: УФК по Владимирской области (МЕЖРЕГИОНАЛЬНЫЙ ФИЛИАЛ ФКУ "ЦОКР" В Г.ВЛАДИМИРЕ)</w:t>
            </w:r>
            <w:r>
              <w:tab/>
            </w:r>
            <w:r/>
          </w:p>
          <w:p>
            <w:pPr>
              <w:widowControl w:val="off"/>
              <w:rPr>
                <w:b/>
              </w:rPr>
            </w:pPr>
            <w:r>
              <w:rPr>
                <w:b/>
              </w:rPr>
              <w:t xml:space="preserve">л/с 03281D00040</w:t>
            </w:r>
            <w:r>
              <w:rPr>
                <w:b/>
              </w:rPr>
            </w:r>
          </w:p>
          <w:p>
            <w:pPr>
              <w:widowControl w:val="off"/>
            </w:pPr>
            <w:r>
              <w:t xml:space="preserve">ИНН 7709895509 / КПП 332843001</w:t>
            </w:r>
            <w:r/>
          </w:p>
          <w:p>
            <w:pPr>
              <w:widowControl w:val="off"/>
            </w:pPr>
            <w:r>
              <w:t xml:space="preserve">Номер казначейского счета 03211643000000013236</w:t>
            </w:r>
            <w:r/>
          </w:p>
          <w:p>
            <w:pPr>
              <w:widowControl w:val="off"/>
            </w:pPr>
            <w:r>
              <w:t xml:space="preserve">Номер банковского счета, входящего в состав ЕКС: 40102810745370000024</w:t>
            </w:r>
            <w:r/>
          </w:p>
          <w:p>
            <w:pPr>
              <w:widowControl w:val="off"/>
            </w:pPr>
            <w:r>
              <w:t xml:space="preserve">БИК: 012202102</w:t>
            </w:r>
            <w:r/>
          </w:p>
          <w:p>
            <w:pPr>
              <w:widowControl w:val="off"/>
            </w:pPr>
            <w:r>
              <w:t xml:space="preserve">Наименование Банка – ОКЦ № 1 ВВГУ Банка России//УФК по Нижегородской области, г. </w:t>
            </w:r>
            <w:r>
              <w:t xml:space="preserve">Нижний Новгород</w:t>
            </w:r>
            <w:r/>
          </w:p>
          <w:p>
            <w:pPr>
              <w:widowControl w:val="off"/>
            </w:pPr>
            <w:r>
              <w:t xml:space="preserve">Тел. (4922) 77-16-21</w:t>
            </w:r>
            <w:r/>
          </w:p>
          <w:p>
            <w:pPr>
              <w:widowControl w:val="off"/>
            </w:pPr>
            <w:r>
              <w:t xml:space="preserve">эл. почта: cokr_vladimir@roskazna.ru</w:t>
            </w:r>
            <w:r/>
          </w:p>
          <w:p>
            <w:pPr>
              <w:widowControl w:val="off"/>
            </w:pPr>
            <w:r>
              <w:t xml:space="preserve">Код по ОКТМО 17701000</w:t>
            </w:r>
            <w:r/>
          </w:p>
          <w:p>
            <w:pPr>
              <w:widowControl w:val="off"/>
            </w:pPr>
            <w:r>
              <w:t xml:space="preserve">Код по ОКПО 32915652</w:t>
            </w:r>
            <w:r/>
          </w:p>
          <w:p>
            <w:pPr>
              <w:widowControl w:val="off"/>
            </w:pPr>
            <w:r/>
            <w:r/>
          </w:p>
          <w:p>
            <w:pPr>
              <w:pStyle w:val="981"/>
              <w:jc w:val="left"/>
              <w:spacing w:after="0"/>
              <w:widowControl w:val="off"/>
              <w:rPr>
                <w:b/>
                <w:lang w:val="ru-RU"/>
              </w:rPr>
            </w:pPr>
            <w:r>
              <w:t xml:space="preserve">______________</w:t>
            </w:r>
            <w:r>
              <w:rPr>
                <w:lang w:val="ru-RU"/>
              </w:rPr>
              <w:t xml:space="preserve"> В.В. Ханбабаева</w:t>
            </w:r>
            <w:r>
              <w:rPr>
                <w:b/>
                <w:lang w:val="ru-RU"/>
              </w:rPr>
            </w:r>
          </w:p>
        </w:tc>
        <w:tc>
          <w:tcPr>
            <w:tcBorders>
              <w:top w:val="none" w:color="000000" w:sz="0" w:space="0"/>
              <w:left w:val="none" w:color="000000" w:sz="0" w:space="0"/>
              <w:bottom w:val="none" w:color="000000" w:sz="0" w:space="0"/>
              <w:right w:val="none" w:color="000000" w:sz="0" w:space="0"/>
            </w:tcBorders>
            <w:tcW w:w="5211" w:type="dxa"/>
            <w:textDirection w:val="lrTb"/>
            <w:noWrap w:val="false"/>
          </w:tcPr>
          <w:p>
            <w:pPr>
              <w:ind w:left="720" w:hanging="720"/>
              <w:jc w:val="center"/>
              <w:widowControl w:val="off"/>
              <w:rPr>
                <w:b/>
              </w:rPr>
            </w:pPr>
            <w:r>
              <w:rPr>
                <w:b/>
              </w:rPr>
              <w:t xml:space="preserve">Поставщик:</w:t>
            </w:r>
            <w:r>
              <w:rPr>
                <w:b/>
              </w:rP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jc w:val="left"/>
              <w:widowControl w:val="off"/>
            </w:pPr>
            <w:r/>
            <w:r/>
          </w:p>
          <w:p>
            <w:pPr>
              <w:pStyle w:val="981"/>
              <w:jc w:val="center"/>
              <w:spacing w:after="0"/>
              <w:widowControl w:val="off"/>
              <w:rPr>
                <w:b/>
                <w:lang w:val="ru-RU"/>
              </w:rPr>
            </w:pPr>
            <w:r>
              <w:rPr>
                <w:b/>
                <w:lang w:val="ru-RU"/>
              </w:rPr>
            </w:r>
            <w:r>
              <w:rPr>
                <w:b/>
                <w:lang w:val="ru-RU"/>
              </w:rPr>
            </w:r>
          </w:p>
        </w:tc>
      </w:tr>
    </w:tbl>
    <w:p>
      <w:pPr>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pPr>
      <w:r/>
      <w:r/>
    </w:p>
    <w:p>
      <w:pPr>
        <w:ind w:left="1134"/>
        <w:jc w:val="right"/>
        <w:sectPr>
          <w:footerReference w:type="default" r:id="rId9"/>
          <w:footerReference w:type="even" r:id="rId10"/>
          <w:footnotePr/>
          <w:endnotePr/>
          <w:type w:val="nextPage"/>
          <w:pgSz w:w="11906" w:h="16838" w:orient="portrait"/>
          <w:pgMar w:top="1134" w:right="567" w:bottom="1134" w:left="1134" w:header="709" w:footer="408" w:gutter="0"/>
          <w:cols w:num="1" w:sep="0" w:space="708" w:equalWidth="1"/>
          <w:docGrid w:linePitch="360"/>
        </w:sectPr>
      </w:pPr>
      <w:r/>
      <w:r/>
    </w:p>
    <w:p>
      <w:pPr>
        <w:ind w:left="1134"/>
        <w:jc w:val="right"/>
      </w:pPr>
      <w:r>
        <w:t xml:space="preserve">Приложение </w:t>
      </w:r>
      <w:r/>
    </w:p>
    <w:p>
      <w:pPr>
        <w:ind w:firstLine="708"/>
        <w:jc w:val="right"/>
      </w:pPr>
      <w:r>
        <w:rPr>
          <w:lang w:eastAsia="en-US"/>
        </w:rPr>
        <w:t xml:space="preserve">к государственному контракту от «__» ________г. </w:t>
      </w:r>
      <w:r/>
    </w:p>
    <w:p>
      <w:pPr>
        <w:jc w:val="center"/>
        <w:rPr>
          <w:bCs/>
        </w:rPr>
      </w:pPr>
      <w:r>
        <w:rPr>
          <w:bCs/>
        </w:rPr>
        <w:t xml:space="preserve">Спецификация поставляемого товара</w:t>
      </w:r>
      <w:r>
        <w:rPr>
          <w:bCs/>
        </w:rPr>
      </w:r>
    </w:p>
    <w:p>
      <w:pPr>
        <w:jc w:val="center"/>
        <w:rPr>
          <w:bCs/>
        </w:rPr>
      </w:pPr>
      <w:r>
        <w:rPr>
          <w:bCs/>
        </w:rPr>
      </w:r>
      <w:r>
        <w:rPr>
          <w:bCs/>
        </w:rPr>
      </w:r>
    </w:p>
    <w:p>
      <w:pPr>
        <w:ind w:firstLine="426"/>
      </w:pPr>
      <w:r>
        <w:rPr>
          <w:b/>
        </w:rPr>
        <w:t xml:space="preserve">1.Наименование объекта закупки (предмет государственного контракта):</w:t>
      </w:r>
      <w:r>
        <w:t xml:space="preserve"> </w:t>
      </w:r>
      <w:r/>
    </w:p>
    <w:p>
      <w:pPr>
        <w:ind w:firstLine="426"/>
        <w:tabs>
          <w:tab w:val="left" w:pos="7931" w:leader="none"/>
        </w:tabs>
      </w:pPr>
      <w:r>
        <w:t xml:space="preserve">Поставка горюче-смазочных материалов для дизель-генераторных установок для обеспечения нужд Управления Федерального казначейства по </w:t>
      </w:r>
      <w:r>
        <w:t xml:space="preserve">Белгородской</w:t>
      </w:r>
      <w:r>
        <w:t xml:space="preserve"> области.</w:t>
      </w:r>
      <w:r/>
    </w:p>
    <w:p>
      <w:pPr>
        <w:ind w:firstLine="426"/>
        <w:tabs>
          <w:tab w:val="left" w:pos="7931" w:leader="none"/>
        </w:tabs>
      </w:pPr>
      <w:r>
        <w:rPr>
          <w:b/>
        </w:rPr>
        <w:t xml:space="preserve">2. Описание объекта закупки: Количество товара </w:t>
      </w:r>
      <w:r>
        <w:t xml:space="preserve">– </w:t>
      </w:r>
      <w:r>
        <w:t xml:space="preserve">2000</w:t>
      </w:r>
      <w:r>
        <w:t xml:space="preserve"> (</w:t>
      </w:r>
      <w:r>
        <w:t xml:space="preserve">две тысячи</w:t>
      </w:r>
      <w:r>
        <w:t xml:space="preserve">) литров.</w:t>
      </w:r>
      <w:r>
        <w:tab/>
      </w:r>
      <w:r/>
    </w:p>
    <w:p>
      <w:pPr>
        <w:ind w:firstLine="426"/>
        <w:tabs>
          <w:tab w:val="left" w:pos="7931" w:leader="none"/>
        </w:tabs>
      </w:pPr>
      <w:r/>
      <w:r/>
    </w:p>
    <w:p>
      <w:pPr>
        <w:ind w:firstLine="567"/>
        <w:pBdr>
          <w:top w:val="none" w:color="000000" w:sz="4" w:space="0"/>
          <w:left w:val="none" w:color="000000" w:sz="4" w:space="0"/>
          <w:bottom w:val="none" w:color="000000" w:sz="4" w:space="0"/>
          <w:right w:val="none" w:color="000000" w:sz="4" w:space="0"/>
        </w:pBdr>
      </w:pPr>
      <w:r>
        <w:rPr>
          <w:b/>
          <w:color w:val="000000"/>
        </w:rPr>
        <w:t xml:space="preserve">Функциональные, технические и качественные характеристики, эксплуатационные характеристики объекта закупки:</w:t>
      </w:r>
      <w:r/>
    </w:p>
    <w:p>
      <w:pPr>
        <w:ind w:firstLine="426"/>
        <w:tabs>
          <w:tab w:val="left" w:pos="7931" w:leader="none"/>
        </w:tabs>
      </w:pPr>
      <w:r/>
      <w:r/>
    </w:p>
    <w:p>
      <w:pPr>
        <w:jc w:val="center"/>
        <w:rPr>
          <w:b/>
        </w:rPr>
      </w:pPr>
      <w:r>
        <w:rPr>
          <w:b/>
        </w:rPr>
        <w:t xml:space="preserve">Спецификация поставляемого товара</w:t>
      </w:r>
      <w:r>
        <w:rPr>
          <w:b/>
        </w:rPr>
      </w:r>
    </w:p>
    <w:p>
      <w:pPr>
        <w:jc w:val="center"/>
        <w:rPr>
          <w:b/>
        </w:rPr>
      </w:pPr>
      <w:r>
        <w:rPr>
          <w:b/>
        </w:rPr>
      </w:r>
      <w:r>
        <w:rPr>
          <w:b/>
        </w:rPr>
      </w:r>
    </w:p>
    <w:tbl>
      <w:tblPr>
        <w:tblW w:w="1474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66"/>
        <w:gridCol w:w="2695"/>
        <w:gridCol w:w="2126"/>
        <w:gridCol w:w="1843"/>
        <w:gridCol w:w="850"/>
        <w:gridCol w:w="1134"/>
        <w:gridCol w:w="992"/>
        <w:gridCol w:w="1702"/>
        <w:gridCol w:w="2834"/>
      </w:tblGrid>
      <w:tr>
        <w:tblPrEx/>
        <w:trPr/>
        <w:tc>
          <w:tcPr>
            <w:tcW w:w="566" w:type="dxa"/>
            <w:vAlign w:val="center"/>
            <w:textDirection w:val="lrTb"/>
            <w:noWrap w:val="false"/>
          </w:tcPr>
          <w:p>
            <w:pPr>
              <w:jc w:val="center"/>
              <w:rPr>
                <w:b/>
              </w:rPr>
            </w:pPr>
            <w:r>
              <w:rPr>
                <w:b/>
              </w:rPr>
              <w:t xml:space="preserve">№</w:t>
            </w:r>
            <w:r>
              <w:rPr>
                <w:b/>
              </w:rPr>
              <w:br w:type="textWrapping" w:clear="all"/>
              <w:t xml:space="preserve">п/п</w:t>
            </w:r>
            <w:r>
              <w:rPr>
                <w:b/>
              </w:rPr>
            </w:r>
          </w:p>
        </w:tc>
        <w:tc>
          <w:tcPr>
            <w:tcW w:w="2695" w:type="dxa"/>
            <w:vAlign w:val="center"/>
            <w:textDirection w:val="lrTb"/>
            <w:noWrap w:val="false"/>
          </w:tcPr>
          <w:p>
            <w:pPr>
              <w:jc w:val="center"/>
              <w:rPr>
                <w:b/>
              </w:rPr>
            </w:pPr>
            <w:r>
              <w:rPr>
                <w:b/>
              </w:rPr>
              <w:t xml:space="preserve">Наименование поставляемого товара</w:t>
            </w:r>
            <w:r>
              <w:rPr>
                <w:b/>
              </w:rPr>
            </w:r>
          </w:p>
        </w:tc>
        <w:tc>
          <w:tcPr>
            <w:tcW w:w="2126" w:type="dxa"/>
            <w:vAlign w:val="center"/>
            <w:textDirection w:val="lrTb"/>
            <w:noWrap w:val="false"/>
          </w:tcPr>
          <w:p>
            <w:pPr>
              <w:jc w:val="center"/>
              <w:rPr>
                <w:b/>
              </w:rPr>
            </w:pPr>
            <w:r>
              <w:rPr>
                <w:b/>
              </w:rPr>
              <w:t xml:space="preserve">Наименование характеристики</w:t>
            </w:r>
            <w:r>
              <w:rPr>
                <w:b/>
              </w:rPr>
            </w:r>
          </w:p>
        </w:tc>
        <w:tc>
          <w:tcPr>
            <w:tcW w:w="1843" w:type="dxa"/>
            <w:vAlign w:val="center"/>
            <w:textDirection w:val="lrTb"/>
            <w:noWrap w:val="false"/>
          </w:tcPr>
          <w:p>
            <w:pPr>
              <w:jc w:val="center"/>
              <w:rPr>
                <w:b/>
              </w:rPr>
            </w:pPr>
            <w:r>
              <w:rPr>
                <w:b/>
              </w:rPr>
              <w:t xml:space="preserve">Значение характеристики</w:t>
            </w:r>
            <w:r>
              <w:rPr>
                <w:b/>
              </w:rPr>
            </w:r>
          </w:p>
        </w:tc>
        <w:tc>
          <w:tcPr>
            <w:tcW w:w="850" w:type="dxa"/>
            <w:textDirection w:val="lrTb"/>
            <w:noWrap w:val="false"/>
          </w:tcPr>
          <w:p>
            <w:pPr>
              <w:jc w:val="center"/>
              <w:rPr>
                <w:b/>
              </w:rPr>
            </w:pPr>
            <w:r>
              <w:rPr>
                <w:b/>
              </w:rPr>
            </w:r>
            <w:r>
              <w:rPr>
                <w:b/>
              </w:rPr>
            </w:r>
          </w:p>
          <w:p>
            <w:pPr>
              <w:jc w:val="center"/>
              <w:rPr>
                <w:b/>
              </w:rPr>
            </w:pPr>
            <w:r>
              <w:rPr>
                <w:b/>
              </w:rPr>
              <w:t xml:space="preserve">Единица</w:t>
            </w:r>
            <w:r>
              <w:rPr>
                <w:b/>
              </w:rPr>
            </w:r>
          </w:p>
          <w:p>
            <w:pPr>
              <w:jc w:val="center"/>
              <w:rPr>
                <w:b/>
              </w:rPr>
            </w:pPr>
            <w:r>
              <w:rPr>
                <w:b/>
              </w:rPr>
              <w:t xml:space="preserve">измерения</w:t>
            </w:r>
            <w:r>
              <w:rPr>
                <w:b/>
              </w:rPr>
            </w:r>
          </w:p>
        </w:tc>
        <w:tc>
          <w:tcPr>
            <w:tcW w:w="1134" w:type="dxa"/>
            <w:vAlign w:val="center"/>
            <w:textDirection w:val="lrTb"/>
            <w:noWrap w:val="false"/>
          </w:tcPr>
          <w:p>
            <w:pPr>
              <w:jc w:val="center"/>
              <w:rPr>
                <w:b/>
              </w:rPr>
            </w:pPr>
            <w:r>
              <w:rPr>
                <w:b/>
              </w:rPr>
              <w:t xml:space="preserve">Количество</w:t>
            </w:r>
            <w:r>
              <w:rPr>
                <w:b/>
              </w:rPr>
            </w:r>
          </w:p>
        </w:tc>
        <w:tc>
          <w:tcPr>
            <w:tcW w:w="992" w:type="dxa"/>
            <w:vAlign w:val="center"/>
            <w:textDirection w:val="lrTb"/>
            <w:noWrap w:val="false"/>
          </w:tcPr>
          <w:p>
            <w:pPr>
              <w:jc w:val="center"/>
              <w:rPr>
                <w:b/>
              </w:rPr>
            </w:pPr>
            <w:r>
              <w:rPr>
                <w:b/>
              </w:rPr>
              <w:t xml:space="preserve">Цена за ед., руб.</w:t>
            </w:r>
            <w:r>
              <w:rPr>
                <w:b/>
              </w:rPr>
            </w:r>
          </w:p>
        </w:tc>
        <w:tc>
          <w:tcPr>
            <w:tcW w:w="1702" w:type="dxa"/>
            <w:vAlign w:val="center"/>
            <w:textDirection w:val="lrTb"/>
            <w:noWrap w:val="false"/>
          </w:tcPr>
          <w:p>
            <w:pPr>
              <w:jc w:val="center"/>
              <w:rPr>
                <w:b/>
              </w:rPr>
            </w:pPr>
            <w:r>
              <w:rPr>
                <w:b/>
              </w:rPr>
              <w:t xml:space="preserve">Сумма, руб.</w:t>
            </w:r>
            <w:r>
              <w:rPr>
                <w:b/>
              </w:rPr>
            </w:r>
          </w:p>
        </w:tc>
        <w:tc>
          <w:tcPr>
            <w:tcW w:w="2834" w:type="dxa"/>
            <w:vAlign w:val="center"/>
            <w:textDirection w:val="lrTb"/>
            <w:noWrap w:val="false"/>
          </w:tcPr>
          <w:p>
            <w:pPr>
              <w:jc w:val="center"/>
              <w:rPr>
                <w:b/>
              </w:rPr>
            </w:pPr>
            <w:r>
              <w:rPr>
                <w:b/>
              </w:rPr>
              <w:t xml:space="preserve">Наименование страны происхождения товара</w:t>
            </w:r>
            <w:r>
              <w:rPr>
                <w:b/>
              </w:rPr>
            </w:r>
          </w:p>
        </w:tc>
      </w:tr>
      <w:tr>
        <w:tblPrEx/>
        <w:trPr/>
        <w:tc>
          <w:tcPr>
            <w:tcW w:w="566" w:type="dxa"/>
            <w:vAlign w:val="center"/>
            <w:vMerge w:val="restart"/>
            <w:textDirection w:val="lrTb"/>
            <w:noWrap w:val="false"/>
          </w:tcPr>
          <w:p>
            <w:pPr>
              <w:jc w:val="center"/>
            </w:pPr>
            <w:r>
              <w:t xml:space="preserve">1</w:t>
            </w:r>
            <w:r/>
          </w:p>
        </w:tc>
        <w:tc>
          <w:tcPr>
            <w:tcW w:w="2695" w:type="dxa"/>
            <w:vMerge w:val="restart"/>
            <w:textDirection w:val="lrTb"/>
            <w:noWrap w:val="false"/>
          </w:tcPr>
          <w:p>
            <w:pPr>
              <w:jc w:val="left"/>
              <w:rPr>
                <w:rFonts w:eastAsia="Calibri"/>
                <w:lang w:eastAsia="en-US"/>
              </w:rPr>
            </w:pPr>
            <w:r>
              <w:rPr>
                <w:rFonts w:eastAsia="Calibri"/>
                <w:lang w:eastAsia="en-US"/>
              </w:rPr>
              <w:t xml:space="preserve">Топливо дизельное </w:t>
            </w:r>
            <w:r>
              <w:rPr>
                <w:rFonts w:eastAsia="Calibri"/>
                <w:lang w:eastAsia="en-US"/>
              </w:rPr>
            </w:r>
          </w:p>
          <w:p>
            <w:pPr>
              <w:jc w:val="left"/>
              <w:rPr>
                <w:rFonts w:eastAsia="Calibri"/>
                <w:lang w:eastAsia="en-US"/>
              </w:rPr>
            </w:pPr>
            <w:r>
              <w:rPr>
                <w:rFonts w:eastAsia="Calibri"/>
                <w:lang w:eastAsia="en-US"/>
              </w:rPr>
              <w:t xml:space="preserve">(розничная реализация)</w:t>
            </w:r>
            <w:r>
              <w:rPr>
                <w:rFonts w:eastAsia="Calibri"/>
                <w:lang w:eastAsia="en-US"/>
              </w:rPr>
            </w:r>
          </w:p>
          <w:p>
            <w:pPr>
              <w:jc w:val="left"/>
              <w:rPr>
                <w:rFonts w:eastAsia="Calibri"/>
                <w:lang w:eastAsia="en-US"/>
              </w:rPr>
            </w:pPr>
            <w:r>
              <w:rPr>
                <w:rFonts w:eastAsia="Calibri"/>
                <w:lang w:eastAsia="en-US"/>
              </w:rPr>
              <w:t xml:space="preserve">Код позиции КТРУ: </w:t>
            </w:r>
            <w:r>
              <w:rPr>
                <w:rFonts w:eastAsia="Calibri"/>
                <w:lang w:eastAsia="en-US"/>
              </w:rPr>
            </w:r>
          </w:p>
          <w:p>
            <w:r>
              <w:rPr>
                <w:rFonts w:eastAsia="Calibri"/>
                <w:lang w:eastAsia="en-US"/>
              </w:rPr>
              <w:t xml:space="preserve">19.20.21.300-00000009</w:t>
            </w:r>
            <w:r/>
          </w:p>
        </w:tc>
        <w:tc>
          <w:tcPr>
            <w:tcW w:w="2126" w:type="dxa"/>
            <w:vAlign w:val="center"/>
            <w:textDirection w:val="lrTb"/>
            <w:noWrap w:val="false"/>
          </w:tcPr>
          <w:p>
            <w:pPr>
              <w:jc w:val="left"/>
            </w:pPr>
            <w:r>
              <w:t xml:space="preserve">Тип топлива дизельного</w:t>
            </w:r>
            <w:r/>
          </w:p>
        </w:tc>
        <w:tc>
          <w:tcPr>
            <w:tcW w:w="1843" w:type="dxa"/>
            <w:vAlign w:val="center"/>
            <w:textDirection w:val="lrTb"/>
            <w:noWrap w:val="false"/>
          </w:tcPr>
          <w:p>
            <w:pPr>
              <w:jc w:val="left"/>
              <w:rPr>
                <w:lang w:val="en-US"/>
              </w:rPr>
            </w:pPr>
            <w:r>
              <w:t xml:space="preserve">Летнее</w:t>
            </w:r>
            <w:r>
              <w:rPr>
                <w:lang w:val="en-US"/>
              </w:rPr>
            </w:r>
          </w:p>
        </w:tc>
        <w:tc>
          <w:tcPr>
            <w:tcW w:w="850" w:type="dxa"/>
            <w:vMerge w:val="restart"/>
            <w:textDirection w:val="lrTb"/>
            <w:noWrap w:val="false"/>
          </w:tcPr>
          <w:p>
            <w:pPr>
              <w:jc w:val="center"/>
            </w:pPr>
            <w:r/>
            <w:r/>
          </w:p>
          <w:p>
            <w:pPr>
              <w:jc w:val="center"/>
            </w:pPr>
            <w:r/>
            <w:r/>
          </w:p>
          <w:p>
            <w:pPr>
              <w:jc w:val="center"/>
            </w:pPr>
            <w:r/>
            <w:r/>
          </w:p>
          <w:p>
            <w:pPr>
              <w:jc w:val="center"/>
              <w:rPr>
                <w:lang w:val="en-US"/>
              </w:rPr>
            </w:pPr>
            <w:r>
              <w:t xml:space="preserve">литр</w:t>
            </w:r>
            <w:r>
              <w:rPr>
                <w:lang w:val="en-US"/>
              </w:rPr>
            </w:r>
          </w:p>
        </w:tc>
        <w:tc>
          <w:tcPr>
            <w:tcW w:w="1134" w:type="dxa"/>
            <w:vAlign w:val="center"/>
            <w:vMerge w:val="restart"/>
            <w:textDirection w:val="lrTb"/>
            <w:noWrap w:val="false"/>
          </w:tcPr>
          <w:p>
            <w:pPr>
              <w:jc w:val="center"/>
            </w:pPr>
            <w:r/>
            <w:r/>
          </w:p>
          <w:p>
            <w:pPr>
              <w:jc w:val="center"/>
              <w:rPr>
                <w:lang w:val="en-US"/>
              </w:rPr>
            </w:pPr>
            <w:r>
              <w:rPr>
                <w:lang w:val="en-US"/>
              </w:rPr>
              <w:t xml:space="preserve">2000</w:t>
            </w:r>
            <w:r>
              <w:rPr>
                <w:lang w:val="en-US"/>
              </w:rPr>
            </w:r>
          </w:p>
        </w:tc>
        <w:tc>
          <w:tcPr>
            <w:tcW w:w="992" w:type="dxa"/>
            <w:vAlign w:val="center"/>
            <w:vMerge w:val="restart"/>
            <w:textDirection w:val="lrTb"/>
            <w:noWrap w:val="false"/>
          </w:tcPr>
          <w:p>
            <w:pPr>
              <w:jc w:val="center"/>
              <w:rPr>
                <w:sz w:val="20"/>
                <w:szCs w:val="20"/>
              </w:rPr>
            </w:pPr>
            <w:r>
              <w:rPr>
                <w:sz w:val="20"/>
                <w:szCs w:val="20"/>
              </w:rPr>
            </w:r>
            <w:r>
              <w:rPr>
                <w:sz w:val="20"/>
                <w:szCs w:val="20"/>
              </w:rPr>
            </w:r>
          </w:p>
        </w:tc>
        <w:tc>
          <w:tcPr>
            <w:tcW w:w="1702" w:type="dxa"/>
            <w:vAlign w:val="center"/>
            <w:vMerge w:val="restart"/>
            <w:textDirection w:val="lrTb"/>
            <w:noWrap w:val="false"/>
          </w:tcPr>
          <w:p>
            <w:pPr>
              <w:jc w:val="center"/>
            </w:pPr>
            <w:r/>
            <w:r/>
          </w:p>
        </w:tc>
        <w:tc>
          <w:tcPr>
            <w:tcW w:w="2834" w:type="dxa"/>
            <w:vAlign w:val="center"/>
            <w:vMerge w:val="restart"/>
            <w:textDirection w:val="lrTb"/>
            <w:noWrap w:val="false"/>
          </w:tcPr>
          <w:p>
            <w:pPr>
              <w:jc w:val="center"/>
              <w:rPr>
                <w:lang w:val="en-US"/>
              </w:rPr>
            </w:pPr>
            <w:r>
              <w:rPr>
                <w:lang w:val="en-US"/>
              </w:rPr>
            </w:r>
            <w:r>
              <w:rPr>
                <w:lang w:val="en-US"/>
              </w:rPr>
            </w:r>
          </w:p>
        </w:tc>
      </w:tr>
      <w:tr>
        <w:tblPrEx/>
        <w:trPr/>
        <w:tc>
          <w:tcPr>
            <w:tcW w:w="566" w:type="dxa"/>
            <w:vAlign w:val="center"/>
            <w:vMerge w:val="continue"/>
            <w:textDirection w:val="lrTb"/>
            <w:noWrap w:val="false"/>
          </w:tcPr>
          <w:p>
            <w:pPr>
              <w:jc w:val="center"/>
            </w:pPr>
            <w:r/>
            <w:r/>
          </w:p>
        </w:tc>
        <w:tc>
          <w:tcPr>
            <w:tcW w:w="2695" w:type="dxa"/>
            <w:vMerge w:val="continue"/>
            <w:textDirection w:val="lrTb"/>
            <w:noWrap w:val="false"/>
          </w:tcPr>
          <w:p>
            <w:pPr>
              <w:contextualSpacing/>
              <w:ind w:left="34" w:hanging="68"/>
              <w:jc w:val="center"/>
            </w:pPr>
            <w:r/>
            <w:r/>
          </w:p>
        </w:tc>
        <w:tc>
          <w:tcPr>
            <w:tcW w:w="2126" w:type="dxa"/>
            <w:vAlign w:val="center"/>
            <w:textDirection w:val="lrTb"/>
            <w:noWrap w:val="false"/>
          </w:tcPr>
          <w:p>
            <w:pPr>
              <w:jc w:val="left"/>
            </w:pPr>
            <w:r>
              <w:t xml:space="preserve">Экологический класс</w:t>
            </w:r>
            <w:r/>
          </w:p>
        </w:tc>
        <w:tc>
          <w:tcPr>
            <w:tcW w:w="1843" w:type="dxa"/>
            <w:vAlign w:val="center"/>
            <w:textDirection w:val="lrTb"/>
            <w:noWrap w:val="false"/>
          </w:tcPr>
          <w:p>
            <w:pPr>
              <w:jc w:val="left"/>
            </w:pPr>
            <w:r>
              <w:t xml:space="preserve">Не ниже К5</w:t>
            </w:r>
            <w:r/>
          </w:p>
        </w:tc>
        <w:tc>
          <w:tcPr>
            <w:tcW w:w="850" w:type="dxa"/>
            <w:vMerge w:val="continue"/>
            <w:textDirection w:val="lrTb"/>
            <w:noWrap w:val="false"/>
          </w:tcPr>
          <w:p>
            <w:pPr>
              <w:jc w:val="center"/>
            </w:pPr>
            <w:r/>
            <w:r/>
          </w:p>
        </w:tc>
        <w:tc>
          <w:tcPr>
            <w:tcW w:w="1134" w:type="dxa"/>
            <w:vAlign w:val="center"/>
            <w:vMerge w:val="continue"/>
            <w:textDirection w:val="lrTb"/>
            <w:noWrap w:val="false"/>
          </w:tcPr>
          <w:p>
            <w:pPr>
              <w:jc w:val="center"/>
            </w:pPr>
            <w:r/>
            <w:r/>
          </w:p>
        </w:tc>
        <w:tc>
          <w:tcPr>
            <w:tcW w:w="992" w:type="dxa"/>
            <w:vAlign w:val="center"/>
            <w:vMerge w:val="continue"/>
            <w:textDirection w:val="lrTb"/>
            <w:noWrap w:val="false"/>
          </w:tcPr>
          <w:p>
            <w:pPr>
              <w:jc w:val="center"/>
              <w:rPr>
                <w:sz w:val="20"/>
                <w:szCs w:val="20"/>
              </w:rPr>
            </w:pPr>
            <w:r>
              <w:rPr>
                <w:sz w:val="20"/>
                <w:szCs w:val="20"/>
              </w:rPr>
            </w:r>
            <w:r>
              <w:rPr>
                <w:sz w:val="20"/>
                <w:szCs w:val="20"/>
              </w:rPr>
            </w:r>
          </w:p>
        </w:tc>
        <w:tc>
          <w:tcPr>
            <w:tcW w:w="1702" w:type="dxa"/>
            <w:vAlign w:val="center"/>
            <w:vMerge w:val="continue"/>
            <w:textDirection w:val="lrTb"/>
            <w:noWrap w:val="false"/>
          </w:tcPr>
          <w:p>
            <w:pPr>
              <w:jc w:val="center"/>
            </w:pPr>
            <w:r/>
            <w:r/>
          </w:p>
        </w:tc>
        <w:tc>
          <w:tcPr>
            <w:tcW w:w="2834" w:type="dxa"/>
            <w:vAlign w:val="center"/>
            <w:vMerge w:val="continue"/>
            <w:textDirection w:val="lrTb"/>
            <w:noWrap w:val="false"/>
          </w:tcPr>
          <w:p>
            <w:pPr>
              <w:jc w:val="center"/>
            </w:pPr>
            <w:r/>
            <w:r/>
          </w:p>
        </w:tc>
      </w:tr>
      <w:tr>
        <w:tblPrEx/>
        <w:trPr>
          <w:trHeight w:val="345"/>
        </w:trPr>
        <w:tc>
          <w:tcPr>
            <w:tcW w:w="566" w:type="dxa"/>
            <w:vMerge w:val="continue"/>
            <w:textDirection w:val="lrTb"/>
            <w:noWrap w:val="false"/>
          </w:tcPr>
          <w:p>
            <w:pPr>
              <w:jc w:val="center"/>
            </w:pPr>
            <w:r/>
            <w:r/>
          </w:p>
        </w:tc>
        <w:tc>
          <w:tcPr>
            <w:tcW w:w="2695" w:type="dxa"/>
            <w:vMerge w:val="continue"/>
            <w:textDirection w:val="lrTb"/>
            <w:noWrap w:val="false"/>
          </w:tcPr>
          <w:p>
            <w:pPr>
              <w:jc w:val="center"/>
            </w:pPr>
            <w:r/>
            <w:r/>
          </w:p>
        </w:tc>
        <w:tc>
          <w:tcPr>
            <w:tcW w:w="2126" w:type="dxa"/>
            <w:vAlign w:val="center"/>
            <w:textDirection w:val="lrTb"/>
            <w:noWrap w:val="false"/>
          </w:tcPr>
          <w:p>
            <w:pPr>
              <w:jc w:val="left"/>
            </w:pPr>
            <w:r>
              <w:t xml:space="preserve">Сорт/класс топлива</w:t>
            </w:r>
            <w:r/>
          </w:p>
        </w:tc>
        <w:tc>
          <w:tcPr>
            <w:tcW w:w="1843" w:type="dxa"/>
            <w:vAlign w:val="center"/>
            <w:textDirection w:val="lrTb"/>
            <w:noWrap w:val="false"/>
          </w:tcPr>
          <w:p>
            <w:pPr>
              <w:jc w:val="left"/>
              <w:rPr>
                <w:lang w:val="en-US"/>
              </w:rPr>
            </w:pPr>
            <w:r>
              <w:t xml:space="preserve">не ниже </w:t>
            </w:r>
            <w:r>
              <w:rPr>
                <w:lang w:val="en-US"/>
              </w:rPr>
              <w:t xml:space="preserve">C</w:t>
            </w:r>
            <w:r>
              <w:rPr>
                <w:lang w:val="en-US"/>
              </w:rPr>
            </w:r>
          </w:p>
        </w:tc>
        <w:tc>
          <w:tcPr>
            <w:tcW w:w="850" w:type="dxa"/>
            <w:vMerge w:val="continue"/>
            <w:textDirection w:val="lrTb"/>
            <w:noWrap w:val="false"/>
          </w:tcPr>
          <w:p>
            <w:pPr>
              <w:jc w:val="center"/>
            </w:pPr>
            <w:r/>
            <w:r/>
          </w:p>
        </w:tc>
        <w:tc>
          <w:tcPr>
            <w:tcW w:w="1134" w:type="dxa"/>
            <w:vAlign w:val="center"/>
            <w:vMerge w:val="continue"/>
            <w:textDirection w:val="lrTb"/>
            <w:noWrap w:val="false"/>
          </w:tcPr>
          <w:p>
            <w:pPr>
              <w:jc w:val="center"/>
            </w:pPr>
            <w:r/>
            <w:r/>
          </w:p>
        </w:tc>
        <w:tc>
          <w:tcPr>
            <w:tcW w:w="992" w:type="dxa"/>
            <w:vAlign w:val="center"/>
            <w:vMerge w:val="continue"/>
            <w:textDirection w:val="lrTb"/>
            <w:noWrap w:val="false"/>
          </w:tcPr>
          <w:p>
            <w:pPr>
              <w:jc w:val="center"/>
              <w:rPr>
                <w:sz w:val="20"/>
                <w:szCs w:val="20"/>
              </w:rPr>
            </w:pPr>
            <w:r>
              <w:rPr>
                <w:sz w:val="20"/>
                <w:szCs w:val="20"/>
              </w:rPr>
            </w:r>
            <w:r>
              <w:rPr>
                <w:sz w:val="20"/>
                <w:szCs w:val="20"/>
              </w:rPr>
            </w:r>
          </w:p>
        </w:tc>
        <w:tc>
          <w:tcPr>
            <w:tcW w:w="1702" w:type="dxa"/>
            <w:vMerge w:val="continue"/>
            <w:textDirection w:val="lrTb"/>
            <w:noWrap w:val="false"/>
          </w:tcPr>
          <w:p>
            <w:pPr>
              <w:jc w:val="center"/>
            </w:pPr>
            <w:r/>
            <w:r/>
          </w:p>
        </w:tc>
        <w:tc>
          <w:tcPr>
            <w:tcW w:w="2834" w:type="dxa"/>
            <w:vMerge w:val="continue"/>
            <w:textDirection w:val="lrTb"/>
            <w:noWrap w:val="false"/>
          </w:tcPr>
          <w:p>
            <w:pPr>
              <w:jc w:val="center"/>
            </w:pPr>
            <w:r/>
            <w:r/>
          </w:p>
        </w:tc>
      </w:tr>
      <w:tr>
        <w:tblPrEx/>
        <w:trPr>
          <w:trHeight w:val="415"/>
        </w:trPr>
        <w:tc>
          <w:tcPr>
            <w:gridSpan w:val="4"/>
            <w:tcW w:w="7230" w:type="dxa"/>
            <w:textDirection w:val="lrTb"/>
            <w:noWrap w:val="false"/>
          </w:tcPr>
          <w:p>
            <w:pPr>
              <w:jc w:val="right"/>
              <w:rPr>
                <w:b/>
              </w:rPr>
            </w:pPr>
            <w:r>
              <w:rPr>
                <w:b/>
              </w:rPr>
              <w:t xml:space="preserve">ИТОГО</w:t>
            </w:r>
            <w:r>
              <w:rPr>
                <w:b/>
              </w:rPr>
            </w:r>
          </w:p>
        </w:tc>
        <w:tc>
          <w:tcPr>
            <w:tcW w:w="850" w:type="dxa"/>
            <w:textDirection w:val="lrTb"/>
            <w:noWrap w:val="false"/>
          </w:tcPr>
          <w:p>
            <w:pPr>
              <w:jc w:val="center"/>
              <w:rPr>
                <w:b/>
              </w:rPr>
            </w:pPr>
            <w:r>
              <w:rPr>
                <w:b/>
              </w:rPr>
              <w:t xml:space="preserve">литр</w:t>
            </w:r>
            <w:r>
              <w:rPr>
                <w:b/>
              </w:rPr>
            </w:r>
          </w:p>
        </w:tc>
        <w:tc>
          <w:tcPr>
            <w:tcW w:w="1134" w:type="dxa"/>
            <w:textDirection w:val="lrTb"/>
            <w:noWrap w:val="false"/>
          </w:tcPr>
          <w:p>
            <w:pPr>
              <w:jc w:val="center"/>
              <w:rPr>
                <w:b/>
                <w:lang w:val="en-US"/>
              </w:rPr>
            </w:pPr>
            <w:r>
              <w:rPr>
                <w:b/>
                <w:lang w:val="en-US"/>
              </w:rPr>
              <w:t xml:space="preserve">2000</w:t>
            </w:r>
            <w:r>
              <w:rPr>
                <w:b/>
                <w:lang w:val="en-US"/>
              </w:rPr>
            </w:r>
          </w:p>
        </w:tc>
        <w:tc>
          <w:tcPr>
            <w:tcW w:w="992" w:type="dxa"/>
            <w:vAlign w:val="center"/>
            <w:textDirection w:val="lrTb"/>
            <w:noWrap w:val="false"/>
          </w:tcPr>
          <w:p>
            <w:pPr>
              <w:jc w:val="center"/>
              <w:rPr>
                <w:sz w:val="20"/>
                <w:szCs w:val="20"/>
              </w:rPr>
            </w:pPr>
            <w:r>
              <w:rPr>
                <w:sz w:val="20"/>
                <w:szCs w:val="20"/>
              </w:rPr>
            </w:r>
            <w:r>
              <w:rPr>
                <w:sz w:val="20"/>
                <w:szCs w:val="20"/>
              </w:rPr>
            </w:r>
          </w:p>
        </w:tc>
        <w:tc>
          <w:tcPr>
            <w:tcW w:w="1702" w:type="dxa"/>
            <w:textDirection w:val="lrTb"/>
            <w:noWrap w:val="false"/>
          </w:tcPr>
          <w:p>
            <w:pPr>
              <w:jc w:val="center"/>
            </w:pPr>
            <w:r/>
            <w:r/>
          </w:p>
        </w:tc>
        <w:tc>
          <w:tcPr>
            <w:tcW w:w="2834" w:type="dxa"/>
            <w:textDirection w:val="lrTb"/>
            <w:noWrap w:val="false"/>
          </w:tcPr>
          <w:p>
            <w:pPr>
              <w:jc w:val="center"/>
            </w:pPr>
            <w:r/>
            <w:r/>
          </w:p>
        </w:tc>
      </w:tr>
    </w:tbl>
    <w:p>
      <w:pPr>
        <w:ind w:firstLine="567"/>
        <w:rPr>
          <w:rFonts w:eastAsia="Calibri"/>
          <w:szCs w:val="18"/>
        </w:rPr>
      </w:pPr>
      <w:r>
        <w:rPr>
          <w:rFonts w:eastAsia="Calibri"/>
          <w:szCs w:val="18"/>
        </w:rPr>
        <w:t xml:space="preserve">Товар должен соответствовать требованиям ГОСТ Р 52368-2005 (ЕН 590:2009) «Национальный стандарт Российской Федерации. Топливо дизельное ЕВРО. Технические условия.</w:t>
      </w:r>
      <w:r>
        <w:rPr>
          <w:rFonts w:eastAsia="Calibri"/>
          <w:szCs w:val="18"/>
        </w:rPr>
      </w:r>
    </w:p>
    <w:p>
      <w:pPr>
        <w:ind w:firstLine="567"/>
        <w:rPr>
          <w:rFonts w:eastAsia="Calibri"/>
          <w:szCs w:val="18"/>
        </w:rPr>
      </w:pPr>
      <w:r>
        <w:rPr>
          <w:rFonts w:eastAsia="Calibri"/>
          <w:szCs w:val="18"/>
        </w:rPr>
        <w:t xml:space="preserve">Качество поставляемого товара должно удовлетворять требованиям Технического ре</w:t>
      </w:r>
      <w:r>
        <w:rPr>
          <w:rFonts w:eastAsia="Calibri"/>
          <w:szCs w:val="18"/>
        </w:rPr>
        <w:t xml:space="preserve">гламента «О требованиях к автомобильному и авиационному бензину, дизельному и судовому топливу, топливу для реактивных двигателей и топочному мазуту», утвержденного постановлением Правительства Российской Федерации от 27.02.2008 № 118 и/или требованиям Тех</w:t>
      </w:r>
      <w:r>
        <w:rPr>
          <w:rFonts w:eastAsia="Calibri"/>
          <w:szCs w:val="18"/>
        </w:rPr>
        <w:t xml:space="preserve">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утвержденного решением комиссии Таможенного союза от 18.10.2011 № 826.</w:t>
      </w:r>
      <w:r>
        <w:rPr>
          <w:rFonts w:eastAsia="Calibri"/>
          <w:szCs w:val="18"/>
        </w:rPr>
      </w:r>
    </w:p>
    <w:p>
      <w:pPr>
        <w:ind w:firstLine="567"/>
        <w:rPr>
          <w:rFonts w:eastAsia="Calibri"/>
          <w:szCs w:val="18"/>
        </w:rPr>
      </w:pPr>
      <w:r>
        <w:rPr>
          <w:rFonts w:eastAsia="Calibri"/>
          <w:szCs w:val="18"/>
        </w:rPr>
        <w:t xml:space="preserve">Требования к безопасности товара:</w:t>
      </w:r>
      <w:r>
        <w:rPr>
          <w:rFonts w:eastAsia="Calibri"/>
          <w:szCs w:val="18"/>
        </w:rPr>
      </w:r>
    </w:p>
    <w:p>
      <w:pPr>
        <w:ind w:firstLine="567"/>
        <w:rPr>
          <w:rFonts w:eastAsia="Calibri"/>
          <w:szCs w:val="18"/>
        </w:rPr>
      </w:pPr>
      <w:r>
        <w:rPr>
          <w:rFonts w:eastAsia="Calibri"/>
          <w:szCs w:val="18"/>
        </w:rPr>
        <w:t xml:space="preserve"> Дизельное топливо относится к 4-му классу опасности в соответствии с ГОСТ 12.1.007-76 «Межгосударственный стандарт. Система стандартов безопасности труда. Вредные вещества. Классификация и общие требования безопасности»</w:t>
      </w:r>
      <w:r>
        <w:rPr>
          <w:rFonts w:eastAsia="Calibri"/>
          <w:szCs w:val="18"/>
        </w:rPr>
      </w:r>
    </w:p>
    <w:p>
      <w:pPr>
        <w:ind w:firstLine="567"/>
        <w:rPr>
          <w:rFonts w:eastAsia="Calibri"/>
          <w:szCs w:val="18"/>
        </w:rPr>
      </w:pPr>
      <w:r>
        <w:rPr>
          <w:rFonts w:eastAsia="Calibri"/>
          <w:szCs w:val="18"/>
        </w:rPr>
        <w:t xml:space="preserve">Поставщик </w:t>
      </w:r>
      <w:r>
        <w:rPr>
          <w:rFonts w:eastAsia="Calibri"/>
          <w:szCs w:val="18"/>
        </w:rPr>
        <w:t xml:space="preserve">гарантирует качество поставляемого топлива в соответствии с действующими стандартами, утвержденными на данный вид топлива, и наличие сертификатов соответствия, обязательных для данного вида товара, оформленных в соответствии с российским законодательством.</w:t>
      </w:r>
      <w:r>
        <w:rPr>
          <w:rFonts w:eastAsia="Calibri"/>
          <w:szCs w:val="18"/>
        </w:rPr>
      </w:r>
    </w:p>
    <w:p>
      <w:pPr>
        <w:ind w:firstLine="567"/>
      </w:pPr>
      <w:r>
        <w:t xml:space="preserve">Поставка товара производится путем отпуска товара с АЗС, партиями объемом от 20 до 200 литров. Слив дизельного топлива в топливные емкости дизель-генераторных установок выполняется Заказчиком.</w:t>
      </w:r>
      <w:r/>
    </w:p>
    <w:p>
      <w:pPr>
        <w:ind w:firstLine="567"/>
        <w:rPr>
          <w:rFonts w:eastAsia="Calibri"/>
        </w:rPr>
      </w:pPr>
      <w:r>
        <w:rPr>
          <w:rFonts w:eastAsia="Calibri"/>
        </w:rPr>
        <w:t xml:space="preserve">Поставка товара осуществляется по мере необходимости, определенной Заказчиком и Управлением Федерального казначейства по </w:t>
      </w:r>
      <w:r>
        <w:rPr>
          <w:rFonts w:eastAsia="Calibri"/>
        </w:rPr>
        <w:t xml:space="preserve">Белгородской</w:t>
      </w:r>
      <w:r>
        <w:rPr>
          <w:rFonts w:eastAsia="Calibri"/>
        </w:rPr>
        <w:t xml:space="preserve"> области. Отпуск товара осуществляется незамедлительно в день (момент) обращения в ёмкости Заказчика.</w:t>
      </w:r>
      <w:r>
        <w:rPr>
          <w:rFonts w:eastAsia="Calibri"/>
        </w:rPr>
      </w:r>
    </w:p>
    <w:p>
      <w:pPr>
        <w:ind w:firstLine="567"/>
        <w:rPr>
          <w:rFonts w:eastAsia="Calibri"/>
        </w:rPr>
      </w:pPr>
      <w:r>
        <w:rPr>
          <w:rFonts w:eastAsia="Calibri"/>
        </w:rPr>
      </w:r>
      <w:r>
        <w:rPr>
          <w:rFonts w:eastAsia="Calibri"/>
        </w:rPr>
      </w:r>
    </w:p>
    <w:p>
      <w:pPr>
        <w:jc w:val="right"/>
      </w:pPr>
      <w:r/>
      <w:r/>
    </w:p>
    <w:tbl>
      <w:tblPr>
        <w:tblW w:w="12866" w:type="dxa"/>
        <w:tblLook w:val="04A0" w:firstRow="1" w:lastRow="0" w:firstColumn="1" w:lastColumn="0" w:noHBand="0" w:noVBand="1"/>
      </w:tblPr>
      <w:tblGrid>
        <w:gridCol w:w="5920"/>
        <w:gridCol w:w="6946"/>
      </w:tblGrid>
      <w:tr>
        <w:tblPrEx/>
        <w:trPr>
          <w:trHeight w:val="141"/>
        </w:trPr>
        <w:tc>
          <w:tcPr>
            <w:tcBorders>
              <w:top w:val="none" w:color="000000" w:sz="0" w:space="0"/>
              <w:left w:val="none" w:color="000000" w:sz="0" w:space="0"/>
              <w:bottom w:val="none" w:color="000000" w:sz="0" w:space="0"/>
              <w:right w:val="none" w:color="000000" w:sz="0" w:space="0"/>
            </w:tcBorders>
            <w:tcW w:w="5920" w:type="dxa"/>
            <w:textDirection w:val="lrTb"/>
            <w:noWrap w:val="false"/>
          </w:tcPr>
          <w:p>
            <w:pPr>
              <w:jc w:val="center"/>
              <w:widowControl w:val="off"/>
            </w:pPr>
            <w:r>
              <w:rPr>
                <w:b/>
              </w:rPr>
              <w:t xml:space="preserve">Заказчик</w:t>
            </w:r>
            <w:r/>
          </w:p>
        </w:tc>
        <w:tc>
          <w:tcPr>
            <w:tcBorders>
              <w:top w:val="none" w:color="000000" w:sz="0" w:space="0"/>
              <w:left w:val="none" w:color="000000" w:sz="0" w:space="0"/>
              <w:bottom w:val="none" w:color="000000" w:sz="0" w:space="0"/>
              <w:right w:val="none" w:color="000000" w:sz="0" w:space="0"/>
            </w:tcBorders>
            <w:tcW w:w="6946" w:type="dxa"/>
            <w:textDirection w:val="lrTb"/>
            <w:noWrap w:val="false"/>
          </w:tcPr>
          <w:p>
            <w:pPr>
              <w:ind w:left="1975"/>
              <w:jc w:val="center"/>
              <w:widowControl w:val="off"/>
            </w:pPr>
            <w:r>
              <w:rPr>
                <w:b/>
              </w:rPr>
              <w:t xml:space="preserve">Поставщик</w:t>
            </w:r>
            <w:r/>
          </w:p>
        </w:tc>
      </w:tr>
      <w:tr>
        <w:tblPrEx/>
        <w:trPr>
          <w:trHeight w:val="955"/>
        </w:trPr>
        <w:tc>
          <w:tcPr>
            <w:tcBorders>
              <w:top w:val="none" w:color="000000" w:sz="0" w:space="0"/>
              <w:left w:val="none" w:color="000000" w:sz="0" w:space="0"/>
              <w:bottom w:val="none" w:color="000000" w:sz="0" w:space="0"/>
              <w:right w:val="none" w:color="000000" w:sz="0" w:space="0"/>
            </w:tcBorders>
            <w:tcW w:w="5920" w:type="dxa"/>
            <w:textDirection w:val="lrTb"/>
            <w:noWrap w:val="false"/>
          </w:tcPr>
          <w:p>
            <w:pPr>
              <w:jc w:val="left"/>
              <w:shd w:val="clear" w:color="auto" w:fill="ffffff"/>
              <w:rPr>
                <w:color w:val="000000"/>
              </w:rPr>
            </w:pPr>
            <w:r>
              <w:rPr>
                <w:color w:val="000000"/>
              </w:rPr>
              <w:t xml:space="preserve">Заместитель начальника Межрегионального филиала Федерального казенного учреждения «</w:t>
            </w:r>
            <w:r>
              <w:t xml:space="preserve">Центр по обеспечению деятельности Казначейства России</w:t>
            </w:r>
            <w:r>
              <w:rPr>
                <w:color w:val="000000"/>
              </w:rPr>
              <w:t xml:space="preserve">» </w:t>
            </w:r>
            <w:r>
              <w:rPr>
                <w:color w:val="000000"/>
              </w:rPr>
            </w:r>
          </w:p>
          <w:p>
            <w:pPr>
              <w:jc w:val="left"/>
              <w:widowControl w:val="off"/>
              <w:rPr>
                <w:color w:val="000000"/>
              </w:rPr>
            </w:pPr>
            <w:r>
              <w:rPr>
                <w:color w:val="000000"/>
              </w:rPr>
              <w:t xml:space="preserve">в г. Владимире</w:t>
            </w:r>
            <w:r>
              <w:rPr>
                <w:color w:val="000000"/>
              </w:rPr>
            </w:r>
          </w:p>
          <w:p>
            <w:pPr>
              <w:widowControl w:val="off"/>
            </w:pPr>
            <w:r>
              <w:t xml:space="preserve">_________________</w:t>
            </w:r>
            <w:r>
              <w:t xml:space="preserve">_  В.В.</w:t>
            </w:r>
            <w:r>
              <w:t xml:space="preserve"> Ханбабаева</w:t>
            </w:r>
            <w:r/>
          </w:p>
        </w:tc>
        <w:tc>
          <w:tcPr>
            <w:tcBorders>
              <w:top w:val="none" w:color="000000" w:sz="0" w:space="0"/>
              <w:left w:val="none" w:color="000000" w:sz="0" w:space="0"/>
              <w:bottom w:val="none" w:color="000000" w:sz="0" w:space="0"/>
              <w:right w:val="none" w:color="000000" w:sz="0" w:space="0"/>
            </w:tcBorders>
            <w:tcW w:w="6946" w:type="dxa"/>
            <w:textDirection w:val="lrTb"/>
            <w:noWrap w:val="false"/>
          </w:tcPr>
          <w:p>
            <w:pPr>
              <w:widowControl w:val="off"/>
              <w:rPr>
                <w:bCs/>
              </w:rPr>
            </w:pPr>
            <w:r>
              <w:rPr>
                <w:bCs/>
              </w:rPr>
            </w:r>
            <w:r>
              <w:rPr>
                <w:bCs/>
              </w:rPr>
            </w:r>
          </w:p>
          <w:p>
            <w:pPr>
              <w:widowControl w:val="off"/>
            </w:pPr>
            <w:r>
              <w:rPr>
                <w:bCs/>
              </w:rPr>
              <w:t xml:space="preserve"> </w:t>
            </w:r>
            <w:r/>
          </w:p>
        </w:tc>
      </w:tr>
    </w:tbl>
    <w:p>
      <w:pPr>
        <w:jc w:val="right"/>
        <w:rPr>
          <w:vanish/>
        </w:rPr>
      </w:pPr>
      <w:r>
        <w:rPr>
          <w:vanish/>
        </w:rPr>
        <mc:AlternateContent>
          <mc:Choice Requires="wpg">
            <w:drawing>
              <wp:inline xmlns:wp="http://schemas.openxmlformats.org/drawingml/2006/wordprocessingDrawing" distT="0" distB="0" distL="0" distR="0">
                <wp:extent cx="142875" cy="142875"/>
                <wp:effectExtent l="0" t="0" r="0" b="0"/>
                <wp:docPr id="1" name="_x0000_i10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
                        <a:stretch/>
                      </pic:blipFill>
                      <pic:spPr bwMode="auto">
                        <a:xfrm>
                          <a:off x="0" y="0"/>
                          <a:ext cx="142875" cy="142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1.25pt;height:11.25pt;mso-wrap-distance-left:0.00pt;mso-wrap-distance-top:0.00pt;mso-wrap-distance-right:0.00pt;mso-wrap-distance-bottom:0.00pt;" stroked="f">
                <v:path textboxrect="0,0,0,0"/>
                <v:imagedata r:id="rId14" o:title=""/>
              </v:shape>
            </w:pict>
          </mc:Fallback>
        </mc:AlternateContent>
      </w:r>
      <w:r>
        <w:rPr>
          <w:vanish/>
        </w:rPr>
      </w:r>
    </w:p>
    <w:sectPr>
      <w:footnotePr/>
      <w:endnotePr/>
      <w:type w:val="nextPage"/>
      <w:pgSz w:w="16838" w:h="11906" w:orient="landscape"/>
      <w:pgMar w:top="1134" w:right="1134" w:bottom="567" w:left="1134" w:header="709" w:footer="4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40803050406030204"/>
  </w:font>
  <w:font w:name="Symbol">
    <w:panose1 w:val="05010000000000000000"/>
  </w:font>
  <w:font w:name="Calibri">
    <w:panose1 w:val="020F0502020204030204"/>
  </w:font>
  <w:font w:name="Wingdings">
    <w:panose1 w:val="05010000000000000000"/>
  </w:font>
  <w:font w:name="Franklin Gothic Book">
    <w:panose1 w:val="020B0603020202020204"/>
  </w:font>
  <w:font w:name="GaramondC">
    <w:panose1 w:val="020B0603020203020204"/>
  </w:font>
  <w:font w:name="SchoolBookC">
    <w:panose1 w:val="020B0603020203020204"/>
  </w:font>
  <w:font w:name="Lucida Sans Unicode">
    <w:panose1 w:val="020B0603030804020204"/>
  </w:font>
  <w:font w:name="Verdana">
    <w:panose1 w:val="020B0604030504040204"/>
  </w:font>
  <w:font w:name="Tahoma">
    <w:panose1 w:val="020B0604030504040204"/>
  </w:font>
  <w:font w:name="MS Mincho">
    <w:panose1 w:val="02020603050405090304"/>
  </w:font>
  <w:font w:name="Arial Narrow">
    <w:panose1 w:val="020B0604020202020204"/>
  </w:font>
  <w:font w:name="Times New Roman">
    <w:panose1 w:val="02020603050405020304"/>
  </w:font>
  <w:font w:name="MS Reference Sans Serif">
    <w:panose1 w:val="020B0604030504040204"/>
  </w:font>
  <w:font w:name="Courier New">
    <w:panose1 w:val="02070309020205020404"/>
  </w:font>
  <w:font w:name="Mangal">
    <w:panose1 w:val="02040503050406030204"/>
  </w:font>
  <w:font w:name="Cambria">
    <w:panose1 w:val="02040803050406030204"/>
  </w:font>
  <w:font w:name="Monotype Corsiva">
    <w:panose1 w:val="02000000000000000000"/>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84"/>
      <w:jc w:val="center"/>
    </w:pPr>
    <w:r>
      <w:fldChar w:fldCharType="begin"/>
    </w:r>
    <w:r>
      <w:instrText xml:space="preserve"> PAGE   \* MERGEFORMAT </w:instrText>
    </w:r>
    <w:r>
      <w:fldChar w:fldCharType="separate"/>
    </w:r>
    <w:r>
      <w:t xml:space="preserve">10</w:t>
    </w:r>
    <w:r>
      <w:fldChar w:fldCharType="end"/>
    </w:r>
    <w:r/>
  </w:p>
  <w:p>
    <w:pPr>
      <w:pStyle w:val="784"/>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fldChar w:fldCharType="begin"/>
    </w:r>
    <w:r>
      <w:instrText xml:space="preserve">PAGE  </w:instrText>
    </w:r>
    <w:r>
      <w:fldChar w:fldCharType="end"/>
    </w:r>
    <w:r/>
  </w:p>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087"/>
      <w:isLgl w:val="false"/>
      <w:suff w:val="space"/>
      <w:lvlText w:val="%1"/>
      <w:lvlJc w:val="center"/>
      <w:pPr>
        <w:ind w:left="1066" w:firstLine="0"/>
      </w:pPr>
    </w:lvl>
    <w:lvl w:ilvl="1">
      <w:start w:val="1"/>
      <w:numFmt w:val="decimal"/>
      <w:pStyle w:val="1085"/>
      <w:isLgl w:val="false"/>
      <w:suff w:val="space"/>
      <w:lvlText w:val="%1.%2"/>
      <w:lvlJc w:val="left"/>
      <w:pPr>
        <w:ind w:left="1066" w:firstLine="708"/>
      </w:pPr>
    </w:lvl>
    <w:lvl w:ilvl="2">
      <w:start w:val="1"/>
      <w:numFmt w:val="decimal"/>
      <w:pStyle w:val="1086"/>
      <w:isLgl w:val="false"/>
      <w:suff w:val="space"/>
      <w:lvlText w:val="%1.%2.%3"/>
      <w:lvlJc w:val="left"/>
      <w:pPr>
        <w:ind w:left="1066" w:firstLine="708"/>
      </w:pPr>
    </w:lvl>
    <w:lvl w:ilvl="3">
      <w:start w:val="1"/>
      <w:numFmt w:val="decimal"/>
      <w:pStyle w:val="1084"/>
      <w:isLgl w:val="false"/>
      <w:suff w:val="space"/>
      <w:lvlText w:val="%1.%2.%3.%4"/>
      <w:lvlJc w:val="left"/>
      <w:pPr>
        <w:ind w:left="1066" w:firstLine="708"/>
      </w:pPr>
    </w:lvl>
    <w:lvl w:ilvl="4">
      <w:start w:val="1"/>
      <w:numFmt w:val="decimal"/>
      <w:pStyle w:val="1083"/>
      <w:isLgl w:val="false"/>
      <w:suff w:val="space"/>
      <w:lvlText w:val="%1.%2.%3.%4.%5."/>
      <w:lvlJc w:val="left"/>
      <w:pPr>
        <w:ind w:left="1066" w:firstLine="708"/>
      </w:pPr>
    </w:lvl>
    <w:lvl w:ilvl="5">
      <w:start w:val="1"/>
      <w:numFmt w:val="decimal"/>
      <w:isLgl w:val="false"/>
      <w:suff w:val="space"/>
      <w:lvlText w:val="%1.%2.%3.%4.%5.%6."/>
      <w:lvlJc w:val="left"/>
      <w:pPr>
        <w:ind w:left="1066" w:firstLine="708"/>
      </w:pPr>
    </w:lvl>
    <w:lvl w:ilvl="6">
      <w:start w:val="1"/>
      <w:numFmt w:val="decimal"/>
      <w:isLgl w:val="false"/>
      <w:suff w:val="space"/>
      <w:lvlText w:val="%1.%2.%3.%4.%5.%6.%7."/>
      <w:lvlJc w:val="left"/>
      <w:pPr>
        <w:ind w:left="1066" w:firstLine="708"/>
      </w:pPr>
    </w:lvl>
    <w:lvl w:ilvl="7">
      <w:start w:val="1"/>
      <w:numFmt w:val="decimal"/>
      <w:isLgl w:val="false"/>
      <w:suff w:val="space"/>
      <w:lvlText w:val="%1.%2.%3.%4.%5.%6.%7.%8."/>
      <w:lvlJc w:val="left"/>
      <w:pPr>
        <w:ind w:left="1066" w:firstLine="708"/>
      </w:pPr>
    </w:lvl>
    <w:lvl w:ilvl="8">
      <w:start w:val="1"/>
      <w:numFmt w:val="decimal"/>
      <w:isLgl w:val="false"/>
      <w:suff w:val="space"/>
      <w:lvlText w:val="%1.%2.%3.%4.%5.%6.%7.%8.%9."/>
      <w:lvlJc w:val="left"/>
      <w:pPr>
        <w:ind w:left="1066" w:firstLine="708"/>
      </w:pPr>
    </w:lvl>
  </w:abstractNum>
  <w:abstractNum w:abstractNumId="1">
    <w:multiLevelType w:val="hybridMultilevel"/>
    <w:lvl w:ilvl="0">
      <w:start w:val="1"/>
      <w:numFmt w:val="decimal"/>
      <w:pStyle w:val="1024"/>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1089"/>
      <w:isLgl w:val="false"/>
      <w:suff w:val="tab"/>
      <w:lvlText w:val="%1."/>
      <w:lvlJc w:val="left"/>
      <w:pPr>
        <w:ind w:left="851" w:hanging="851"/>
        <w:tabs>
          <w:tab w:val="num" w:pos="851" w:leader="none"/>
        </w:tabs>
      </w:pPr>
    </w:lvl>
    <w:lvl w:ilvl="1">
      <w:start w:val="1"/>
      <w:numFmt w:val="decimal"/>
      <w:pStyle w:val="1090"/>
      <w:isLgl w:val="false"/>
      <w:suff w:val="tab"/>
      <w:lvlText w:val="%1.%2."/>
      <w:lvlJc w:val="left"/>
      <w:pPr>
        <w:ind w:left="851" w:hanging="851"/>
        <w:tabs>
          <w:tab w:val="num" w:pos="851" w:leader="none"/>
        </w:tabs>
      </w:pPr>
    </w:lvl>
    <w:lvl w:ilvl="2">
      <w:start w:val="1"/>
      <w:numFmt w:val="decimal"/>
      <w:isLgl w:val="false"/>
      <w:suff w:val="tab"/>
      <w:lvlText w:val="2.%2.%3."/>
      <w:lvlJc w:val="left"/>
      <w:pPr>
        <w:ind w:left="851" w:hanging="851"/>
        <w:tabs>
          <w:tab w:val="num" w:pos="851" w:leader="none"/>
        </w:tabs>
      </w:pPr>
      <w:rPr>
        <w:b w:val="0"/>
        <w:color w:val="000000"/>
      </w:rPr>
    </w:lvl>
    <w:lvl w:ilvl="3">
      <w:start w:val="1"/>
      <w:numFmt w:val="bullet"/>
      <w:pStyle w:val="1092"/>
      <w:isLgl w:val="false"/>
      <w:suff w:val="tab"/>
      <w:lvlText w:val=""/>
      <w:lvlJc w:val="left"/>
      <w:pPr>
        <w:ind w:left="1134" w:hanging="283"/>
        <w:tabs>
          <w:tab w:val="num" w:pos="1134" w:leader="none"/>
        </w:tabs>
      </w:pPr>
      <w:rPr>
        <w:rFonts w:ascii="Symbol" w:hAnsi="Symbol"/>
      </w:rPr>
    </w:lvl>
    <w:lvl w:ilvl="4">
      <w:start w:val="1"/>
      <w:numFmt w:val="decimal"/>
      <w:isLgl w:val="false"/>
      <w:suff w:val="tab"/>
      <w:lvlText w:val="%1.%2.%3.%4.%5."/>
      <w:lvlJc w:val="left"/>
      <w:pPr>
        <w:ind w:left="2232" w:hanging="792"/>
        <w:tabs>
          <w:tab w:val="num" w:pos="2232" w:leader="none"/>
        </w:tabs>
      </w:pPr>
    </w:lvl>
    <w:lvl w:ilvl="5">
      <w:start w:val="1"/>
      <w:numFmt w:val="decimal"/>
      <w:isLgl w:val="false"/>
      <w:suff w:val="tab"/>
      <w:lvlText w:val="%1.%2.%3.%4.%5.%6."/>
      <w:lvlJc w:val="left"/>
      <w:pPr>
        <w:ind w:left="2736" w:hanging="936"/>
        <w:tabs>
          <w:tab w:val="num" w:pos="2736" w:leader="none"/>
        </w:tabs>
      </w:pPr>
    </w:lvl>
    <w:lvl w:ilvl="6">
      <w:start w:val="1"/>
      <w:numFmt w:val="decimal"/>
      <w:isLgl w:val="false"/>
      <w:suff w:val="tab"/>
      <w:lvlText w:val="%1.%2.%3.%4.%5.%6.%7."/>
      <w:lvlJc w:val="left"/>
      <w:pPr>
        <w:ind w:left="3240" w:hanging="1080"/>
        <w:tabs>
          <w:tab w:val="num" w:pos="3240" w:leader="none"/>
        </w:tabs>
      </w:pPr>
    </w:lvl>
    <w:lvl w:ilvl="7">
      <w:start w:val="1"/>
      <w:numFmt w:val="decimal"/>
      <w:isLgl w:val="false"/>
      <w:suff w:val="tab"/>
      <w:lvlText w:val="%1.%2.%3.%4.%5.%6.%7.%8."/>
      <w:lvlJc w:val="left"/>
      <w:pPr>
        <w:ind w:left="3744" w:hanging="1224"/>
        <w:tabs>
          <w:tab w:val="num" w:pos="3744" w:leader="none"/>
        </w:tabs>
      </w:pPr>
    </w:lvl>
    <w:lvl w:ilvl="8">
      <w:start w:val="1"/>
      <w:numFmt w:val="decimal"/>
      <w:isLgl w:val="false"/>
      <w:suff w:val="tab"/>
      <w:lvlText w:val="%1.%2.%3.%4.%5.%6.%7.%8.%9."/>
      <w:lvlJc w:val="left"/>
      <w:pPr>
        <w:ind w:left="4320" w:hanging="1440"/>
        <w:tabs>
          <w:tab w:val="num" w:pos="4320" w:leader="none"/>
        </w:tabs>
      </w:pPr>
    </w:lvl>
  </w:abstractNum>
  <w:abstractNum w:abstractNumId="3">
    <w:multiLevelType w:val="hybridMultilevel"/>
    <w:lvl w:ilvl="0">
      <w:start w:val="1"/>
      <w:numFmt w:val="decimal"/>
      <w:pStyle w:val="968"/>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thaiNumbers"/>
      <w:pStyle w:val="1018"/>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
    <w:multiLevelType w:val="hybridMultilevel"/>
    <w:lvl w:ilvl="0">
      <w:start w:val="1"/>
      <w:numFmt w:val="decimal"/>
      <w:pStyle w:val="963"/>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972" w:hanging="432"/>
        <w:tabs>
          <w:tab w:val="num" w:pos="972" w:leader="none"/>
        </w:tabs>
      </w:pPr>
      <w:rPr>
        <w:b/>
      </w:rPr>
    </w:lvl>
    <w:lvl w:ilvl="2">
      <w:start w:val="1"/>
      <w:numFmt w:val="thaiNumbers"/>
      <w:pStyle w:val="1008"/>
      <w:isLgl w:val="false"/>
      <w:suff w:val="tab"/>
      <w:lvlText w:val="%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7">
    <w:multiLevelType w:val="hybridMultilevel"/>
    <w:lvl w:ilvl="0">
      <w:start w:val="1"/>
      <w:numFmt w:val="decimal"/>
      <w:pStyle w:val="1081"/>
      <w:isLgl w:val="false"/>
      <w:suff w:val="tab"/>
      <w:lvlText w:val="%1)"/>
      <w:lvlJc w:val="left"/>
      <w:pPr>
        <w:ind w:left="576" w:hanging="576"/>
        <w:tabs>
          <w:tab w:val="num" w:pos="576" w:leader="none"/>
        </w:tabs>
      </w:pPr>
      <w:rPr>
        <w:b w:val="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8">
    <w:multiLevelType w:val="hybridMultilevel"/>
    <w:lvl w:ilvl="0">
      <w:start w:val="4"/>
      <w:numFmt w:val="decimal"/>
      <w:isLgl w:val="false"/>
      <w:suff w:val="tab"/>
      <w:lvlText w:val="%1."/>
      <w:lvlJc w:val="left"/>
      <w:pPr>
        <w:ind w:left="360" w:hanging="360"/>
      </w:pPr>
    </w:lvl>
    <w:lvl w:ilvl="1">
      <w:start w:val="1"/>
      <w:numFmt w:val="decimal"/>
      <w:isLgl w:val="false"/>
      <w:suff w:val="tab"/>
      <w:lvlText w:val="%1.%2."/>
      <w:lvlJc w:val="left"/>
      <w:pPr>
        <w:ind w:left="1080" w:hanging="360"/>
      </w:pPr>
    </w:lvl>
    <w:lvl w:ilvl="2">
      <w:start w:val="1"/>
      <w:numFmt w:val="decimal"/>
      <w:isLgl w:val="false"/>
      <w:suff w:val="tab"/>
      <w:lvlText w:val="%1.%2.%3."/>
      <w:lvlJc w:val="left"/>
      <w:pPr>
        <w:ind w:left="1854"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9">
    <w:multiLevelType w:val="hybridMultilevel"/>
    <w:lvl w:ilvl="0">
      <w:start w:val="1"/>
      <w:numFmt w:val="bullet"/>
      <w:isLgl w:val="false"/>
      <w:suff w:val="tab"/>
      <w:lvlText w:val=""/>
      <w:lvlJc w:val="left"/>
      <w:pPr>
        <w:ind w:left="720" w:hanging="360"/>
      </w:pPr>
      <w:rPr>
        <w:rFonts w:ascii="Wingdings" w:hAnsi="Wingdings"/>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0">
    <w:multiLevelType w:val="hybridMultilevel"/>
    <w:lvl w:ilvl="0">
      <w:start w:val="1"/>
      <w:numFmt w:val="upperRoman"/>
      <w:isLgl w:val="false"/>
      <w:suff w:val="tab"/>
      <w:lvlText w:val="ЧАСТЬ %1."/>
      <w:lvlJc w:val="left"/>
      <w:pPr>
        <w:ind w:left="720" w:hanging="720"/>
        <w:tabs>
          <w:tab w:val="num" w:pos="2160" w:leader="none"/>
        </w:tabs>
      </w:pPr>
      <w:rPr>
        <w:sz w:val="40"/>
        <w:szCs w:val="40"/>
      </w:rPr>
    </w:lvl>
    <w:lvl w:ilvl="1">
      <w:start w:val="1"/>
      <w:numFmt w:val="decimal"/>
      <w:pStyle w:val="966"/>
      <w:isLgl w:val="false"/>
      <w:suff w:val="tab"/>
      <w:lvlText w:val="РАЗДЕЛ %1.%2"/>
      <w:lvlJc w:val="left"/>
      <w:pPr>
        <w:ind w:left="720" w:hanging="720"/>
        <w:tabs>
          <w:tab w:val="num" w:pos="14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11">
    <w:multiLevelType w:val="hybridMultilevel"/>
    <w:lvl w:ilvl="0">
      <w:start w:val="1"/>
      <w:numFmt w:val="decimal"/>
      <w:pStyle w:val="944"/>
      <w:isLgl w:val="false"/>
      <w:suff w:val="tab"/>
      <w:lvlText w:val="%1."/>
      <w:lvlJc w:val="left"/>
      <w:pPr>
        <w:ind w:left="432" w:hanging="432"/>
        <w:tabs>
          <w:tab w:val="num" w:pos="432" w:leader="none"/>
        </w:tabs>
      </w:pPr>
    </w:lvl>
    <w:lvl w:ilvl="1">
      <w:start w:val="1"/>
      <w:numFmt w:val="decimal"/>
      <w:pStyle w:val="945"/>
      <w:isLgl w:val="false"/>
      <w:suff w:val="tab"/>
      <w:lvlText w:val="%1.%2"/>
      <w:lvlJc w:val="left"/>
      <w:pPr>
        <w:ind w:left="576" w:hanging="576"/>
        <w:tabs>
          <w:tab w:val="num" w:pos="576" w:leader="none"/>
        </w:tabs>
      </w:pPr>
    </w:lvl>
    <w:lvl w:ilvl="2">
      <w:start w:val="1"/>
      <w:numFmt w:val="decimal"/>
      <w:pStyle w:val="947"/>
      <w:isLgl w:val="false"/>
      <w:suff w:val="tab"/>
      <w:lvlText w:val="%1.%2.%3"/>
      <w:lvlJc w:val="left"/>
      <w:pPr>
        <w:ind w:left="0" w:firstLine="0"/>
        <w:tabs>
          <w:tab w:val="num" w:pos="227"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2">
    <w:multiLevelType w:val="hybridMultilevel"/>
    <w:lvl w:ilvl="0">
      <w:start w:val="1"/>
      <w:numFmt w:val="decimal"/>
      <w:pStyle w:val="946"/>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
    <w:multiLevelType w:val="hybridMultilevel"/>
    <w:lvl w:ilvl="0">
      <w:start w:val="1"/>
      <w:numFmt w:val="bullet"/>
      <w:pStyle w:val="958"/>
      <w:isLgl w:val="false"/>
      <w:suff w:val="tab"/>
      <w:lvlText w:val=""/>
      <w:lvlJc w:val="left"/>
      <w:pPr>
        <w:ind w:left="926" w:hanging="360"/>
        <w:tabs>
          <w:tab w:val="num" w:pos="926"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
    <w:multiLevelType w:val="hybridMultilevel"/>
    <w:lvl w:ilvl="0">
      <w:start w:val="1"/>
      <w:numFmt w:val="decimal"/>
      <w:isLgl w:val="false"/>
      <w:suff w:val="tab"/>
      <w:lvlText w:val="%1."/>
      <w:lvlJc w:val="left"/>
      <w:pPr>
        <w:ind w:left="851" w:hanging="851"/>
        <w:tabs>
          <w:tab w:val="num" w:pos="851" w:leader="none"/>
        </w:tabs>
      </w:pPr>
    </w:lvl>
    <w:lvl w:ilvl="1">
      <w:start w:val="1"/>
      <w:numFmt w:val="decimal"/>
      <w:isLgl w:val="false"/>
      <w:suff w:val="tab"/>
      <w:lvlText w:val="%1.%2."/>
      <w:lvlJc w:val="left"/>
      <w:pPr>
        <w:ind w:left="851" w:hanging="851"/>
        <w:tabs>
          <w:tab w:val="num" w:pos="851" w:leader="none"/>
        </w:tabs>
      </w:pPr>
    </w:lvl>
    <w:lvl w:ilvl="2">
      <w:start w:val="1"/>
      <w:numFmt w:val="bullet"/>
      <w:pStyle w:val="1091"/>
      <w:isLgl w:val="false"/>
      <w:suff w:val="tab"/>
      <w:lvlText w:val=""/>
      <w:lvlJc w:val="left"/>
      <w:pPr>
        <w:ind w:left="360" w:hanging="360"/>
        <w:tabs>
          <w:tab w:val="num" w:pos="360" w:leader="none"/>
        </w:tabs>
      </w:pPr>
      <w:rPr>
        <w:rFonts w:ascii="Symbol" w:hAnsi="Symbol"/>
      </w:rPr>
    </w:lvl>
    <w:lvl w:ilvl="3">
      <w:start w:val="1"/>
      <w:numFmt w:val="bullet"/>
      <w:isLgl w:val="false"/>
      <w:suff w:val="tab"/>
      <w:lvlText w:val=""/>
      <w:lvlJc w:val="left"/>
      <w:pPr>
        <w:ind w:left="1134" w:hanging="283"/>
        <w:tabs>
          <w:tab w:val="num" w:pos="1134" w:leader="none"/>
        </w:tabs>
      </w:pPr>
      <w:rPr>
        <w:rFonts w:ascii="Symbol" w:hAnsi="Symbol"/>
      </w:rPr>
    </w:lvl>
    <w:lvl w:ilvl="4">
      <w:start w:val="1"/>
      <w:numFmt w:val="decimal"/>
      <w:isLgl w:val="false"/>
      <w:suff w:val="tab"/>
      <w:lvlText w:val="%1.%2.%3.%4.%5."/>
      <w:lvlJc w:val="left"/>
      <w:pPr>
        <w:ind w:left="2232" w:hanging="792"/>
        <w:tabs>
          <w:tab w:val="num" w:pos="2232" w:leader="none"/>
        </w:tabs>
      </w:pPr>
    </w:lvl>
    <w:lvl w:ilvl="5">
      <w:start w:val="1"/>
      <w:numFmt w:val="decimal"/>
      <w:isLgl w:val="false"/>
      <w:suff w:val="tab"/>
      <w:lvlText w:val="%1.%2.%3.%4.%5.%6."/>
      <w:lvlJc w:val="left"/>
      <w:pPr>
        <w:ind w:left="2736" w:hanging="936"/>
        <w:tabs>
          <w:tab w:val="num" w:pos="2736" w:leader="none"/>
        </w:tabs>
      </w:pPr>
    </w:lvl>
    <w:lvl w:ilvl="6">
      <w:start w:val="1"/>
      <w:numFmt w:val="decimal"/>
      <w:isLgl w:val="false"/>
      <w:suff w:val="tab"/>
      <w:lvlText w:val="%1.%2.%3.%4.%5.%6.%7."/>
      <w:lvlJc w:val="left"/>
      <w:pPr>
        <w:ind w:left="3240" w:hanging="1080"/>
        <w:tabs>
          <w:tab w:val="num" w:pos="3240" w:leader="none"/>
        </w:tabs>
      </w:pPr>
    </w:lvl>
    <w:lvl w:ilvl="7">
      <w:start w:val="1"/>
      <w:numFmt w:val="decimal"/>
      <w:isLgl w:val="false"/>
      <w:suff w:val="tab"/>
      <w:lvlText w:val="%1.%2.%3.%4.%5.%6.%7.%8."/>
      <w:lvlJc w:val="left"/>
      <w:pPr>
        <w:ind w:left="3744" w:hanging="1224"/>
        <w:tabs>
          <w:tab w:val="num" w:pos="3744" w:leader="none"/>
        </w:tabs>
      </w:pPr>
    </w:lvl>
    <w:lvl w:ilvl="8">
      <w:start w:val="1"/>
      <w:numFmt w:val="decimal"/>
      <w:isLgl w:val="false"/>
      <w:suff w:val="tab"/>
      <w:lvlText w:val="%1.%2.%3.%4.%5.%6.%7.%8.%9."/>
      <w:lvlJc w:val="left"/>
      <w:pPr>
        <w:ind w:left="4320" w:hanging="1440"/>
        <w:tabs>
          <w:tab w:val="num" w:pos="4320" w:leader="none"/>
        </w:tabs>
      </w:pPr>
    </w:lvl>
  </w:abstractNum>
  <w:abstractNum w:abstractNumId="15">
    <w:multiLevelType w:val="hybridMultilevel"/>
    <w:lvl w:ilvl="0">
      <w:start w:val="1"/>
      <w:numFmt w:val="decimal"/>
      <w:isLgl w:val="false"/>
      <w:suff w:val="tab"/>
      <w:lvlText w:val="%1."/>
      <w:lvlJc w:val="left"/>
      <w:pPr>
        <w:ind w:left="480" w:hanging="480"/>
      </w:pPr>
    </w:lvl>
    <w:lvl w:ilvl="1">
      <w:start w:val="1"/>
      <w:numFmt w:val="decimal"/>
      <w:isLgl w:val="false"/>
      <w:suff w:val="tab"/>
      <w:lvlText w:val="%1.%2."/>
      <w:lvlJc w:val="left"/>
      <w:pPr>
        <w:ind w:left="1189" w:hanging="480"/>
      </w:pPr>
    </w:lvl>
    <w:lvl w:ilvl="2">
      <w:start w:val="1"/>
      <w:numFmt w:val="decimal"/>
      <w:isLgl w:val="false"/>
      <w:suff w:val="tab"/>
      <w:lvlText w:val="%1.%2.%3."/>
      <w:lvlJc w:val="left"/>
      <w:pPr>
        <w:ind w:left="2138" w:hanging="720"/>
      </w:pPr>
    </w:lvl>
    <w:lvl w:ilvl="3">
      <w:start w:val="1"/>
      <w:numFmt w:val="decimal"/>
      <w:isLgl w:val="false"/>
      <w:suff w:val="tab"/>
      <w:lvlText w:val="%1.%2.%3.%4."/>
      <w:lvlJc w:val="left"/>
      <w:pPr>
        <w:ind w:left="2847" w:hanging="720"/>
      </w:pPr>
    </w:lvl>
    <w:lvl w:ilvl="4">
      <w:start w:val="1"/>
      <w:numFmt w:val="decimal"/>
      <w:isLgl w:val="false"/>
      <w:suff w:val="tab"/>
      <w:lvlText w:val="%1.%2.%3.%4.%5."/>
      <w:lvlJc w:val="left"/>
      <w:pPr>
        <w:ind w:left="3916" w:hanging="1080"/>
      </w:pPr>
    </w:lvl>
    <w:lvl w:ilvl="5">
      <w:start w:val="1"/>
      <w:numFmt w:val="decimal"/>
      <w:isLgl w:val="false"/>
      <w:suff w:val="tab"/>
      <w:lvlText w:val="%1.%2.%3.%4.%5.%6."/>
      <w:lvlJc w:val="left"/>
      <w:pPr>
        <w:ind w:left="4625" w:hanging="1080"/>
      </w:pPr>
    </w:lvl>
    <w:lvl w:ilvl="6">
      <w:start w:val="1"/>
      <w:numFmt w:val="decimal"/>
      <w:isLgl w:val="false"/>
      <w:suff w:val="tab"/>
      <w:lvlText w:val="%1.%2.%3.%4.%5.%6.%7."/>
      <w:lvlJc w:val="left"/>
      <w:pPr>
        <w:ind w:left="5694" w:hanging="1440"/>
      </w:pPr>
    </w:lvl>
    <w:lvl w:ilvl="7">
      <w:start w:val="1"/>
      <w:numFmt w:val="decimal"/>
      <w:isLgl w:val="false"/>
      <w:suff w:val="tab"/>
      <w:lvlText w:val="%1.%2.%3.%4.%5.%6.%7.%8."/>
      <w:lvlJc w:val="left"/>
      <w:pPr>
        <w:ind w:left="6403" w:hanging="1440"/>
      </w:pPr>
    </w:lvl>
    <w:lvl w:ilvl="8">
      <w:start w:val="1"/>
      <w:numFmt w:val="decimal"/>
      <w:isLgl w:val="false"/>
      <w:suff w:val="tab"/>
      <w:lvlText w:val="%1.%2.%3.%4.%5.%6.%7.%8.%9."/>
      <w:lvlJc w:val="left"/>
      <w:pPr>
        <w:ind w:left="7472" w:hanging="1800"/>
      </w:pPr>
    </w:lvl>
  </w:abstractNum>
  <w:abstractNum w:abstractNumId="16">
    <w:multiLevelType w:val="hybridMultilevel"/>
    <w:lvl w:ilvl="0">
      <w:start w:val="1"/>
      <w:numFmt w:val="bullet"/>
      <w:pStyle w:val="961"/>
      <w:isLgl w:val="false"/>
      <w:suff w:val="tab"/>
      <w:lvlText w:val=""/>
      <w:lvlJc w:val="left"/>
      <w:pPr>
        <w:ind w:left="1492" w:hanging="360"/>
        <w:tabs>
          <w:tab w:val="num" w:pos="1492"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
    <w:multiLevelType w:val="hybridMultilevel"/>
    <w:lvl w:ilvl="0">
      <w:start w:val="1324"/>
      <w:numFmt w:val="decimal"/>
      <w:isLgl w:val="false"/>
      <w:suff w:val="tab"/>
      <w:lvlText w:val="%1"/>
      <w:lvlJc w:val="left"/>
      <w:pPr>
        <w:ind w:left="5300" w:hanging="480"/>
      </w:pPr>
    </w:lvl>
    <w:lvl w:ilvl="1">
      <w:start w:val="1"/>
      <w:numFmt w:val="lowerLetter"/>
      <w:isLgl w:val="false"/>
      <w:suff w:val="tab"/>
      <w:lvlText w:val="%2."/>
      <w:lvlJc w:val="left"/>
      <w:pPr>
        <w:ind w:left="5900" w:hanging="360"/>
      </w:pPr>
    </w:lvl>
    <w:lvl w:ilvl="2">
      <w:start w:val="1"/>
      <w:numFmt w:val="lowerRoman"/>
      <w:isLgl w:val="false"/>
      <w:suff w:val="tab"/>
      <w:lvlText w:val="%3."/>
      <w:lvlJc w:val="right"/>
      <w:pPr>
        <w:ind w:left="6620" w:hanging="180"/>
      </w:pPr>
    </w:lvl>
    <w:lvl w:ilvl="3">
      <w:start w:val="1"/>
      <w:numFmt w:val="decimal"/>
      <w:isLgl w:val="false"/>
      <w:suff w:val="tab"/>
      <w:lvlText w:val="%4."/>
      <w:lvlJc w:val="left"/>
      <w:pPr>
        <w:ind w:left="7340" w:hanging="360"/>
      </w:pPr>
    </w:lvl>
    <w:lvl w:ilvl="4">
      <w:start w:val="1"/>
      <w:numFmt w:val="lowerLetter"/>
      <w:isLgl w:val="false"/>
      <w:suff w:val="tab"/>
      <w:lvlText w:val="%5."/>
      <w:lvlJc w:val="left"/>
      <w:pPr>
        <w:ind w:left="8060" w:hanging="360"/>
      </w:pPr>
    </w:lvl>
    <w:lvl w:ilvl="5">
      <w:start w:val="1"/>
      <w:numFmt w:val="lowerRoman"/>
      <w:isLgl w:val="false"/>
      <w:suff w:val="tab"/>
      <w:lvlText w:val="%6."/>
      <w:lvlJc w:val="right"/>
      <w:pPr>
        <w:ind w:left="8780" w:hanging="180"/>
      </w:pPr>
    </w:lvl>
    <w:lvl w:ilvl="6">
      <w:start w:val="1"/>
      <w:numFmt w:val="decimal"/>
      <w:isLgl w:val="false"/>
      <w:suff w:val="tab"/>
      <w:lvlText w:val="%7."/>
      <w:lvlJc w:val="left"/>
      <w:pPr>
        <w:ind w:left="9500" w:hanging="360"/>
      </w:pPr>
    </w:lvl>
    <w:lvl w:ilvl="7">
      <w:start w:val="1"/>
      <w:numFmt w:val="lowerLetter"/>
      <w:isLgl w:val="false"/>
      <w:suff w:val="tab"/>
      <w:lvlText w:val="%8."/>
      <w:lvlJc w:val="left"/>
      <w:pPr>
        <w:ind w:left="10220" w:hanging="360"/>
      </w:pPr>
    </w:lvl>
    <w:lvl w:ilvl="8">
      <w:start w:val="1"/>
      <w:numFmt w:val="lowerRoman"/>
      <w:isLgl w:val="false"/>
      <w:suff w:val="tab"/>
      <w:lvlText w:val="%9."/>
      <w:lvlJc w:val="right"/>
      <w:pPr>
        <w:ind w:left="10940" w:hanging="180"/>
      </w:pPr>
    </w:lvl>
  </w:abstractNum>
  <w:abstractNum w:abstractNumId="18">
    <w:multiLevelType w:val="hybridMultilevel"/>
    <w:lvl w:ilvl="0">
      <w:start w:val="1"/>
      <w:numFmt w:val="decimal"/>
      <w:pStyle w:val="975"/>
      <w:isLgl w:val="false"/>
      <w:suff w:val="tab"/>
      <w:lvlText w:val="%1."/>
      <w:lvlJc w:val="left"/>
      <w:pPr>
        <w:ind w:left="360" w:hanging="360"/>
        <w:tabs>
          <w:tab w:val="num" w:pos="360" w:leader="none"/>
        </w:tabs>
      </w:pPr>
    </w:lvl>
    <w:lvl w:ilvl="1">
      <w:start w:val="1"/>
      <w:numFmt w:val="decimal"/>
      <w:pStyle w:val="977"/>
      <w:isLgl w:val="false"/>
      <w:suff w:val="tab"/>
      <w:lvlText w:val="%1.%2."/>
      <w:lvlJc w:val="left"/>
      <w:pPr>
        <w:ind w:left="972" w:hanging="432"/>
        <w:tabs>
          <w:tab w:val="num" w:pos="972" w:leader="none"/>
        </w:tabs>
      </w:pPr>
      <w:rPr>
        <w:b/>
      </w:rPr>
    </w:lvl>
    <w:lvl w:ilvl="2">
      <w:start w:val="1"/>
      <w:numFmt w:val="decimal"/>
      <w:pStyle w:val="1004"/>
      <w:isLgl w:val="false"/>
      <w:suff w:val="tab"/>
      <w:lvlText w:val="%1.%2.%3."/>
      <w:lvlJc w:val="left"/>
      <w:pPr>
        <w:ind w:left="1224" w:hanging="504"/>
        <w:tabs>
          <w:tab w:val="num" w:pos="1440" w:leader="none"/>
        </w:tabs>
      </w:pPr>
    </w:lvl>
    <w:lvl w:ilvl="3">
      <w:start w:val="1"/>
      <w:numFmt w:val="decimal"/>
      <w:pStyle w:val="1016"/>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19">
    <w:multiLevelType w:val="hybridMultilevel"/>
    <w:lvl w:ilvl="0">
      <w:start w:val="1"/>
      <w:numFmt w:val="bullet"/>
      <w:pStyle w:val="960"/>
      <w:isLgl w:val="false"/>
      <w:suff w:val="tab"/>
      <w:lvlText w:val=""/>
      <w:lvlJc w:val="left"/>
      <w:pPr>
        <w:ind w:left="1209" w:hanging="360"/>
        <w:tabs>
          <w:tab w:val="num" w:pos="1209" w:leader="none"/>
        </w:tabs>
      </w:pPr>
      <w:rPr>
        <w:rFonts w:ascii="Symbol" w:hAnsi="Symbol"/>
      </w:rPr>
    </w:lvl>
    <w:lvl w:ilvl="1">
      <w:start w:val="1"/>
      <w:numFmt w:val="bullet"/>
      <w:pStyle w:val="1070"/>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
    <w:multiLevelType w:val="hybridMultilevel"/>
    <w:lvl w:ilvl="0">
      <w:start w:val="1"/>
      <w:numFmt w:val="decimal"/>
      <w:isLgl w:val="false"/>
      <w:suff w:val="tab"/>
      <w:lvlText w:val="%1"/>
      <w:lvlJc w:val="left"/>
      <w:pPr>
        <w:ind w:left="360" w:hanging="360"/>
      </w:pPr>
    </w:lvl>
    <w:lvl w:ilvl="1">
      <w:start w:val="2"/>
      <w:numFmt w:val="decimal"/>
      <w:isLgl w:val="false"/>
      <w:suff w:val="tab"/>
      <w:lvlText w:val="%1.%2"/>
      <w:lvlJc w:val="left"/>
      <w:pPr>
        <w:ind w:left="1584" w:hanging="360"/>
      </w:pPr>
    </w:lvl>
    <w:lvl w:ilvl="2">
      <w:start w:val="1"/>
      <w:numFmt w:val="decimal"/>
      <w:isLgl w:val="false"/>
      <w:suff w:val="tab"/>
      <w:lvlText w:val="%1.%2.%3"/>
      <w:lvlJc w:val="left"/>
      <w:pPr>
        <w:ind w:left="3168" w:hanging="720"/>
      </w:pPr>
    </w:lvl>
    <w:lvl w:ilvl="3">
      <w:start w:val="1"/>
      <w:numFmt w:val="decimal"/>
      <w:isLgl w:val="false"/>
      <w:suff w:val="tab"/>
      <w:lvlText w:val="%1.%2.%3.%4"/>
      <w:lvlJc w:val="left"/>
      <w:pPr>
        <w:ind w:left="4392" w:hanging="720"/>
      </w:pPr>
    </w:lvl>
    <w:lvl w:ilvl="4">
      <w:start w:val="1"/>
      <w:numFmt w:val="decimal"/>
      <w:isLgl w:val="false"/>
      <w:suff w:val="tab"/>
      <w:lvlText w:val="%1.%2.%3.%4.%5"/>
      <w:lvlJc w:val="left"/>
      <w:pPr>
        <w:ind w:left="5976" w:hanging="1080"/>
      </w:pPr>
    </w:lvl>
    <w:lvl w:ilvl="5">
      <w:start w:val="1"/>
      <w:numFmt w:val="decimal"/>
      <w:isLgl w:val="false"/>
      <w:suff w:val="tab"/>
      <w:lvlText w:val="%1.%2.%3.%4.%5.%6"/>
      <w:lvlJc w:val="left"/>
      <w:pPr>
        <w:ind w:left="7200" w:hanging="1080"/>
      </w:pPr>
    </w:lvl>
    <w:lvl w:ilvl="6">
      <w:start w:val="1"/>
      <w:numFmt w:val="decimal"/>
      <w:isLgl w:val="false"/>
      <w:suff w:val="tab"/>
      <w:lvlText w:val="%1.%2.%3.%4.%5.%6.%7"/>
      <w:lvlJc w:val="left"/>
      <w:pPr>
        <w:ind w:left="8784" w:hanging="1440"/>
      </w:pPr>
    </w:lvl>
    <w:lvl w:ilvl="7">
      <w:start w:val="1"/>
      <w:numFmt w:val="decimal"/>
      <w:isLgl w:val="false"/>
      <w:suff w:val="tab"/>
      <w:lvlText w:val="%1.%2.%3.%4.%5.%6.%7.%8"/>
      <w:lvlJc w:val="left"/>
      <w:pPr>
        <w:ind w:left="10008" w:hanging="1440"/>
      </w:pPr>
    </w:lvl>
    <w:lvl w:ilvl="8">
      <w:start w:val="1"/>
      <w:numFmt w:val="decimal"/>
      <w:isLgl w:val="false"/>
      <w:suff w:val="tab"/>
      <w:lvlText w:val="%1.%2.%3.%4.%5.%6.%7.%8.%9"/>
      <w:lvlJc w:val="left"/>
      <w:pPr>
        <w:ind w:left="11592" w:hanging="1800"/>
      </w:pPr>
    </w:lvl>
  </w:abstractNum>
  <w:abstractNum w:abstractNumId="21">
    <w:multiLevelType w:val="hybridMultilevel"/>
    <w:lvl w:ilvl="0">
      <w:start w:val="1"/>
      <w:numFmt w:val="decimal"/>
      <w:pStyle w:val="962"/>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
    <w:multiLevelType w:val="hybridMultilevel"/>
    <w:lvl w:ilvl="0">
      <w:start w:val="1324"/>
      <w:numFmt w:val="decimal"/>
      <w:isLgl w:val="false"/>
      <w:suff w:val="tab"/>
      <w:lvlText w:val="%1"/>
      <w:lvlJc w:val="left"/>
      <w:pPr>
        <w:ind w:left="5158" w:hanging="480"/>
      </w:pPr>
    </w:lvl>
    <w:lvl w:ilvl="1">
      <w:start w:val="1"/>
      <w:numFmt w:val="lowerLetter"/>
      <w:isLgl w:val="false"/>
      <w:suff w:val="tab"/>
      <w:lvlText w:val="%2."/>
      <w:lvlJc w:val="left"/>
      <w:pPr>
        <w:ind w:left="5758" w:hanging="360"/>
      </w:pPr>
    </w:lvl>
    <w:lvl w:ilvl="2">
      <w:start w:val="1"/>
      <w:numFmt w:val="lowerRoman"/>
      <w:isLgl w:val="false"/>
      <w:suff w:val="tab"/>
      <w:lvlText w:val="%3."/>
      <w:lvlJc w:val="right"/>
      <w:pPr>
        <w:ind w:left="6478" w:hanging="180"/>
      </w:pPr>
    </w:lvl>
    <w:lvl w:ilvl="3">
      <w:start w:val="1"/>
      <w:numFmt w:val="decimal"/>
      <w:isLgl w:val="false"/>
      <w:suff w:val="tab"/>
      <w:lvlText w:val="%4."/>
      <w:lvlJc w:val="left"/>
      <w:pPr>
        <w:ind w:left="7198" w:hanging="360"/>
      </w:pPr>
    </w:lvl>
    <w:lvl w:ilvl="4">
      <w:start w:val="1"/>
      <w:numFmt w:val="lowerLetter"/>
      <w:isLgl w:val="false"/>
      <w:suff w:val="tab"/>
      <w:lvlText w:val="%5."/>
      <w:lvlJc w:val="left"/>
      <w:pPr>
        <w:ind w:left="7918" w:hanging="360"/>
      </w:pPr>
    </w:lvl>
    <w:lvl w:ilvl="5">
      <w:start w:val="1"/>
      <w:numFmt w:val="lowerRoman"/>
      <w:isLgl w:val="false"/>
      <w:suff w:val="tab"/>
      <w:lvlText w:val="%6."/>
      <w:lvlJc w:val="right"/>
      <w:pPr>
        <w:ind w:left="8638" w:hanging="180"/>
      </w:pPr>
    </w:lvl>
    <w:lvl w:ilvl="6">
      <w:start w:val="1"/>
      <w:numFmt w:val="decimal"/>
      <w:isLgl w:val="false"/>
      <w:suff w:val="tab"/>
      <w:lvlText w:val="%7."/>
      <w:lvlJc w:val="left"/>
      <w:pPr>
        <w:ind w:left="9358" w:hanging="360"/>
      </w:pPr>
    </w:lvl>
    <w:lvl w:ilvl="7">
      <w:start w:val="1"/>
      <w:numFmt w:val="lowerLetter"/>
      <w:isLgl w:val="false"/>
      <w:suff w:val="tab"/>
      <w:lvlText w:val="%8."/>
      <w:lvlJc w:val="left"/>
      <w:pPr>
        <w:ind w:left="10078" w:hanging="360"/>
      </w:pPr>
    </w:lvl>
    <w:lvl w:ilvl="8">
      <w:start w:val="1"/>
      <w:numFmt w:val="lowerRoman"/>
      <w:isLgl w:val="false"/>
      <w:suff w:val="tab"/>
      <w:lvlText w:val="%9."/>
      <w:lvlJc w:val="right"/>
      <w:pPr>
        <w:ind w:left="10798" w:hanging="180"/>
      </w:pPr>
    </w:lvl>
  </w:abstractNum>
  <w:abstractNum w:abstractNumId="23">
    <w:multiLevelType w:val="hybridMultilevel"/>
    <w:lvl w:ilvl="0">
      <w:start w:val="1"/>
      <w:numFmt w:val="decimal"/>
      <w:pStyle w:val="1098"/>
      <w:isLgl w:val="false"/>
      <w:suff w:val="tab"/>
      <w:lvlText w:val="%1."/>
      <w:lvlJc w:val="left"/>
      <w:pPr>
        <w:ind w:left="1134" w:hanging="397"/>
        <w:tabs>
          <w:tab w:val="num" w:pos="1134" w:leader="none"/>
        </w:tabs>
      </w:pPr>
      <w:rPr>
        <w:rFonts w:ascii="Times New Roman" w:hAnsi="Times New Roman"/>
        <w:b/>
        <w:i w:val="0"/>
        <w:sz w:val="28"/>
      </w:rPr>
    </w:lvl>
    <w:lvl w:ilvl="1">
      <w:start w:val="1"/>
      <w:numFmt w:val="decimal"/>
      <w:pStyle w:val="1099"/>
      <w:isLgl w:val="false"/>
      <w:suff w:val="tab"/>
      <w:lvlText w:val="%1.%2."/>
      <w:lvlJc w:val="left"/>
      <w:pPr>
        <w:ind w:left="737" w:firstLine="0"/>
        <w:tabs>
          <w:tab w:val="num" w:pos="1134" w:leader="none"/>
        </w:tabs>
      </w:pPr>
      <w:rPr>
        <w:rFonts w:ascii="Times New Roman" w:hAnsi="Times New Roman" w:cs="Times New Roman"/>
        <w:b w:val="0"/>
        <w:bCs w:val="0"/>
        <w:i w:val="0"/>
        <w:iCs w:val="0"/>
        <w:caps w:val="0"/>
        <w:smallCaps w:val="0"/>
        <w:strike w:val="0"/>
        <w:vanish w:val="0"/>
        <w:spacing w:val="0"/>
        <w:position w:val="0"/>
        <w:u w:val="none"/>
        <w:vertAlign w:val="baseline"/>
      </w:rPr>
    </w:lvl>
    <w:lvl w:ilvl="2">
      <w:start w:val="1"/>
      <w:numFmt w:val="decimal"/>
      <w:pStyle w:val="1100"/>
      <w:isLgl w:val="false"/>
      <w:suff w:val="tab"/>
      <w:lvlText w:val="%1.%2.%3."/>
      <w:lvlJc w:val="left"/>
      <w:pPr>
        <w:ind w:left="0" w:firstLine="737"/>
        <w:tabs>
          <w:tab w:val="num" w:pos="1134" w:leader="none"/>
        </w:tabs>
      </w:pPr>
      <w:rPr>
        <w:b/>
      </w:rPr>
    </w:lvl>
    <w:lvl w:ilvl="3">
      <w:start w:val="1"/>
      <w:numFmt w:val="decimal"/>
      <w:isLgl w:val="false"/>
      <w:suff w:val="tab"/>
      <w:lvlText w:val="%1.%2.%3.%4."/>
      <w:lvlJc w:val="left"/>
      <w:pPr>
        <w:ind w:left="2988" w:hanging="1531"/>
        <w:tabs>
          <w:tab w:val="num" w:pos="2988" w:leader="none"/>
        </w:tabs>
      </w:pPr>
    </w:lvl>
    <w:lvl w:ilvl="4">
      <w:start w:val="1"/>
      <w:numFmt w:val="decimal"/>
      <w:isLgl w:val="false"/>
      <w:suff w:val="tab"/>
      <w:lvlText w:val="%1.%2.%3.%4.%5."/>
      <w:lvlJc w:val="left"/>
      <w:pPr>
        <w:ind w:left="3385" w:hanging="1928"/>
        <w:tabs>
          <w:tab w:val="num" w:pos="3385" w:leader="none"/>
        </w:tabs>
      </w:pPr>
      <w:rPr>
        <w:rFonts w:ascii="Times New Roman" w:hAnsi="Times New Roman" w:cs="Times New Roman"/>
        <w:b w:val="0"/>
        <w:bCs w:val="0"/>
        <w:i w:val="0"/>
        <w:iCs w:val="0"/>
        <w:caps w:val="0"/>
        <w:smallCaps w:val="0"/>
        <w:strike w:val="0"/>
        <w:vanish w:val="0"/>
        <w:spacing w:val="0"/>
        <w:position w:val="0"/>
        <w:u w:val="none"/>
        <w:vertAlign w:val="baseline"/>
      </w:rPr>
    </w:lvl>
    <w:lvl w:ilvl="5">
      <w:start w:val="1"/>
      <w:numFmt w:val="decimal"/>
      <w:isLgl w:val="false"/>
      <w:suff w:val="tab"/>
      <w:lvlText w:val="%1.%2.%3.%4.%5.%6."/>
      <w:lvlJc w:val="left"/>
      <w:pPr>
        <w:ind w:left="3725" w:hanging="2268"/>
        <w:tabs>
          <w:tab w:val="num" w:pos="3725" w:leader="none"/>
        </w:tabs>
      </w:pPr>
    </w:lvl>
    <w:lvl w:ilvl="6">
      <w:start w:val="1"/>
      <w:numFmt w:val="decimal"/>
      <w:isLgl w:val="false"/>
      <w:suff w:val="tab"/>
      <w:lvlText w:val="%1.%2.%3.%4.%5.%6.%7."/>
      <w:lvlJc w:val="left"/>
      <w:pPr>
        <w:ind w:left="3782" w:hanging="2325"/>
        <w:tabs>
          <w:tab w:val="num" w:pos="3782" w:leader="none"/>
        </w:tabs>
      </w:pPr>
    </w:lvl>
    <w:lvl w:ilvl="7">
      <w:start w:val="1"/>
      <w:numFmt w:val="decimal"/>
      <w:isLgl w:val="false"/>
      <w:suff w:val="tab"/>
      <w:lvlText w:val="%1.%2.%3.%4.%5.%6.%7.%8."/>
      <w:lvlJc w:val="left"/>
      <w:pPr>
        <w:ind w:left="5426" w:hanging="3969"/>
        <w:tabs>
          <w:tab w:val="num" w:pos="5426" w:leader="none"/>
        </w:tabs>
      </w:pPr>
    </w:lvl>
    <w:lvl w:ilvl="8">
      <w:start w:val="1"/>
      <w:numFmt w:val="decimal"/>
      <w:isLgl w:val="false"/>
      <w:suff w:val="tab"/>
      <w:lvlText w:val="%1.%2.%3.%4.%5.%6.%7.%8.%9."/>
      <w:lvlJc w:val="left"/>
      <w:pPr>
        <w:ind w:left="5766" w:hanging="4309"/>
        <w:tabs>
          <w:tab w:val="num" w:pos="5766" w:leader="none"/>
        </w:tabs>
      </w:pPr>
    </w:lvl>
  </w:abstractNum>
  <w:abstractNum w:abstractNumId="24">
    <w:multiLevelType w:val="hybridMultilevel"/>
    <w:lvl w:ilvl="0">
      <w:start w:val="1"/>
      <w:numFmt w:val="decimal"/>
      <w:pStyle w:val="965"/>
      <w:isLgl w:val="false"/>
      <w:suff w:val="tab"/>
      <w:lvlText w:val="%1."/>
      <w:lvlJc w:val="left"/>
      <w:pPr>
        <w:ind w:left="1492" w:hanging="360"/>
        <w:tabs>
          <w:tab w:val="num"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5">
    <w:multiLevelType w:val="hybridMultilevel"/>
    <w:lvl w:ilvl="0">
      <w:start w:val="1"/>
      <w:numFmt w:val="decimal"/>
      <w:pStyle w:val="964"/>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6">
    <w:multiLevelType w:val="hybridMultilevel"/>
    <w:lvl w:ilvl="0">
      <w:start w:val="1"/>
      <w:numFmt w:val="decimal"/>
      <w:pStyle w:val="967"/>
      <w:isLgl w:val="false"/>
      <w:suff w:val="tab"/>
      <w:lvlText w:val="%1."/>
      <w:lvlJc w:val="left"/>
      <w:pPr>
        <w:ind w:left="567" w:hanging="567"/>
        <w:tabs>
          <w:tab w:val="num" w:pos="567" w:leader="none"/>
        </w:tabs>
      </w:pPr>
    </w:lvl>
    <w:lvl w:ilvl="1">
      <w:start w:val="1"/>
      <w:numFmt w:val="decimal"/>
      <w:pStyle w:val="956"/>
      <w:isLgl w:val="false"/>
      <w:suff w:val="tab"/>
      <w:lvlText w:val="%1.%2"/>
      <w:lvlJc w:val="left"/>
      <w:pPr>
        <w:ind w:left="567" w:hanging="567"/>
        <w:tabs>
          <w:tab w:val="num" w:pos="567"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27">
    <w:multiLevelType w:val="hybridMultilevel"/>
    <w:lvl w:ilvl="0">
      <w:start w:val="1"/>
      <w:numFmt w:val="decimal"/>
      <w:isLgl w:val="false"/>
      <w:suff w:val="tab"/>
      <w:lvlText w:val="%1."/>
      <w:lvlJc w:val="left"/>
      <w:pPr>
        <w:ind w:left="480" w:hanging="480"/>
      </w:pPr>
    </w:lvl>
    <w:lvl w:ilvl="1">
      <w:start w:val="1"/>
      <w:numFmt w:val="decimal"/>
      <w:isLgl w:val="false"/>
      <w:suff w:val="tab"/>
      <w:lvlText w:val="%1.%2."/>
      <w:lvlJc w:val="left"/>
      <w:pPr>
        <w:ind w:left="1189" w:hanging="480"/>
      </w:pPr>
    </w:lvl>
    <w:lvl w:ilvl="2">
      <w:start w:val="1"/>
      <w:numFmt w:val="decimal"/>
      <w:isLgl w:val="false"/>
      <w:suff w:val="tab"/>
      <w:lvlText w:val="%1.%2.%3."/>
      <w:lvlJc w:val="left"/>
      <w:pPr>
        <w:ind w:left="2138" w:hanging="720"/>
      </w:pPr>
    </w:lvl>
    <w:lvl w:ilvl="3">
      <w:start w:val="1"/>
      <w:numFmt w:val="decimal"/>
      <w:isLgl w:val="false"/>
      <w:suff w:val="tab"/>
      <w:lvlText w:val="%1.%2.%3.%4."/>
      <w:lvlJc w:val="left"/>
      <w:pPr>
        <w:ind w:left="2847" w:hanging="720"/>
      </w:pPr>
    </w:lvl>
    <w:lvl w:ilvl="4">
      <w:start w:val="1"/>
      <w:numFmt w:val="decimal"/>
      <w:isLgl w:val="false"/>
      <w:suff w:val="tab"/>
      <w:lvlText w:val="%1.%2.%3.%4.%5."/>
      <w:lvlJc w:val="left"/>
      <w:pPr>
        <w:ind w:left="3916" w:hanging="1080"/>
      </w:pPr>
    </w:lvl>
    <w:lvl w:ilvl="5">
      <w:start w:val="1"/>
      <w:numFmt w:val="decimal"/>
      <w:isLgl w:val="false"/>
      <w:suff w:val="tab"/>
      <w:lvlText w:val="%1.%2.%3.%4.%5.%6."/>
      <w:lvlJc w:val="left"/>
      <w:pPr>
        <w:ind w:left="4625" w:hanging="1080"/>
      </w:pPr>
    </w:lvl>
    <w:lvl w:ilvl="6">
      <w:start w:val="1"/>
      <w:numFmt w:val="decimal"/>
      <w:isLgl w:val="false"/>
      <w:suff w:val="tab"/>
      <w:lvlText w:val="%1.%2.%3.%4.%5.%6.%7."/>
      <w:lvlJc w:val="left"/>
      <w:pPr>
        <w:ind w:left="5694" w:hanging="1440"/>
      </w:pPr>
    </w:lvl>
    <w:lvl w:ilvl="7">
      <w:start w:val="1"/>
      <w:numFmt w:val="decimal"/>
      <w:isLgl w:val="false"/>
      <w:suff w:val="tab"/>
      <w:lvlText w:val="%1.%2.%3.%4.%5.%6.%7.%8."/>
      <w:lvlJc w:val="left"/>
      <w:pPr>
        <w:ind w:left="6403" w:hanging="1440"/>
      </w:pPr>
    </w:lvl>
    <w:lvl w:ilvl="8">
      <w:start w:val="1"/>
      <w:numFmt w:val="decimal"/>
      <w:isLgl w:val="false"/>
      <w:suff w:val="tab"/>
      <w:lvlText w:val="%1.%2.%3.%4.%5.%6.%7.%8.%9."/>
      <w:lvlJc w:val="left"/>
      <w:pPr>
        <w:ind w:left="7472" w:hanging="1800"/>
      </w:pPr>
    </w:lvl>
  </w:abstractNum>
  <w:abstractNum w:abstractNumId="28">
    <w:multiLevelType w:val="hybridMultilevel"/>
    <w:lvl w:ilvl="0">
      <w:start w:val="1"/>
      <w:numFmt w:val="bullet"/>
      <w:pStyle w:val="951"/>
      <w:isLgl w:val="false"/>
      <w:suff w:val="tab"/>
      <w:lvlText w:val=""/>
      <w:lvlJc w:val="left"/>
      <w:pPr>
        <w:ind w:left="643" w:hanging="360"/>
        <w:tabs>
          <w:tab w:val="num" w:pos="643"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num w:numId="1">
    <w:abstractNumId w:val="12"/>
  </w:num>
  <w:num w:numId="2">
    <w:abstractNumId w:val="11"/>
  </w:num>
  <w:num w:numId="3">
    <w:abstractNumId w:val="28"/>
  </w:num>
  <w:num w:numId="4">
    <w:abstractNumId w:val="13"/>
  </w:num>
  <w:num w:numId="5">
    <w:abstractNumId w:val="19"/>
  </w:num>
  <w:num w:numId="6">
    <w:abstractNumId w:val="16"/>
  </w:num>
  <w:num w:numId="7">
    <w:abstractNumId w:val="21"/>
  </w:num>
  <w:num w:numId="8">
    <w:abstractNumId w:val="5"/>
  </w:num>
  <w:num w:numId="9">
    <w:abstractNumId w:val="25"/>
  </w:num>
  <w:num w:numId="10">
    <w:abstractNumId w:val="24"/>
  </w:num>
  <w:num w:numId="11">
    <w:abstractNumId w:val="10"/>
  </w:num>
  <w:num w:numId="12">
    <w:abstractNumId w:val="3"/>
  </w:num>
  <w:num w:numId="13">
    <w:abstractNumId w:val="26"/>
  </w:num>
  <w:num w:numId="14">
    <w:abstractNumId w:val="18"/>
  </w:num>
  <w:num w:numId="15">
    <w:abstractNumId w:val="6"/>
  </w:num>
  <w:num w:numId="16">
    <w:abstractNumId w:val="4"/>
  </w:num>
  <w:num w:numId="17">
    <w:abstractNumId w:val="1"/>
  </w:num>
  <w:num w:numId="18">
    <w:abstractNumId w:val="7"/>
  </w:num>
  <w:num w:numId="19">
    <w:abstractNumId w:val="0"/>
  </w:num>
  <w:num w:numId="20">
    <w:abstractNumId w:val="2"/>
  </w:num>
  <w:num w:numId="21">
    <w:abstractNumId w:val="14"/>
  </w:num>
  <w:num w:numId="22">
    <w:abstractNumId w:val="23"/>
  </w:num>
  <w:num w:numId="23">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27"/>
  </w:num>
  <w:num w:numId="27">
    <w:abstractNumId w:val="22"/>
  </w:num>
  <w:num w:numId="28">
    <w:abstractNumId w:val="17"/>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45" w:default="1">
    <w:name w:val="Normal"/>
    <w:qFormat/>
    <w:pPr>
      <w:jc w:val="both"/>
    </w:pPr>
    <w:rPr>
      <w:sz w:val="24"/>
      <w:szCs w:val="24"/>
    </w:rPr>
  </w:style>
  <w:style w:type="paragraph" w:styleId="746">
    <w:name w:val="Heading 1"/>
    <w:basedOn w:val="745"/>
    <w:next w:val="745"/>
    <w:link w:val="765"/>
    <w:uiPriority w:val="9"/>
    <w:qFormat/>
    <w:pPr>
      <w:keepLines/>
      <w:keepNext/>
      <w:spacing w:before="480" w:after="200"/>
      <w:outlineLvl w:val="0"/>
    </w:pPr>
    <w:rPr>
      <w:rFonts w:ascii="Arial" w:hAnsi="Arial" w:eastAsia="Arial" w:cs="Arial"/>
      <w:sz w:val="40"/>
      <w:szCs w:val="40"/>
    </w:rPr>
  </w:style>
  <w:style w:type="paragraph" w:styleId="747">
    <w:name w:val="Heading 2"/>
    <w:basedOn w:val="745"/>
    <w:next w:val="745"/>
    <w:link w:val="934"/>
    <w:qFormat/>
    <w:pPr>
      <w:jc w:val="center"/>
      <w:keepNext/>
      <w:outlineLvl w:val="1"/>
    </w:pPr>
    <w:rPr>
      <w:b/>
      <w:bCs/>
      <w:lang w:val="en-US" w:eastAsia="en-US"/>
    </w:rPr>
  </w:style>
  <w:style w:type="paragraph" w:styleId="748">
    <w:name w:val="Heading 3"/>
    <w:basedOn w:val="745"/>
    <w:next w:val="745"/>
    <w:link w:val="935"/>
    <w:qFormat/>
    <w:pPr>
      <w:keepNext/>
      <w:spacing w:before="240" w:after="60"/>
      <w:outlineLvl w:val="2"/>
    </w:pPr>
    <w:rPr>
      <w:rFonts w:ascii="Arial" w:hAnsi="Arial"/>
      <w:b/>
      <w:szCs w:val="20"/>
      <w:lang w:val="en-US" w:eastAsia="en-US"/>
    </w:rPr>
  </w:style>
  <w:style w:type="paragraph" w:styleId="749">
    <w:name w:val="Heading 4"/>
    <w:basedOn w:val="745"/>
    <w:next w:val="745"/>
    <w:link w:val="936"/>
    <w:qFormat/>
    <w:pPr>
      <w:keepNext/>
      <w:spacing w:before="240" w:after="60"/>
      <w:outlineLvl w:val="3"/>
    </w:pPr>
    <w:rPr>
      <w:rFonts w:ascii="Arial" w:hAnsi="Arial"/>
      <w:szCs w:val="20"/>
      <w:lang w:val="en-US" w:eastAsia="en-US"/>
    </w:rPr>
  </w:style>
  <w:style w:type="paragraph" w:styleId="750">
    <w:name w:val="Heading 5"/>
    <w:basedOn w:val="745"/>
    <w:next w:val="745"/>
    <w:link w:val="937"/>
    <w:qFormat/>
    <w:pPr>
      <w:spacing w:before="240" w:after="60"/>
      <w:outlineLvl w:val="4"/>
    </w:pPr>
    <w:rPr>
      <w:sz w:val="22"/>
      <w:szCs w:val="20"/>
      <w:lang w:val="en-US" w:eastAsia="en-US"/>
    </w:rPr>
  </w:style>
  <w:style w:type="paragraph" w:styleId="751">
    <w:name w:val="Heading 6"/>
    <w:basedOn w:val="745"/>
    <w:next w:val="745"/>
    <w:link w:val="938"/>
    <w:qFormat/>
    <w:pPr>
      <w:spacing w:before="240" w:after="60"/>
      <w:outlineLvl w:val="5"/>
    </w:pPr>
    <w:rPr>
      <w:i/>
      <w:sz w:val="22"/>
      <w:szCs w:val="20"/>
      <w:lang w:val="en-US" w:eastAsia="en-US"/>
    </w:rPr>
  </w:style>
  <w:style w:type="paragraph" w:styleId="752">
    <w:name w:val="Heading 7"/>
    <w:basedOn w:val="745"/>
    <w:next w:val="745"/>
    <w:link w:val="939"/>
    <w:qFormat/>
    <w:pPr>
      <w:spacing w:before="240" w:after="60"/>
      <w:outlineLvl w:val="6"/>
    </w:pPr>
    <w:rPr>
      <w:rFonts w:ascii="Arial" w:hAnsi="Arial"/>
      <w:sz w:val="20"/>
      <w:szCs w:val="20"/>
      <w:lang w:val="en-US" w:eastAsia="en-US"/>
    </w:rPr>
  </w:style>
  <w:style w:type="paragraph" w:styleId="753">
    <w:name w:val="Heading 8"/>
    <w:basedOn w:val="745"/>
    <w:next w:val="745"/>
    <w:link w:val="940"/>
    <w:qFormat/>
    <w:pPr>
      <w:spacing w:before="240" w:after="60"/>
      <w:outlineLvl w:val="7"/>
    </w:pPr>
    <w:rPr>
      <w:rFonts w:ascii="Arial" w:hAnsi="Arial"/>
      <w:i/>
      <w:sz w:val="20"/>
      <w:szCs w:val="20"/>
      <w:lang w:val="en-US" w:eastAsia="en-US"/>
    </w:rPr>
  </w:style>
  <w:style w:type="paragraph" w:styleId="754">
    <w:name w:val="Heading 9"/>
    <w:basedOn w:val="745"/>
    <w:next w:val="745"/>
    <w:link w:val="941"/>
    <w:qFormat/>
    <w:pPr>
      <w:spacing w:before="240" w:after="60"/>
      <w:outlineLvl w:val="8"/>
    </w:pPr>
    <w:rPr>
      <w:rFonts w:ascii="Arial" w:hAnsi="Arial"/>
      <w:b/>
      <w:i/>
      <w:sz w:val="18"/>
      <w:szCs w:val="20"/>
      <w:lang w:val="en-US" w:eastAsia="en-US"/>
    </w:rPr>
  </w:style>
  <w:style w:type="character" w:styleId="755" w:default="1">
    <w:name w:val="Default Paragraph Font"/>
    <w:uiPriority w:val="1"/>
    <w:semiHidden/>
    <w:unhideWhenUsed/>
  </w:style>
  <w:style w:type="table" w:styleId="756" w:default="1">
    <w:name w:val="Normal Table"/>
    <w:uiPriority w:val="99"/>
    <w:semiHidden/>
    <w:unhideWhenUsed/>
    <w:tblPr>
      <w:tblInd w:w="0" w:type="dxa"/>
      <w:tblCellMar>
        <w:left w:w="108" w:type="dxa"/>
        <w:top w:w="0" w:type="dxa"/>
        <w:right w:w="108" w:type="dxa"/>
        <w:bottom w:w="0" w:type="dxa"/>
      </w:tblCellMar>
    </w:tblPr>
  </w:style>
  <w:style w:type="numbering" w:styleId="757" w:default="1">
    <w:name w:val="No List"/>
    <w:uiPriority w:val="99"/>
    <w:semiHidden/>
    <w:unhideWhenUsed/>
  </w:style>
  <w:style w:type="character" w:styleId="758" w:customStyle="1">
    <w:name w:val="Heading 1 Char"/>
    <w:uiPriority w:val="9"/>
    <w:rPr>
      <w:rFonts w:ascii="Arial" w:hAnsi="Arial" w:eastAsia="Arial" w:cs="Arial"/>
      <w:sz w:val="40"/>
      <w:szCs w:val="40"/>
    </w:rPr>
  </w:style>
  <w:style w:type="character" w:styleId="759" w:customStyle="1">
    <w:name w:val="Subtitle Char"/>
    <w:uiPriority w:val="11"/>
    <w:rPr>
      <w:sz w:val="24"/>
      <w:szCs w:val="24"/>
    </w:rPr>
  </w:style>
  <w:style w:type="character" w:styleId="760" w:customStyle="1">
    <w:name w:val="Quote Char"/>
    <w:uiPriority w:val="29"/>
    <w:rPr>
      <w:i/>
    </w:rPr>
  </w:style>
  <w:style w:type="character" w:styleId="761" w:customStyle="1">
    <w:name w:val="Intense Quote Char"/>
    <w:uiPriority w:val="30"/>
    <w:rPr>
      <w:i/>
    </w:rPr>
  </w:style>
  <w:style w:type="character" w:styleId="762" w:customStyle="1">
    <w:name w:val="Caption Char"/>
    <w:uiPriority w:val="35"/>
    <w:rPr>
      <w:b/>
      <w:bCs/>
      <w:color w:val="4f81bd"/>
      <w:sz w:val="18"/>
      <w:szCs w:val="18"/>
    </w:rPr>
  </w:style>
  <w:style w:type="character" w:styleId="763" w:customStyle="1">
    <w:name w:val="Footnote Text Char"/>
    <w:uiPriority w:val="99"/>
    <w:rPr>
      <w:sz w:val="18"/>
    </w:rPr>
  </w:style>
  <w:style w:type="character" w:styleId="764" w:customStyle="1">
    <w:name w:val="Endnote Text Char"/>
    <w:uiPriority w:val="99"/>
    <w:rPr>
      <w:sz w:val="20"/>
    </w:rPr>
  </w:style>
  <w:style w:type="character" w:styleId="765" w:customStyle="1">
    <w:name w:val="Заголовок 1 Знак"/>
    <w:link w:val="746"/>
    <w:uiPriority w:val="9"/>
    <w:rPr>
      <w:rFonts w:ascii="Arial" w:hAnsi="Arial" w:eastAsia="Arial" w:cs="Arial"/>
      <w:sz w:val="40"/>
      <w:szCs w:val="40"/>
    </w:rPr>
  </w:style>
  <w:style w:type="character" w:styleId="766" w:customStyle="1">
    <w:name w:val="Heading 2 Char"/>
    <w:uiPriority w:val="9"/>
    <w:rPr>
      <w:rFonts w:ascii="Arial" w:hAnsi="Arial" w:eastAsia="Arial" w:cs="Arial"/>
      <w:sz w:val="34"/>
    </w:rPr>
  </w:style>
  <w:style w:type="character" w:styleId="767" w:customStyle="1">
    <w:name w:val="Heading 3 Char"/>
    <w:uiPriority w:val="9"/>
    <w:rPr>
      <w:rFonts w:ascii="Arial" w:hAnsi="Arial" w:eastAsia="Arial" w:cs="Arial"/>
      <w:sz w:val="30"/>
      <w:szCs w:val="30"/>
    </w:rPr>
  </w:style>
  <w:style w:type="character" w:styleId="768" w:customStyle="1">
    <w:name w:val="Heading 4 Char"/>
    <w:uiPriority w:val="9"/>
    <w:rPr>
      <w:rFonts w:ascii="Arial" w:hAnsi="Arial" w:eastAsia="Arial" w:cs="Arial"/>
      <w:b/>
      <w:bCs/>
      <w:sz w:val="26"/>
      <w:szCs w:val="26"/>
    </w:rPr>
  </w:style>
  <w:style w:type="character" w:styleId="769" w:customStyle="1">
    <w:name w:val="Heading 5 Char"/>
    <w:uiPriority w:val="9"/>
    <w:rPr>
      <w:rFonts w:ascii="Arial" w:hAnsi="Arial" w:eastAsia="Arial" w:cs="Arial"/>
      <w:b/>
      <w:bCs/>
      <w:sz w:val="24"/>
      <w:szCs w:val="24"/>
    </w:rPr>
  </w:style>
  <w:style w:type="character" w:styleId="770" w:customStyle="1">
    <w:name w:val="Heading 6 Char"/>
    <w:uiPriority w:val="9"/>
    <w:rPr>
      <w:rFonts w:ascii="Arial" w:hAnsi="Arial" w:eastAsia="Arial" w:cs="Arial"/>
      <w:b/>
      <w:bCs/>
      <w:sz w:val="22"/>
      <w:szCs w:val="22"/>
    </w:rPr>
  </w:style>
  <w:style w:type="character" w:styleId="771" w:customStyle="1">
    <w:name w:val="Heading 7 Char"/>
    <w:uiPriority w:val="9"/>
    <w:rPr>
      <w:rFonts w:ascii="Arial" w:hAnsi="Arial" w:eastAsia="Arial" w:cs="Arial"/>
      <w:b/>
      <w:bCs/>
      <w:i/>
      <w:iCs/>
      <w:sz w:val="22"/>
      <w:szCs w:val="22"/>
    </w:rPr>
  </w:style>
  <w:style w:type="character" w:styleId="772" w:customStyle="1">
    <w:name w:val="Heading 8 Char"/>
    <w:uiPriority w:val="9"/>
    <w:rPr>
      <w:rFonts w:ascii="Arial" w:hAnsi="Arial" w:eastAsia="Arial" w:cs="Arial"/>
      <w:i/>
      <w:iCs/>
      <w:sz w:val="22"/>
      <w:szCs w:val="22"/>
    </w:rPr>
  </w:style>
  <w:style w:type="character" w:styleId="773" w:customStyle="1">
    <w:name w:val="Heading 9 Char"/>
    <w:uiPriority w:val="9"/>
    <w:rPr>
      <w:rFonts w:ascii="Arial" w:hAnsi="Arial" w:eastAsia="Arial" w:cs="Arial"/>
      <w:i/>
      <w:iCs/>
      <w:sz w:val="21"/>
      <w:szCs w:val="21"/>
    </w:rPr>
  </w:style>
  <w:style w:type="paragraph" w:styleId="774">
    <w:name w:val="Title"/>
    <w:basedOn w:val="745"/>
    <w:link w:val="1065"/>
    <w:qFormat/>
    <w:pPr>
      <w:ind w:left="72"/>
      <w:jc w:val="center"/>
      <w:shd w:val="clear" w:color="auto" w:fill="ffffff"/>
      <w:widowControl w:val="off"/>
    </w:pPr>
    <w:rPr>
      <w:bCs/>
      <w:color w:val="000000"/>
      <w:spacing w:val="13"/>
      <w:szCs w:val="22"/>
      <w:lang w:val="en-US" w:eastAsia="en-US"/>
    </w:rPr>
  </w:style>
  <w:style w:type="character" w:styleId="775" w:customStyle="1">
    <w:name w:val="Title Char"/>
    <w:uiPriority w:val="10"/>
    <w:rPr>
      <w:sz w:val="48"/>
      <w:szCs w:val="48"/>
    </w:rPr>
  </w:style>
  <w:style w:type="paragraph" w:styleId="776">
    <w:name w:val="Subtitle"/>
    <w:basedOn w:val="745"/>
    <w:next w:val="745"/>
    <w:link w:val="777"/>
    <w:uiPriority w:val="11"/>
    <w:qFormat/>
    <w:pPr>
      <w:spacing w:before="200" w:after="200"/>
    </w:pPr>
  </w:style>
  <w:style w:type="character" w:styleId="777" w:customStyle="1">
    <w:name w:val="Подзаголовок Знак"/>
    <w:link w:val="776"/>
    <w:uiPriority w:val="11"/>
    <w:rPr>
      <w:sz w:val="24"/>
      <w:szCs w:val="24"/>
    </w:rPr>
  </w:style>
  <w:style w:type="paragraph" w:styleId="778">
    <w:name w:val="Quote"/>
    <w:basedOn w:val="745"/>
    <w:next w:val="745"/>
    <w:link w:val="779"/>
    <w:uiPriority w:val="29"/>
    <w:qFormat/>
    <w:pPr>
      <w:ind w:left="720" w:right="720"/>
    </w:pPr>
    <w:rPr>
      <w:i/>
    </w:rPr>
  </w:style>
  <w:style w:type="character" w:styleId="779" w:customStyle="1">
    <w:name w:val="Цитата 2 Знак"/>
    <w:link w:val="778"/>
    <w:uiPriority w:val="29"/>
    <w:rPr>
      <w:i/>
    </w:rPr>
  </w:style>
  <w:style w:type="paragraph" w:styleId="780">
    <w:name w:val="Intense Quote"/>
    <w:basedOn w:val="745"/>
    <w:next w:val="745"/>
    <w:link w:val="781"/>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81" w:customStyle="1">
    <w:name w:val="Выделенная цитата Знак"/>
    <w:link w:val="780"/>
    <w:uiPriority w:val="30"/>
    <w:rPr>
      <w:i/>
    </w:rPr>
  </w:style>
  <w:style w:type="paragraph" w:styleId="782">
    <w:name w:val="Header"/>
    <w:basedOn w:val="745"/>
    <w:link w:val="980"/>
    <w:pPr>
      <w:tabs>
        <w:tab w:val="center" w:pos="4677" w:leader="none"/>
        <w:tab w:val="right" w:pos="9355" w:leader="none"/>
      </w:tabs>
    </w:pPr>
    <w:rPr>
      <w:lang w:val="en-US" w:eastAsia="en-US"/>
    </w:rPr>
  </w:style>
  <w:style w:type="character" w:styleId="783" w:customStyle="1">
    <w:name w:val="Header Char"/>
    <w:uiPriority w:val="99"/>
  </w:style>
  <w:style w:type="paragraph" w:styleId="784">
    <w:name w:val="Footer"/>
    <w:basedOn w:val="745"/>
    <w:link w:val="979"/>
    <w:uiPriority w:val="99"/>
    <w:pPr>
      <w:tabs>
        <w:tab w:val="center" w:pos="4677" w:leader="none"/>
        <w:tab w:val="right" w:pos="9355" w:leader="none"/>
      </w:tabs>
    </w:pPr>
    <w:rPr>
      <w:lang w:val="en-US" w:eastAsia="en-US"/>
    </w:rPr>
  </w:style>
  <w:style w:type="character" w:styleId="785" w:customStyle="1">
    <w:name w:val="Footer Char"/>
    <w:uiPriority w:val="99"/>
  </w:style>
  <w:style w:type="paragraph" w:styleId="786">
    <w:name w:val="Caption"/>
    <w:basedOn w:val="745"/>
    <w:next w:val="745"/>
    <w:link w:val="787"/>
    <w:qFormat/>
    <w:pPr>
      <w:ind w:left="994"/>
      <w:jc w:val="center"/>
      <w:spacing w:before="538"/>
      <w:shd w:val="clear" w:color="auto" w:fill="ffffff"/>
      <w:widowControl w:val="off"/>
    </w:pPr>
    <w:rPr>
      <w:b/>
      <w:bCs/>
      <w:color w:val="000000"/>
      <w:spacing w:val="-2"/>
      <w:sz w:val="26"/>
      <w:szCs w:val="26"/>
    </w:rPr>
  </w:style>
  <w:style w:type="character" w:styleId="787" w:customStyle="1">
    <w:name w:val="Название объекта Знак"/>
    <w:link w:val="786"/>
    <w:uiPriority w:val="35"/>
    <w:rPr>
      <w:b/>
      <w:bCs/>
      <w:color w:val="4f81bd"/>
      <w:sz w:val="18"/>
      <w:szCs w:val="18"/>
    </w:rPr>
  </w:style>
  <w:style w:type="table" w:styleId="788">
    <w:name w:val="Table Grid"/>
    <w:basedOn w:val="756"/>
    <w:tblPr>
      <w:tblInd w:w="0" w:type="dxa"/>
      <w:tblCellMar>
        <w:left w:w="108" w:type="dxa"/>
        <w:top w:w="0" w:type="dxa"/>
        <w:right w:w="108" w:type="dxa"/>
        <w:bottom w:w="0" w:type="dxa"/>
      </w:tblCellMar>
    </w:tblPr>
  </w:style>
  <w:style w:type="table" w:styleId="789" w:customStyle="1">
    <w:name w:val="Table Grid Light"/>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790">
    <w:name w:val="Plain Table 1"/>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791">
    <w:name w:val="Plain Table 2"/>
    <w:uiPriority w:val="59"/>
    <w:rPr>
      <w:lang w:eastAsia="zh-CN"/>
    </w:rPr>
    <w:tblPr>
      <w:tblInd w:w="0" w:type="dxa"/>
      <w:tblBorders>
        <w:top w:val="single" w:color="000000" w:sz="4" w:space="0"/>
        <w:left w:val="none" w:color="000000" w:sz="4" w:space="0"/>
        <w:bottom w:val="single" w:color="000000" w:sz="4" w:space="0"/>
        <w:right w:val="none" w:color="000000" w:sz="4" w:space="0"/>
      </w:tblBorders>
      <w:tblCellMar>
        <w:left w:w="108" w:type="dxa"/>
        <w:top w:w="0" w:type="dxa"/>
        <w:right w:w="108" w:type="dxa"/>
        <w:bottom w:w="0" w:type="dxa"/>
      </w:tblCellMar>
    </w:tblPr>
  </w:style>
  <w:style w:type="table" w:styleId="792">
    <w:name w:val="Plain Table 3"/>
    <w:uiPriority w:val="99"/>
    <w:rPr>
      <w:lang w:eastAsia="zh-CN"/>
    </w:rPr>
    <w:tblPr>
      <w:tblStyleRowBandSize w:val="1"/>
      <w:tblStyleColBandSize w:val="1"/>
      <w:tblInd w:w="0" w:type="dxa"/>
      <w:tblCellMar>
        <w:left w:w="0" w:type="dxa"/>
        <w:top w:w="0" w:type="dxa"/>
        <w:right w:w="0" w:type="dxa"/>
        <w:bottom w:w="0" w:type="dxa"/>
      </w:tblCellMar>
    </w:tblPr>
  </w:style>
  <w:style w:type="table" w:styleId="793">
    <w:name w:val="Plain Table 4"/>
    <w:uiPriority w:val="99"/>
    <w:rPr>
      <w:lang w:eastAsia="zh-CN"/>
    </w:rPr>
    <w:tblPr>
      <w:tblStyleRowBandSize w:val="1"/>
      <w:tblStyleColBandSize w:val="1"/>
      <w:tblInd w:w="0" w:type="dxa"/>
      <w:tblCellMar>
        <w:left w:w="0" w:type="dxa"/>
        <w:top w:w="0" w:type="dxa"/>
        <w:right w:w="0" w:type="dxa"/>
        <w:bottom w:w="0" w:type="dxa"/>
      </w:tblCellMar>
    </w:tblPr>
  </w:style>
  <w:style w:type="table" w:styleId="794">
    <w:name w:val="Plain Table 5"/>
    <w:uiPriority w:val="99"/>
    <w:rPr>
      <w:lang w:eastAsia="zh-CN"/>
    </w:rPr>
    <w:tblPr>
      <w:tblStyleRowBandSize w:val="1"/>
      <w:tblStyleColBandSize w:val="1"/>
      <w:tblInd w:w="0" w:type="dxa"/>
      <w:tblCellMar>
        <w:left w:w="0" w:type="dxa"/>
        <w:top w:w="0" w:type="dxa"/>
        <w:right w:w="0" w:type="dxa"/>
        <w:bottom w:w="0" w:type="dxa"/>
      </w:tblCellMar>
    </w:tblPr>
  </w:style>
  <w:style w:type="table" w:styleId="795">
    <w:name w:val="Grid Table 1 Light"/>
    <w:uiPriority w:val="99"/>
    <w:rPr>
      <w:lang w:eastAsia="zh-CN"/>
    </w:rPr>
    <w:tblPr>
      <w:tblStyleRowBandSize w:val="1"/>
      <w:tblStyleColBandSize w:val="1"/>
      <w:tblInd w:w="0" w:type="dxa"/>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left w:w="0" w:type="dxa"/>
        <w:top w:w="0" w:type="dxa"/>
        <w:right w:w="0" w:type="dxa"/>
        <w:bottom w:w="0" w:type="dxa"/>
      </w:tblCellMar>
    </w:tblPr>
  </w:style>
  <w:style w:type="table" w:styleId="796" w:customStyle="1">
    <w:name w:val="Grid Table 1 Light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797" w:customStyle="1">
    <w:name w:val="Grid Table 1 Light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798" w:customStyle="1">
    <w:name w:val="Grid Table 1 Light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799" w:customStyle="1">
    <w:name w:val="Grid Table 1 Light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800" w:customStyle="1">
    <w:name w:val="Grid Table 1 Light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801" w:customStyle="1">
    <w:name w:val="Grid Table 1 Light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table" w:styleId="802">
    <w:name w:val="Grid Table 2"/>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803" w:customStyle="1">
    <w:name w:val="Grid Table 2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804" w:customStyle="1">
    <w:name w:val="Grid Table 2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05" w:customStyle="1">
    <w:name w:val="Grid Table 2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06" w:customStyle="1">
    <w:name w:val="Grid Table 2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07" w:customStyle="1">
    <w:name w:val="Grid Table 2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08" w:customStyle="1">
    <w:name w:val="Grid Table 2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09">
    <w:name w:val="Grid Table 3"/>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810" w:customStyle="1">
    <w:name w:val="Grid Table 3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811" w:customStyle="1">
    <w:name w:val="Grid Table 3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12" w:customStyle="1">
    <w:name w:val="Grid Table 3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13" w:customStyle="1">
    <w:name w:val="Grid Table 3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14" w:customStyle="1">
    <w:name w:val="Grid Table 3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15" w:customStyle="1">
    <w:name w:val="Grid Table 3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16">
    <w:name w:val="Grid Table 4"/>
    <w:uiPriority w:val="59"/>
    <w:rPr>
      <w:lang w:eastAsia="zh-CN"/>
    </w:rPr>
    <w:tblPr>
      <w:tblStyleRowBandSize w:val="1"/>
      <w:tblStyleColBandSize w:val="1"/>
      <w:tblInd w:w="0" w:type="dxa"/>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left w:w="0" w:type="dxa"/>
        <w:top w:w="0" w:type="dxa"/>
        <w:right w:w="0" w:type="dxa"/>
        <w:bottom w:w="0" w:type="dxa"/>
      </w:tblCellMar>
    </w:tblPr>
  </w:style>
  <w:style w:type="table" w:styleId="817" w:customStyle="1">
    <w:name w:val="Grid Table 4 - Accent 1"/>
    <w:uiPriority w:val="5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left w:w="0" w:type="dxa"/>
        <w:top w:w="0" w:type="dxa"/>
        <w:right w:w="0" w:type="dxa"/>
        <w:bottom w:w="0" w:type="dxa"/>
      </w:tblCellMar>
    </w:tblPr>
  </w:style>
  <w:style w:type="table" w:styleId="818" w:customStyle="1">
    <w:name w:val="Grid Table 4 - Accent 2"/>
    <w:uiPriority w:val="5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left w:w="0" w:type="dxa"/>
        <w:top w:w="0" w:type="dxa"/>
        <w:right w:w="0" w:type="dxa"/>
        <w:bottom w:w="0" w:type="dxa"/>
      </w:tblCellMar>
    </w:tblPr>
  </w:style>
  <w:style w:type="table" w:styleId="819" w:customStyle="1">
    <w:name w:val="Grid Table 4 - Accent 3"/>
    <w:uiPriority w:val="5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left w:w="0" w:type="dxa"/>
        <w:top w:w="0" w:type="dxa"/>
        <w:right w:w="0" w:type="dxa"/>
        <w:bottom w:w="0" w:type="dxa"/>
      </w:tblCellMar>
    </w:tblPr>
  </w:style>
  <w:style w:type="table" w:styleId="820" w:customStyle="1">
    <w:name w:val="Grid Table 4 - Accent 4"/>
    <w:uiPriority w:val="5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left w:w="0" w:type="dxa"/>
        <w:top w:w="0" w:type="dxa"/>
        <w:right w:w="0" w:type="dxa"/>
        <w:bottom w:w="0" w:type="dxa"/>
      </w:tblCellMar>
    </w:tblPr>
  </w:style>
  <w:style w:type="table" w:styleId="821" w:customStyle="1">
    <w:name w:val="Grid Table 4 - Accent 5"/>
    <w:uiPriority w:val="5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822" w:customStyle="1">
    <w:name w:val="Grid Table 4 - Accent 6"/>
    <w:uiPriority w:val="5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823">
    <w:name w:val="Grid Table 5 Dark"/>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CellMar>
        <w:left w:w="0" w:type="dxa"/>
        <w:top w:w="0" w:type="dxa"/>
        <w:right w:w="0" w:type="dxa"/>
        <w:bottom w:w="0" w:type="dxa"/>
      </w:tblCellMar>
    </w:tblPr>
  </w:style>
  <w:style w:type="table" w:styleId="824" w:customStyle="1">
    <w:name w:val="Grid Table 5 Dark- Accent 1"/>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5f1" w:fill="dae5f1"/>
      <w:tblCellMar>
        <w:left w:w="0" w:type="dxa"/>
        <w:top w:w="0" w:type="dxa"/>
        <w:right w:w="0" w:type="dxa"/>
        <w:bottom w:w="0" w:type="dxa"/>
      </w:tblCellMar>
    </w:tblPr>
  </w:style>
  <w:style w:type="table" w:styleId="825" w:customStyle="1">
    <w:name w:val="Grid Table 5 Dark - Accent 2"/>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2dcdc" w:fill="f2dcdc"/>
      <w:tblCellMar>
        <w:left w:w="0" w:type="dxa"/>
        <w:top w:w="0" w:type="dxa"/>
        <w:right w:w="0" w:type="dxa"/>
        <w:bottom w:w="0" w:type="dxa"/>
      </w:tblCellMar>
    </w:tblPr>
  </w:style>
  <w:style w:type="table" w:styleId="826" w:customStyle="1">
    <w:name w:val="Grid Table 5 Dark - Accent 3"/>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af1dc" w:fill="eaf1dc"/>
      <w:tblCellMar>
        <w:left w:w="0" w:type="dxa"/>
        <w:top w:w="0" w:type="dxa"/>
        <w:right w:w="0" w:type="dxa"/>
        <w:bottom w:w="0" w:type="dxa"/>
      </w:tblCellMar>
    </w:tblPr>
  </w:style>
  <w:style w:type="table" w:styleId="827" w:customStyle="1">
    <w:name w:val="Grid Table 5 Dark- Accent 4"/>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5dfec" w:fill="e5dfec"/>
      <w:tblCellMar>
        <w:left w:w="0" w:type="dxa"/>
        <w:top w:w="0" w:type="dxa"/>
        <w:right w:w="0" w:type="dxa"/>
        <w:bottom w:w="0" w:type="dxa"/>
      </w:tblCellMar>
    </w:tblPr>
  </w:style>
  <w:style w:type="table" w:styleId="828" w:customStyle="1">
    <w:name w:val="Grid Table 5 Dark - Accent 5"/>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ef3" w:fill="daeef3"/>
      <w:tblCellMar>
        <w:left w:w="0" w:type="dxa"/>
        <w:top w:w="0" w:type="dxa"/>
        <w:right w:w="0" w:type="dxa"/>
        <w:bottom w:w="0" w:type="dxa"/>
      </w:tblCellMar>
    </w:tblPr>
  </w:style>
  <w:style w:type="table" w:styleId="829" w:customStyle="1">
    <w:name w:val="Grid Table 5 Dark - Accent 6"/>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de9d8" w:fill="fde9d8"/>
      <w:tblCellMar>
        <w:left w:w="0" w:type="dxa"/>
        <w:top w:w="0" w:type="dxa"/>
        <w:right w:w="0" w:type="dxa"/>
        <w:bottom w:w="0" w:type="dxa"/>
      </w:tblCellMar>
    </w:tblPr>
  </w:style>
  <w:style w:type="table" w:styleId="830">
    <w:name w:val="Grid Table 6 Colorful"/>
    <w:uiPriority w:val="99"/>
    <w:rPr>
      <w:lang w:eastAsia="zh-CN"/>
    </w:rPr>
    <w:tblPr>
      <w:tblStyleRowBandSize w:val="1"/>
      <w:tblStyleColBandSize w:val="1"/>
      <w:tblInd w:w="0"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831" w:customStyle="1">
    <w:name w:val="Grid Table 6 Colorful - Accent 1"/>
    <w:uiPriority w:val="99"/>
    <w:rPr>
      <w:lang w:eastAsia="zh-CN"/>
    </w:rPr>
    <w:tblPr>
      <w:tblStyleRowBandSize w:val="1"/>
      <w:tblStyleColBandSize w:val="1"/>
      <w:tblInd w:w="0" w:type="dxa"/>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832" w:customStyle="1">
    <w:name w:val="Grid Table 6 Colorful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33" w:customStyle="1">
    <w:name w:val="Grid Table 6 Colorful - Accent 3"/>
    <w:uiPriority w:val="99"/>
    <w:rPr>
      <w:lang w:eastAsia="zh-CN"/>
    </w:rPr>
    <w:tblPr>
      <w:tblStyleRowBandSize w:val="1"/>
      <w:tblStyleColBandSize w:val="1"/>
      <w:tblInd w:w="0" w:type="dxa"/>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34" w:customStyle="1">
    <w:name w:val="Grid Table 6 Colorful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35" w:customStyle="1">
    <w:name w:val="Grid Table 6 Colorful - Accent 5"/>
    <w:uiPriority w:val="99"/>
    <w:rPr>
      <w:lang w:eastAsia="zh-CN"/>
    </w:rPr>
    <w:tblPr>
      <w:tblStyleRowBandSize w:val="1"/>
      <w:tblStyleColBandSize w:val="1"/>
      <w:tblInd w:w="0" w:type="dxa"/>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36" w:customStyle="1">
    <w:name w:val="Grid Table 6 Colorful - Accent 6"/>
    <w:uiPriority w:val="99"/>
    <w:rPr>
      <w:lang w:eastAsia="zh-CN"/>
    </w:rPr>
    <w:tblPr>
      <w:tblStyleRowBandSize w:val="1"/>
      <w:tblStyleColBandSize w:val="1"/>
      <w:tblInd w:w="0" w:type="dxa"/>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37">
    <w:name w:val="Grid Table 7 Colorful"/>
    <w:uiPriority w:val="99"/>
    <w:rPr>
      <w:lang w:eastAsia="zh-CN"/>
    </w:rPr>
    <w:tblPr>
      <w:tblStyleRowBandSize w:val="1"/>
      <w:tblStyleColBandSize w:val="1"/>
      <w:tblInd w:w="0" w:type="dxa"/>
      <w:tblBorders>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838" w:customStyle="1">
    <w:name w:val="Grid Table 7 Colorful - Accent 1"/>
    <w:uiPriority w:val="99"/>
    <w:rPr>
      <w:lang w:eastAsia="zh-CN"/>
    </w:rPr>
    <w:tblPr>
      <w:tblStyleRowBandSize w:val="1"/>
      <w:tblStyleColBandSize w:val="1"/>
      <w:tblInd w:w="0" w:type="dxa"/>
      <w:tblBorders>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839" w:customStyle="1">
    <w:name w:val="Grid Table 7 Colorful - Accent 2"/>
    <w:uiPriority w:val="99"/>
    <w:rPr>
      <w:lang w:eastAsia="zh-CN"/>
    </w:rPr>
    <w:tblPr>
      <w:tblStyleRowBandSize w:val="1"/>
      <w:tblStyleColBandSize w:val="1"/>
      <w:tblInd w:w="0" w:type="dxa"/>
      <w:tblBorders>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40" w:customStyle="1">
    <w:name w:val="Grid Table 7 Colorful - Accent 3"/>
    <w:uiPriority w:val="99"/>
    <w:rPr>
      <w:lang w:eastAsia="zh-CN"/>
    </w:rPr>
    <w:tblPr>
      <w:tblStyleRowBandSize w:val="1"/>
      <w:tblStyleColBandSize w:val="1"/>
      <w:tblInd w:w="0" w:type="dxa"/>
      <w:tblBorders>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41" w:customStyle="1">
    <w:name w:val="Grid Table 7 Colorful - Accent 4"/>
    <w:uiPriority w:val="99"/>
    <w:rPr>
      <w:lang w:eastAsia="zh-CN"/>
    </w:rPr>
    <w:tblPr>
      <w:tblStyleRowBandSize w:val="1"/>
      <w:tblStyleColBandSize w:val="1"/>
      <w:tblInd w:w="0" w:type="dxa"/>
      <w:tblBorders>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42" w:customStyle="1">
    <w:name w:val="Grid Table 7 Colorful - Accent 5"/>
    <w:uiPriority w:val="99"/>
    <w:rPr>
      <w:lang w:eastAsia="zh-CN"/>
    </w:rPr>
    <w:tblPr>
      <w:tblStyleRowBandSize w:val="1"/>
      <w:tblStyleColBandSize w:val="1"/>
      <w:tblInd w:w="0" w:type="dxa"/>
      <w:tblBorders>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843" w:customStyle="1">
    <w:name w:val="Grid Table 7 Colorful - Accent 6"/>
    <w:uiPriority w:val="99"/>
    <w:rPr>
      <w:lang w:eastAsia="zh-CN"/>
    </w:rPr>
    <w:tblPr>
      <w:tblStyleRowBandSize w:val="1"/>
      <w:tblStyleColBandSize w:val="1"/>
      <w:tblInd w:w="0" w:type="dxa"/>
      <w:tblBorders>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844">
    <w:name w:val="List Table 1 Light"/>
    <w:uiPriority w:val="99"/>
    <w:rPr>
      <w:lang w:eastAsia="zh-CN"/>
    </w:rPr>
    <w:tblPr>
      <w:tblStyleRowBandSize w:val="1"/>
      <w:tblStyleColBandSize w:val="1"/>
      <w:tblInd w:w="0" w:type="dxa"/>
      <w:tblCellMar>
        <w:left w:w="0" w:type="dxa"/>
        <w:top w:w="0" w:type="dxa"/>
        <w:right w:w="0" w:type="dxa"/>
        <w:bottom w:w="0" w:type="dxa"/>
      </w:tblCellMar>
    </w:tblPr>
  </w:style>
  <w:style w:type="table" w:styleId="845" w:customStyle="1">
    <w:name w:val="List Table 1 Light - Accent 1"/>
    <w:uiPriority w:val="99"/>
    <w:rPr>
      <w:lang w:eastAsia="zh-CN"/>
    </w:rPr>
    <w:tblPr>
      <w:tblStyleRowBandSize w:val="1"/>
      <w:tblStyleColBandSize w:val="1"/>
      <w:tblInd w:w="0" w:type="dxa"/>
      <w:tblCellMar>
        <w:left w:w="0" w:type="dxa"/>
        <w:top w:w="0" w:type="dxa"/>
        <w:right w:w="0" w:type="dxa"/>
        <w:bottom w:w="0" w:type="dxa"/>
      </w:tblCellMar>
    </w:tblPr>
  </w:style>
  <w:style w:type="table" w:styleId="846" w:customStyle="1">
    <w:name w:val="List Table 1 Light - Accent 2"/>
    <w:uiPriority w:val="99"/>
    <w:rPr>
      <w:lang w:eastAsia="zh-CN"/>
    </w:rPr>
    <w:tblPr>
      <w:tblStyleRowBandSize w:val="1"/>
      <w:tblStyleColBandSize w:val="1"/>
      <w:tblInd w:w="0" w:type="dxa"/>
      <w:tblCellMar>
        <w:left w:w="0" w:type="dxa"/>
        <w:top w:w="0" w:type="dxa"/>
        <w:right w:w="0" w:type="dxa"/>
        <w:bottom w:w="0" w:type="dxa"/>
      </w:tblCellMar>
    </w:tblPr>
  </w:style>
  <w:style w:type="table" w:styleId="847" w:customStyle="1">
    <w:name w:val="List Table 1 Light - Accent 3"/>
    <w:uiPriority w:val="99"/>
    <w:rPr>
      <w:lang w:eastAsia="zh-CN"/>
    </w:rPr>
    <w:tblPr>
      <w:tblStyleRowBandSize w:val="1"/>
      <w:tblStyleColBandSize w:val="1"/>
      <w:tblInd w:w="0" w:type="dxa"/>
      <w:tblCellMar>
        <w:left w:w="0" w:type="dxa"/>
        <w:top w:w="0" w:type="dxa"/>
        <w:right w:w="0" w:type="dxa"/>
        <w:bottom w:w="0" w:type="dxa"/>
      </w:tblCellMar>
    </w:tblPr>
  </w:style>
  <w:style w:type="table" w:styleId="848" w:customStyle="1">
    <w:name w:val="List Table 1 Light - Accent 4"/>
    <w:uiPriority w:val="99"/>
    <w:rPr>
      <w:lang w:eastAsia="zh-CN"/>
    </w:rPr>
    <w:tblPr>
      <w:tblStyleRowBandSize w:val="1"/>
      <w:tblStyleColBandSize w:val="1"/>
      <w:tblInd w:w="0" w:type="dxa"/>
      <w:tblCellMar>
        <w:left w:w="0" w:type="dxa"/>
        <w:top w:w="0" w:type="dxa"/>
        <w:right w:w="0" w:type="dxa"/>
        <w:bottom w:w="0" w:type="dxa"/>
      </w:tblCellMar>
    </w:tblPr>
  </w:style>
  <w:style w:type="table" w:styleId="849" w:customStyle="1">
    <w:name w:val="List Table 1 Light - Accent 5"/>
    <w:uiPriority w:val="99"/>
    <w:rPr>
      <w:lang w:eastAsia="zh-CN"/>
    </w:rPr>
    <w:tblPr>
      <w:tblStyleRowBandSize w:val="1"/>
      <w:tblStyleColBandSize w:val="1"/>
      <w:tblInd w:w="0" w:type="dxa"/>
      <w:tblCellMar>
        <w:left w:w="0" w:type="dxa"/>
        <w:top w:w="0" w:type="dxa"/>
        <w:right w:w="0" w:type="dxa"/>
        <w:bottom w:w="0" w:type="dxa"/>
      </w:tblCellMar>
    </w:tblPr>
  </w:style>
  <w:style w:type="table" w:styleId="850" w:customStyle="1">
    <w:name w:val="List Table 1 Light - Accent 6"/>
    <w:uiPriority w:val="99"/>
    <w:rPr>
      <w:lang w:eastAsia="zh-CN"/>
    </w:rPr>
    <w:tblPr>
      <w:tblStyleRowBandSize w:val="1"/>
      <w:tblStyleColBandSize w:val="1"/>
      <w:tblInd w:w="0" w:type="dxa"/>
      <w:tblCellMar>
        <w:left w:w="0" w:type="dxa"/>
        <w:top w:w="0" w:type="dxa"/>
        <w:right w:w="0" w:type="dxa"/>
        <w:bottom w:w="0" w:type="dxa"/>
      </w:tblCellMar>
    </w:tblPr>
  </w:style>
  <w:style w:type="table" w:styleId="851">
    <w:name w:val="List Table 2"/>
    <w:uiPriority w:val="99"/>
    <w:rPr>
      <w:lang w:eastAsia="zh-CN"/>
    </w:rPr>
    <w:tblPr>
      <w:tblStyleRowBandSize w:val="1"/>
      <w:tblStyleColBandSize w:val="1"/>
      <w:tblInd w:w="0" w:type="dxa"/>
      <w:tblBorders>
        <w:top w:val="single" w:color="6F6F6F" w:sz="4" w:space="0"/>
        <w:bottom w:val="single" w:color="6F6F6F" w:sz="4" w:space="0"/>
        <w:insideH w:val="single" w:color="6F6F6F" w:sz="4" w:space="0"/>
      </w:tblBorders>
      <w:tblCellMar>
        <w:left w:w="0" w:type="dxa"/>
        <w:top w:w="0" w:type="dxa"/>
        <w:right w:w="0" w:type="dxa"/>
        <w:bottom w:w="0" w:type="dxa"/>
      </w:tblCellMar>
    </w:tblPr>
  </w:style>
  <w:style w:type="table" w:styleId="852" w:customStyle="1">
    <w:name w:val="List Table 2 - Accent 1"/>
    <w:uiPriority w:val="99"/>
    <w:rPr>
      <w:lang w:eastAsia="zh-CN"/>
    </w:rPr>
    <w:tblPr>
      <w:tblStyleRowBandSize w:val="1"/>
      <w:tblStyleColBandSize w:val="1"/>
      <w:tblInd w:w="0" w:type="dxa"/>
      <w:tblBorders>
        <w:top w:val="single" w:color="9BB7D9" w:sz="4" w:space="0"/>
        <w:bottom w:val="single" w:color="9BB7D9" w:sz="4" w:space="0"/>
        <w:insideH w:val="single" w:color="9BB7D9" w:sz="4" w:space="0"/>
      </w:tblBorders>
      <w:tblCellMar>
        <w:left w:w="0" w:type="dxa"/>
        <w:top w:w="0" w:type="dxa"/>
        <w:right w:w="0" w:type="dxa"/>
        <w:bottom w:w="0" w:type="dxa"/>
      </w:tblCellMar>
    </w:tblPr>
  </w:style>
  <w:style w:type="table" w:styleId="853" w:customStyle="1">
    <w:name w:val="List Table 2 - Accent 2"/>
    <w:uiPriority w:val="99"/>
    <w:rPr>
      <w:lang w:eastAsia="zh-CN"/>
    </w:rPr>
    <w:tblPr>
      <w:tblStyleRowBandSize w:val="1"/>
      <w:tblStyleColBandSize w:val="1"/>
      <w:tblInd w:w="0" w:type="dxa"/>
      <w:tblBorders>
        <w:top w:val="single" w:color="DB9B9A" w:sz="4" w:space="0"/>
        <w:bottom w:val="single" w:color="DB9B9A" w:sz="4" w:space="0"/>
        <w:insideH w:val="single" w:color="DB9B9A" w:sz="4" w:space="0"/>
      </w:tblBorders>
      <w:tblCellMar>
        <w:left w:w="0" w:type="dxa"/>
        <w:top w:w="0" w:type="dxa"/>
        <w:right w:w="0" w:type="dxa"/>
        <w:bottom w:w="0" w:type="dxa"/>
      </w:tblCellMar>
    </w:tblPr>
  </w:style>
  <w:style w:type="table" w:styleId="854" w:customStyle="1">
    <w:name w:val="List Table 2 - Accent 3"/>
    <w:uiPriority w:val="99"/>
    <w:rPr>
      <w:lang w:eastAsia="zh-CN"/>
    </w:rPr>
    <w:tblPr>
      <w:tblStyleRowBandSize w:val="1"/>
      <w:tblStyleColBandSize w:val="1"/>
      <w:tblInd w:w="0" w:type="dxa"/>
      <w:tblBorders>
        <w:top w:val="single" w:color="C6D8A1" w:sz="4" w:space="0"/>
        <w:bottom w:val="single" w:color="C6D8A1" w:sz="4" w:space="0"/>
        <w:insideH w:val="single" w:color="C6D8A1" w:sz="4" w:space="0"/>
      </w:tblBorders>
      <w:tblCellMar>
        <w:left w:w="0" w:type="dxa"/>
        <w:top w:w="0" w:type="dxa"/>
        <w:right w:w="0" w:type="dxa"/>
        <w:bottom w:w="0" w:type="dxa"/>
      </w:tblCellMar>
    </w:tblPr>
  </w:style>
  <w:style w:type="table" w:styleId="855" w:customStyle="1">
    <w:name w:val="List Table 2 - Accent 4"/>
    <w:uiPriority w:val="99"/>
    <w:rPr>
      <w:lang w:eastAsia="zh-CN"/>
    </w:rPr>
    <w:tblPr>
      <w:tblStyleRowBandSize w:val="1"/>
      <w:tblStyleColBandSize w:val="1"/>
      <w:tblInd w:w="0" w:type="dxa"/>
      <w:tblBorders>
        <w:top w:val="single" w:color="B7A7CA" w:sz="4" w:space="0"/>
        <w:bottom w:val="single" w:color="B7A7CA" w:sz="4" w:space="0"/>
        <w:insideH w:val="single" w:color="B7A7CA" w:sz="4" w:space="0"/>
      </w:tblBorders>
      <w:tblCellMar>
        <w:left w:w="0" w:type="dxa"/>
        <w:top w:w="0" w:type="dxa"/>
        <w:right w:w="0" w:type="dxa"/>
        <w:bottom w:w="0" w:type="dxa"/>
      </w:tblCellMar>
    </w:tblPr>
  </w:style>
  <w:style w:type="table" w:styleId="856" w:customStyle="1">
    <w:name w:val="List Table 2 - Accent 5"/>
    <w:uiPriority w:val="99"/>
    <w:rPr>
      <w:lang w:eastAsia="zh-CN"/>
    </w:rPr>
    <w:tblPr>
      <w:tblStyleRowBandSize w:val="1"/>
      <w:tblStyleColBandSize w:val="1"/>
      <w:tblInd w:w="0" w:type="dxa"/>
      <w:tblBorders>
        <w:top w:val="single" w:color="99D0DE" w:sz="4" w:space="0"/>
        <w:bottom w:val="single" w:color="99D0DE" w:sz="4" w:space="0"/>
        <w:insideH w:val="single" w:color="99D0DE" w:sz="4" w:space="0"/>
      </w:tblBorders>
      <w:tblCellMar>
        <w:left w:w="0" w:type="dxa"/>
        <w:top w:w="0" w:type="dxa"/>
        <w:right w:w="0" w:type="dxa"/>
        <w:bottom w:w="0" w:type="dxa"/>
      </w:tblCellMar>
    </w:tblPr>
  </w:style>
  <w:style w:type="table" w:styleId="857" w:customStyle="1">
    <w:name w:val="List Table 2 - Accent 6"/>
    <w:uiPriority w:val="99"/>
    <w:rPr>
      <w:lang w:eastAsia="zh-CN"/>
    </w:rPr>
    <w:tblPr>
      <w:tblStyleRowBandSize w:val="1"/>
      <w:tblStyleColBandSize w:val="1"/>
      <w:tblInd w:w="0" w:type="dxa"/>
      <w:tblBorders>
        <w:top w:val="single" w:color="FAC396" w:sz="4" w:space="0"/>
        <w:bottom w:val="single" w:color="FAC396" w:sz="4" w:space="0"/>
        <w:insideH w:val="single" w:color="FAC396" w:sz="4" w:space="0"/>
      </w:tblBorders>
      <w:tblCellMar>
        <w:left w:w="0" w:type="dxa"/>
        <w:top w:w="0" w:type="dxa"/>
        <w:right w:w="0" w:type="dxa"/>
        <w:bottom w:w="0" w:type="dxa"/>
      </w:tblCellMar>
    </w:tblPr>
  </w:style>
  <w:style w:type="table" w:styleId="858">
    <w:name w:val="List Table 3"/>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tblBorders>
      <w:tblCellMar>
        <w:left w:w="0" w:type="dxa"/>
        <w:top w:w="0" w:type="dxa"/>
        <w:right w:w="0" w:type="dxa"/>
        <w:bottom w:w="0" w:type="dxa"/>
      </w:tblCellMar>
    </w:tblPr>
  </w:style>
  <w:style w:type="table" w:styleId="859" w:customStyle="1">
    <w:name w:val="List Table 3 - Accent 1"/>
    <w:uiPriority w:val="99"/>
    <w:rPr>
      <w:lang w:eastAsia="zh-CN"/>
    </w:rPr>
    <w:tblPr>
      <w:tblStyleRowBandSize w:val="1"/>
      <w:tblStyleColBandSize w:val="1"/>
      <w:tblInd w:w="0" w:type="dxa"/>
      <w:tblBorders>
        <w:top w:val="single" w:color="4F81BD" w:sz="4" w:space="0"/>
        <w:left w:val="single" w:color="4F81BD" w:sz="4" w:space="0"/>
        <w:bottom w:val="single" w:color="4F81BD" w:sz="4" w:space="0"/>
        <w:right w:val="single" w:color="4F81BD" w:sz="4" w:space="0"/>
      </w:tblBorders>
      <w:tblCellMar>
        <w:left w:w="0" w:type="dxa"/>
        <w:top w:w="0" w:type="dxa"/>
        <w:right w:w="0" w:type="dxa"/>
        <w:bottom w:w="0" w:type="dxa"/>
      </w:tblCellMar>
    </w:tblPr>
  </w:style>
  <w:style w:type="table" w:styleId="860" w:customStyle="1">
    <w:name w:val="List Table 3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tblBorders>
      <w:tblCellMar>
        <w:left w:w="0" w:type="dxa"/>
        <w:top w:w="0" w:type="dxa"/>
        <w:right w:w="0" w:type="dxa"/>
        <w:bottom w:w="0" w:type="dxa"/>
      </w:tblCellMar>
    </w:tblPr>
  </w:style>
  <w:style w:type="table" w:styleId="861" w:customStyle="1">
    <w:name w:val="List Table 3 - Accent 3"/>
    <w:uiPriority w:val="99"/>
    <w:rPr>
      <w:lang w:eastAsia="zh-CN"/>
    </w:rPr>
    <w:tblPr>
      <w:tblStyleRowBandSize w:val="1"/>
      <w:tblStyleColBandSize w:val="1"/>
      <w:tblInd w:w="0" w:type="dxa"/>
      <w:tblBorders>
        <w:top w:val="single" w:color="C3D69B" w:sz="4" w:space="0"/>
        <w:left w:val="single" w:color="C3D69B" w:sz="4" w:space="0"/>
        <w:bottom w:val="single" w:color="C3D69B" w:sz="4" w:space="0"/>
        <w:right w:val="single" w:color="C3D69B" w:sz="4" w:space="0"/>
      </w:tblBorders>
      <w:tblCellMar>
        <w:left w:w="0" w:type="dxa"/>
        <w:top w:w="0" w:type="dxa"/>
        <w:right w:w="0" w:type="dxa"/>
        <w:bottom w:w="0" w:type="dxa"/>
      </w:tblCellMar>
    </w:tblPr>
  </w:style>
  <w:style w:type="table" w:styleId="862" w:customStyle="1">
    <w:name w:val="List Table 3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tblBorders>
      <w:tblCellMar>
        <w:left w:w="0" w:type="dxa"/>
        <w:top w:w="0" w:type="dxa"/>
        <w:right w:w="0" w:type="dxa"/>
        <w:bottom w:w="0" w:type="dxa"/>
      </w:tblCellMar>
    </w:tblPr>
  </w:style>
  <w:style w:type="table" w:styleId="863" w:customStyle="1">
    <w:name w:val="List Table 3 - Accent 5"/>
    <w:uiPriority w:val="99"/>
    <w:rPr>
      <w:lang w:eastAsia="zh-CN"/>
    </w:rPr>
    <w:tblPr>
      <w:tblStyleRowBandSize w:val="1"/>
      <w:tblStyleColBandSize w:val="1"/>
      <w:tblInd w:w="0" w:type="dxa"/>
      <w:tblBorders>
        <w:top w:val="single" w:color="92CCDC" w:sz="4" w:space="0"/>
        <w:left w:val="single" w:color="92CCDC" w:sz="4" w:space="0"/>
        <w:bottom w:val="single" w:color="92CCDC" w:sz="4" w:space="0"/>
        <w:right w:val="single" w:color="92CCDC" w:sz="4" w:space="0"/>
      </w:tblBorders>
      <w:tblCellMar>
        <w:left w:w="0" w:type="dxa"/>
        <w:top w:w="0" w:type="dxa"/>
        <w:right w:w="0" w:type="dxa"/>
        <w:bottom w:w="0" w:type="dxa"/>
      </w:tblCellMar>
    </w:tblPr>
  </w:style>
  <w:style w:type="table" w:styleId="864" w:customStyle="1">
    <w:name w:val="List Table 3 - Accent 6"/>
    <w:uiPriority w:val="99"/>
    <w:rPr>
      <w:lang w:eastAsia="zh-CN"/>
    </w:rPr>
    <w:tblPr>
      <w:tblStyleRowBandSize w:val="1"/>
      <w:tblStyleColBandSize w:val="1"/>
      <w:tblInd w:w="0" w:type="dxa"/>
      <w:tblBorders>
        <w:top w:val="single" w:color="FAC090" w:sz="4" w:space="0"/>
        <w:left w:val="single" w:color="FAC090" w:sz="4" w:space="0"/>
        <w:bottom w:val="single" w:color="FAC090" w:sz="4" w:space="0"/>
        <w:right w:val="single" w:color="FAC090" w:sz="4" w:space="0"/>
      </w:tblBorders>
      <w:tblCellMar>
        <w:left w:w="0" w:type="dxa"/>
        <w:top w:w="0" w:type="dxa"/>
        <w:right w:w="0" w:type="dxa"/>
        <w:bottom w:w="0" w:type="dxa"/>
      </w:tblCellMar>
    </w:tblPr>
  </w:style>
  <w:style w:type="table" w:styleId="865">
    <w:name w:val="List Table 4"/>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tblBorders>
      <w:tblCellMar>
        <w:left w:w="0" w:type="dxa"/>
        <w:top w:w="0" w:type="dxa"/>
        <w:right w:w="0" w:type="dxa"/>
        <w:bottom w:w="0" w:type="dxa"/>
      </w:tblCellMar>
    </w:tblPr>
  </w:style>
  <w:style w:type="table" w:styleId="866" w:customStyle="1">
    <w:name w:val="List Table 4 - Accent 1"/>
    <w:uiPriority w:val="9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tblBorders>
      <w:tblCellMar>
        <w:left w:w="0" w:type="dxa"/>
        <w:top w:w="0" w:type="dxa"/>
        <w:right w:w="0" w:type="dxa"/>
        <w:bottom w:w="0" w:type="dxa"/>
      </w:tblCellMar>
    </w:tblPr>
  </w:style>
  <w:style w:type="table" w:styleId="867" w:customStyle="1">
    <w:name w:val="List Table 4 - Accent 2"/>
    <w:uiPriority w:val="9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tblBorders>
      <w:tblCellMar>
        <w:left w:w="0" w:type="dxa"/>
        <w:top w:w="0" w:type="dxa"/>
        <w:right w:w="0" w:type="dxa"/>
        <w:bottom w:w="0" w:type="dxa"/>
      </w:tblCellMar>
    </w:tblPr>
  </w:style>
  <w:style w:type="table" w:styleId="868" w:customStyle="1">
    <w:name w:val="List Table 4 - Accent 3"/>
    <w:uiPriority w:val="9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tblBorders>
      <w:tblCellMar>
        <w:left w:w="0" w:type="dxa"/>
        <w:top w:w="0" w:type="dxa"/>
        <w:right w:w="0" w:type="dxa"/>
        <w:bottom w:w="0" w:type="dxa"/>
      </w:tblCellMar>
    </w:tblPr>
  </w:style>
  <w:style w:type="table" w:styleId="869" w:customStyle="1">
    <w:name w:val="List Table 4 - Accent 4"/>
    <w:uiPriority w:val="9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tblBorders>
      <w:tblCellMar>
        <w:left w:w="0" w:type="dxa"/>
        <w:top w:w="0" w:type="dxa"/>
        <w:right w:w="0" w:type="dxa"/>
        <w:bottom w:w="0" w:type="dxa"/>
      </w:tblCellMar>
    </w:tblPr>
  </w:style>
  <w:style w:type="table" w:styleId="870" w:customStyle="1">
    <w:name w:val="List Table 4 - Accent 5"/>
    <w:uiPriority w:val="9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tblBorders>
      <w:tblCellMar>
        <w:left w:w="0" w:type="dxa"/>
        <w:top w:w="0" w:type="dxa"/>
        <w:right w:w="0" w:type="dxa"/>
        <w:bottom w:w="0" w:type="dxa"/>
      </w:tblCellMar>
    </w:tblPr>
  </w:style>
  <w:style w:type="table" w:styleId="871" w:customStyle="1">
    <w:name w:val="List Table 4 - Accent 6"/>
    <w:uiPriority w:val="9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tblBorders>
      <w:tblCellMar>
        <w:left w:w="0" w:type="dxa"/>
        <w:top w:w="0" w:type="dxa"/>
        <w:right w:w="0" w:type="dxa"/>
        <w:bottom w:w="0" w:type="dxa"/>
      </w:tblCellMar>
    </w:tblPr>
  </w:style>
  <w:style w:type="table" w:styleId="872">
    <w:name w:val="List Table 5 Dark"/>
    <w:uiPriority w:val="99"/>
    <w:rPr>
      <w:lang w:eastAsia="zh-CN"/>
    </w:rPr>
    <w:tblPr>
      <w:tblStyleRowBandSize w:val="1"/>
      <w:tblStyleColBandSize w:val="1"/>
      <w:tblInd w:w="0" w:type="dxa"/>
      <w:tblBorders>
        <w:top w:val="single" w:color="7F7F7F" w:sz="32" w:space="0"/>
        <w:left w:val="single" w:color="7F7F7F" w:sz="32" w:space="0"/>
        <w:bottom w:val="single" w:color="7F7F7F" w:sz="32" w:space="0"/>
        <w:right w:val="single" w:color="7F7F7F" w:sz="32" w:space="0"/>
      </w:tblBorders>
      <w:shd w:val="clear" w:color="7f7f7f" w:fill="7f7f7f"/>
      <w:tblCellMar>
        <w:left w:w="0" w:type="dxa"/>
        <w:top w:w="0" w:type="dxa"/>
        <w:right w:w="0" w:type="dxa"/>
        <w:bottom w:w="0" w:type="dxa"/>
      </w:tblCellMar>
    </w:tblPr>
  </w:style>
  <w:style w:type="table" w:styleId="873" w:customStyle="1">
    <w:name w:val="List Table 5 Dark - Accent 1"/>
    <w:uiPriority w:val="99"/>
    <w:rPr>
      <w:lang w:eastAsia="zh-CN"/>
    </w:rPr>
    <w:tblPr>
      <w:tblStyleRowBandSize w:val="1"/>
      <w:tblStyleColBandSize w:val="1"/>
      <w:tblInd w:w="0" w:type="dxa"/>
      <w:tblBorders>
        <w:top w:val="single" w:color="4F81BD" w:sz="32" w:space="0"/>
        <w:left w:val="single" w:color="4F81BD" w:sz="32" w:space="0"/>
        <w:bottom w:val="single" w:color="4F81BD" w:sz="32" w:space="0"/>
        <w:right w:val="single" w:color="4F81BD" w:sz="32" w:space="0"/>
      </w:tblBorders>
      <w:shd w:val="clear" w:color="4f81bd" w:fill="4f81bd"/>
      <w:tblCellMar>
        <w:left w:w="0" w:type="dxa"/>
        <w:top w:w="0" w:type="dxa"/>
        <w:right w:w="0" w:type="dxa"/>
        <w:bottom w:w="0" w:type="dxa"/>
      </w:tblCellMar>
    </w:tblPr>
  </w:style>
  <w:style w:type="table" w:styleId="874" w:customStyle="1">
    <w:name w:val="List Table 5 Dark - Accent 2"/>
    <w:uiPriority w:val="99"/>
    <w:rPr>
      <w:lang w:eastAsia="zh-CN"/>
    </w:rPr>
    <w:tblPr>
      <w:tblStyleRowBandSize w:val="1"/>
      <w:tblStyleColBandSize w:val="1"/>
      <w:tblInd w:w="0" w:type="dxa"/>
      <w:tblBorders>
        <w:top w:val="single" w:color="D99695" w:sz="32" w:space="0"/>
        <w:left w:val="single" w:color="D99695" w:sz="32" w:space="0"/>
        <w:bottom w:val="single" w:color="D99695" w:sz="32" w:space="0"/>
        <w:right w:val="single" w:color="D99695" w:sz="32" w:space="0"/>
      </w:tblBorders>
      <w:shd w:val="clear" w:color="d99695" w:fill="d99695"/>
      <w:tblCellMar>
        <w:left w:w="0" w:type="dxa"/>
        <w:top w:w="0" w:type="dxa"/>
        <w:right w:w="0" w:type="dxa"/>
        <w:bottom w:w="0" w:type="dxa"/>
      </w:tblCellMar>
    </w:tblPr>
  </w:style>
  <w:style w:type="table" w:styleId="875" w:customStyle="1">
    <w:name w:val="List Table 5 Dark - Accent 3"/>
    <w:uiPriority w:val="99"/>
    <w:rPr>
      <w:lang w:eastAsia="zh-CN"/>
    </w:rPr>
    <w:tblPr>
      <w:tblStyleRowBandSize w:val="1"/>
      <w:tblStyleColBandSize w:val="1"/>
      <w:tblInd w:w="0" w:type="dxa"/>
      <w:tblBorders>
        <w:top w:val="single" w:color="C3D69B" w:sz="32" w:space="0"/>
        <w:left w:val="single" w:color="C3D69B" w:sz="32" w:space="0"/>
        <w:bottom w:val="single" w:color="C3D69B" w:sz="32" w:space="0"/>
        <w:right w:val="single" w:color="C3D69B" w:sz="32" w:space="0"/>
      </w:tblBorders>
      <w:shd w:val="clear" w:color="c3d69b" w:fill="c3d69b"/>
      <w:tblCellMar>
        <w:left w:w="0" w:type="dxa"/>
        <w:top w:w="0" w:type="dxa"/>
        <w:right w:w="0" w:type="dxa"/>
        <w:bottom w:w="0" w:type="dxa"/>
      </w:tblCellMar>
    </w:tblPr>
  </w:style>
  <w:style w:type="table" w:styleId="876" w:customStyle="1">
    <w:name w:val="List Table 5 Dark - Accent 4"/>
    <w:uiPriority w:val="99"/>
    <w:rPr>
      <w:lang w:eastAsia="zh-CN"/>
    </w:rPr>
    <w:tblPr>
      <w:tblStyleRowBandSize w:val="1"/>
      <w:tblStyleColBandSize w:val="1"/>
      <w:tblInd w:w="0" w:type="dxa"/>
      <w:tblBorders>
        <w:top w:val="single" w:color="B2A1C6" w:sz="32" w:space="0"/>
        <w:left w:val="single" w:color="B2A1C6" w:sz="32" w:space="0"/>
        <w:bottom w:val="single" w:color="B2A1C6" w:sz="32" w:space="0"/>
        <w:right w:val="single" w:color="B2A1C6" w:sz="32" w:space="0"/>
      </w:tblBorders>
      <w:shd w:val="clear" w:color="b2a1c6" w:fill="b2a1c6"/>
      <w:tblCellMar>
        <w:left w:w="0" w:type="dxa"/>
        <w:top w:w="0" w:type="dxa"/>
        <w:right w:w="0" w:type="dxa"/>
        <w:bottom w:w="0" w:type="dxa"/>
      </w:tblCellMar>
    </w:tblPr>
  </w:style>
  <w:style w:type="table" w:styleId="877" w:customStyle="1">
    <w:name w:val="List Table 5 Dark - Accent 5"/>
    <w:uiPriority w:val="99"/>
    <w:rPr>
      <w:lang w:eastAsia="zh-CN"/>
    </w:rPr>
    <w:tblPr>
      <w:tblStyleRowBandSize w:val="1"/>
      <w:tblStyleColBandSize w:val="1"/>
      <w:tblInd w:w="0" w:type="dxa"/>
      <w:tblBorders>
        <w:top w:val="single" w:color="92CCDC" w:sz="32" w:space="0"/>
        <w:left w:val="single" w:color="92CCDC" w:sz="32" w:space="0"/>
        <w:bottom w:val="single" w:color="92CCDC" w:sz="32" w:space="0"/>
        <w:right w:val="single" w:color="92CCDC" w:sz="32" w:space="0"/>
      </w:tblBorders>
      <w:shd w:val="clear" w:color="92ccdc" w:fill="92ccdc"/>
      <w:tblCellMar>
        <w:left w:w="0" w:type="dxa"/>
        <w:top w:w="0" w:type="dxa"/>
        <w:right w:w="0" w:type="dxa"/>
        <w:bottom w:w="0" w:type="dxa"/>
      </w:tblCellMar>
    </w:tblPr>
  </w:style>
  <w:style w:type="table" w:styleId="878" w:customStyle="1">
    <w:name w:val="List Table 5 Dark - Accent 6"/>
    <w:uiPriority w:val="99"/>
    <w:rPr>
      <w:lang w:eastAsia="zh-CN"/>
    </w:rPr>
    <w:tblPr>
      <w:tblStyleRowBandSize w:val="1"/>
      <w:tblStyleColBandSize w:val="1"/>
      <w:tblInd w:w="0" w:type="dxa"/>
      <w:tblBorders>
        <w:top w:val="single" w:color="FAC090" w:sz="32" w:space="0"/>
        <w:left w:val="single" w:color="FAC090" w:sz="32" w:space="0"/>
        <w:bottom w:val="single" w:color="FAC090" w:sz="32" w:space="0"/>
        <w:right w:val="single" w:color="FAC090" w:sz="32" w:space="0"/>
      </w:tblBorders>
      <w:shd w:val="clear" w:color="fac090" w:fill="fac090"/>
      <w:tblCellMar>
        <w:left w:w="0" w:type="dxa"/>
        <w:top w:w="0" w:type="dxa"/>
        <w:right w:w="0" w:type="dxa"/>
        <w:bottom w:w="0" w:type="dxa"/>
      </w:tblCellMar>
    </w:tblPr>
  </w:style>
  <w:style w:type="table" w:styleId="879">
    <w:name w:val="List Table 6 Colorful"/>
    <w:uiPriority w:val="99"/>
    <w:rPr>
      <w:lang w:eastAsia="zh-CN"/>
    </w:rPr>
    <w:tblPr>
      <w:tblStyleRowBandSize w:val="1"/>
      <w:tblStyleColBandSize w:val="1"/>
      <w:tblInd w:w="0" w:type="dxa"/>
      <w:tblBorders>
        <w:top w:val="single" w:color="7F7F7F" w:sz="4" w:space="0"/>
        <w:bottom w:val="single" w:color="7F7F7F" w:sz="4" w:space="0"/>
      </w:tblBorders>
      <w:tblCellMar>
        <w:left w:w="0" w:type="dxa"/>
        <w:top w:w="0" w:type="dxa"/>
        <w:right w:w="0" w:type="dxa"/>
        <w:bottom w:w="0" w:type="dxa"/>
      </w:tblCellMar>
    </w:tblPr>
  </w:style>
  <w:style w:type="table" w:styleId="880" w:customStyle="1">
    <w:name w:val="List Table 6 Colorful - Accent 1"/>
    <w:uiPriority w:val="99"/>
    <w:rPr>
      <w:lang w:eastAsia="zh-CN"/>
    </w:rPr>
    <w:tblPr>
      <w:tblStyleRowBandSize w:val="1"/>
      <w:tblStyleColBandSize w:val="1"/>
      <w:tblInd w:w="0" w:type="dxa"/>
      <w:tblBorders>
        <w:top w:val="single" w:color="4F81BD" w:sz="4" w:space="0"/>
        <w:bottom w:val="single" w:color="4F81BD" w:sz="4" w:space="0"/>
      </w:tblBorders>
      <w:tblCellMar>
        <w:left w:w="0" w:type="dxa"/>
        <w:top w:w="0" w:type="dxa"/>
        <w:right w:w="0" w:type="dxa"/>
        <w:bottom w:w="0" w:type="dxa"/>
      </w:tblCellMar>
    </w:tblPr>
  </w:style>
  <w:style w:type="table" w:styleId="881" w:customStyle="1">
    <w:name w:val="List Table 6 Colorful - Accent 2"/>
    <w:uiPriority w:val="99"/>
    <w:rPr>
      <w:lang w:eastAsia="zh-CN"/>
    </w:rPr>
    <w:tblPr>
      <w:tblStyleRowBandSize w:val="1"/>
      <w:tblStyleColBandSize w:val="1"/>
      <w:tblInd w:w="0" w:type="dxa"/>
      <w:tblBorders>
        <w:top w:val="single" w:color="D99695" w:sz="4" w:space="0"/>
        <w:bottom w:val="single" w:color="D99695" w:sz="4" w:space="0"/>
      </w:tblBorders>
      <w:tblCellMar>
        <w:left w:w="0" w:type="dxa"/>
        <w:top w:w="0" w:type="dxa"/>
        <w:right w:w="0" w:type="dxa"/>
        <w:bottom w:w="0" w:type="dxa"/>
      </w:tblCellMar>
    </w:tblPr>
  </w:style>
  <w:style w:type="table" w:styleId="882" w:customStyle="1">
    <w:name w:val="List Table 6 Colorful - Accent 3"/>
    <w:uiPriority w:val="99"/>
    <w:rPr>
      <w:lang w:eastAsia="zh-CN"/>
    </w:rPr>
    <w:tblPr>
      <w:tblStyleRowBandSize w:val="1"/>
      <w:tblStyleColBandSize w:val="1"/>
      <w:tblInd w:w="0" w:type="dxa"/>
      <w:tblBorders>
        <w:top w:val="single" w:color="C3D69B" w:sz="4" w:space="0"/>
        <w:bottom w:val="single" w:color="C3D69B" w:sz="4" w:space="0"/>
      </w:tblBorders>
      <w:tblCellMar>
        <w:left w:w="0" w:type="dxa"/>
        <w:top w:w="0" w:type="dxa"/>
        <w:right w:w="0" w:type="dxa"/>
        <w:bottom w:w="0" w:type="dxa"/>
      </w:tblCellMar>
    </w:tblPr>
  </w:style>
  <w:style w:type="table" w:styleId="883" w:customStyle="1">
    <w:name w:val="List Table 6 Colorful - Accent 4"/>
    <w:uiPriority w:val="99"/>
    <w:rPr>
      <w:lang w:eastAsia="zh-CN"/>
    </w:rPr>
    <w:tblPr>
      <w:tblStyleRowBandSize w:val="1"/>
      <w:tblStyleColBandSize w:val="1"/>
      <w:tblInd w:w="0" w:type="dxa"/>
      <w:tblBorders>
        <w:top w:val="single" w:color="B2A1C6" w:sz="4" w:space="0"/>
        <w:bottom w:val="single" w:color="B2A1C6" w:sz="4" w:space="0"/>
      </w:tblBorders>
      <w:tblCellMar>
        <w:left w:w="0" w:type="dxa"/>
        <w:top w:w="0" w:type="dxa"/>
        <w:right w:w="0" w:type="dxa"/>
        <w:bottom w:w="0" w:type="dxa"/>
      </w:tblCellMar>
    </w:tblPr>
  </w:style>
  <w:style w:type="table" w:styleId="884" w:customStyle="1">
    <w:name w:val="List Table 6 Colorful - Accent 5"/>
    <w:uiPriority w:val="99"/>
    <w:rPr>
      <w:lang w:eastAsia="zh-CN"/>
    </w:rPr>
    <w:tblPr>
      <w:tblStyleRowBandSize w:val="1"/>
      <w:tblStyleColBandSize w:val="1"/>
      <w:tblInd w:w="0" w:type="dxa"/>
      <w:tblBorders>
        <w:top w:val="single" w:color="92CCDC" w:sz="4" w:space="0"/>
        <w:bottom w:val="single" w:color="92CCDC" w:sz="4" w:space="0"/>
      </w:tblBorders>
      <w:tblCellMar>
        <w:left w:w="0" w:type="dxa"/>
        <w:top w:w="0" w:type="dxa"/>
        <w:right w:w="0" w:type="dxa"/>
        <w:bottom w:w="0" w:type="dxa"/>
      </w:tblCellMar>
    </w:tblPr>
  </w:style>
  <w:style w:type="table" w:styleId="885" w:customStyle="1">
    <w:name w:val="List Table 6 Colorful - Accent 6"/>
    <w:uiPriority w:val="99"/>
    <w:rPr>
      <w:lang w:eastAsia="zh-CN"/>
    </w:rPr>
    <w:tblPr>
      <w:tblStyleRowBandSize w:val="1"/>
      <w:tblStyleColBandSize w:val="1"/>
      <w:tblInd w:w="0" w:type="dxa"/>
      <w:tblBorders>
        <w:top w:val="single" w:color="FAC090" w:sz="4" w:space="0"/>
        <w:bottom w:val="single" w:color="FAC090" w:sz="4" w:space="0"/>
      </w:tblBorders>
      <w:tblCellMar>
        <w:left w:w="0" w:type="dxa"/>
        <w:top w:w="0" w:type="dxa"/>
        <w:right w:w="0" w:type="dxa"/>
        <w:bottom w:w="0" w:type="dxa"/>
      </w:tblCellMar>
    </w:tblPr>
  </w:style>
  <w:style w:type="table" w:styleId="886">
    <w:name w:val="List Table 7 Colorful"/>
    <w:uiPriority w:val="99"/>
    <w:rPr>
      <w:lang w:eastAsia="zh-CN"/>
    </w:rPr>
    <w:tblPr>
      <w:tblStyleRowBandSize w:val="1"/>
      <w:tblStyleColBandSize w:val="1"/>
      <w:tblInd w:w="0" w:type="dxa"/>
      <w:tblBorders>
        <w:right w:val="single" w:color="7F7F7F" w:sz="4" w:space="0"/>
      </w:tblBorders>
      <w:tblCellMar>
        <w:left w:w="0" w:type="dxa"/>
        <w:top w:w="0" w:type="dxa"/>
        <w:right w:w="0" w:type="dxa"/>
        <w:bottom w:w="0" w:type="dxa"/>
      </w:tblCellMar>
    </w:tblPr>
  </w:style>
  <w:style w:type="table" w:styleId="887" w:customStyle="1">
    <w:name w:val="List Table 7 Colorful - Accent 1"/>
    <w:uiPriority w:val="99"/>
    <w:rPr>
      <w:lang w:eastAsia="zh-CN"/>
    </w:rPr>
    <w:tblPr>
      <w:tblStyleRowBandSize w:val="1"/>
      <w:tblStyleColBandSize w:val="1"/>
      <w:tblInd w:w="0" w:type="dxa"/>
      <w:tblBorders>
        <w:right w:val="single" w:color="4F81BD" w:sz="4" w:space="0"/>
      </w:tblBorders>
      <w:tblCellMar>
        <w:left w:w="0" w:type="dxa"/>
        <w:top w:w="0" w:type="dxa"/>
        <w:right w:w="0" w:type="dxa"/>
        <w:bottom w:w="0" w:type="dxa"/>
      </w:tblCellMar>
    </w:tblPr>
  </w:style>
  <w:style w:type="table" w:styleId="888" w:customStyle="1">
    <w:name w:val="List Table 7 Colorful - Accent 2"/>
    <w:uiPriority w:val="99"/>
    <w:rPr>
      <w:lang w:eastAsia="zh-CN"/>
    </w:rPr>
    <w:tblPr>
      <w:tblStyleRowBandSize w:val="1"/>
      <w:tblStyleColBandSize w:val="1"/>
      <w:tblInd w:w="0" w:type="dxa"/>
      <w:tblBorders>
        <w:right w:val="single" w:color="D99695" w:sz="4" w:space="0"/>
      </w:tblBorders>
      <w:tblCellMar>
        <w:left w:w="0" w:type="dxa"/>
        <w:top w:w="0" w:type="dxa"/>
        <w:right w:w="0" w:type="dxa"/>
        <w:bottom w:w="0" w:type="dxa"/>
      </w:tblCellMar>
    </w:tblPr>
  </w:style>
  <w:style w:type="table" w:styleId="889" w:customStyle="1">
    <w:name w:val="List Table 7 Colorful - Accent 3"/>
    <w:uiPriority w:val="99"/>
    <w:rPr>
      <w:lang w:eastAsia="zh-CN"/>
    </w:rPr>
    <w:tblPr>
      <w:tblStyleRowBandSize w:val="1"/>
      <w:tblStyleColBandSize w:val="1"/>
      <w:tblInd w:w="0" w:type="dxa"/>
      <w:tblBorders>
        <w:right w:val="single" w:color="C3D69B" w:sz="4" w:space="0"/>
      </w:tblBorders>
      <w:tblCellMar>
        <w:left w:w="0" w:type="dxa"/>
        <w:top w:w="0" w:type="dxa"/>
        <w:right w:w="0" w:type="dxa"/>
        <w:bottom w:w="0" w:type="dxa"/>
      </w:tblCellMar>
    </w:tblPr>
  </w:style>
  <w:style w:type="table" w:styleId="890" w:customStyle="1">
    <w:name w:val="List Table 7 Colorful - Accent 4"/>
    <w:uiPriority w:val="99"/>
    <w:rPr>
      <w:lang w:eastAsia="zh-CN"/>
    </w:rPr>
    <w:tblPr>
      <w:tblStyleRowBandSize w:val="1"/>
      <w:tblStyleColBandSize w:val="1"/>
      <w:tblInd w:w="0" w:type="dxa"/>
      <w:tblBorders>
        <w:right w:val="single" w:color="B2A1C6" w:sz="4" w:space="0"/>
      </w:tblBorders>
      <w:tblCellMar>
        <w:left w:w="0" w:type="dxa"/>
        <w:top w:w="0" w:type="dxa"/>
        <w:right w:w="0" w:type="dxa"/>
        <w:bottom w:w="0" w:type="dxa"/>
      </w:tblCellMar>
    </w:tblPr>
  </w:style>
  <w:style w:type="table" w:styleId="891" w:customStyle="1">
    <w:name w:val="List Table 7 Colorful - Accent 5"/>
    <w:uiPriority w:val="99"/>
    <w:rPr>
      <w:lang w:eastAsia="zh-CN"/>
    </w:rPr>
    <w:tblPr>
      <w:tblStyleRowBandSize w:val="1"/>
      <w:tblStyleColBandSize w:val="1"/>
      <w:tblInd w:w="0" w:type="dxa"/>
      <w:tblBorders>
        <w:right w:val="single" w:color="92CCDC" w:sz="4" w:space="0"/>
      </w:tblBorders>
      <w:tblCellMar>
        <w:left w:w="0" w:type="dxa"/>
        <w:top w:w="0" w:type="dxa"/>
        <w:right w:w="0" w:type="dxa"/>
        <w:bottom w:w="0" w:type="dxa"/>
      </w:tblCellMar>
    </w:tblPr>
  </w:style>
  <w:style w:type="table" w:styleId="892" w:customStyle="1">
    <w:name w:val="List Table 7 Colorful - Accent 6"/>
    <w:uiPriority w:val="99"/>
    <w:rPr>
      <w:lang w:eastAsia="zh-CN"/>
    </w:rPr>
    <w:tblPr>
      <w:tblStyleRowBandSize w:val="1"/>
      <w:tblStyleColBandSize w:val="1"/>
      <w:tblInd w:w="0" w:type="dxa"/>
      <w:tblBorders>
        <w:right w:val="single" w:color="FAC090" w:sz="4" w:space="0"/>
      </w:tblBorders>
      <w:tblCellMar>
        <w:left w:w="0" w:type="dxa"/>
        <w:top w:w="0" w:type="dxa"/>
        <w:right w:w="0" w:type="dxa"/>
        <w:bottom w:w="0" w:type="dxa"/>
      </w:tblCellMar>
    </w:tblPr>
  </w:style>
  <w:style w:type="table" w:styleId="893" w:customStyle="1">
    <w:name w:val="Lined - Accent"/>
    <w:uiPriority w:val="99"/>
    <w:rPr>
      <w:color w:val="404040"/>
    </w:rPr>
    <w:tblPr>
      <w:tblStyleRowBandSize w:val="1"/>
      <w:tblStyleColBandSize w:val="1"/>
      <w:tblInd w:w="0" w:type="dxa"/>
      <w:tblCellMar>
        <w:left w:w="0" w:type="dxa"/>
        <w:top w:w="0" w:type="dxa"/>
        <w:right w:w="0" w:type="dxa"/>
        <w:bottom w:w="0" w:type="dxa"/>
      </w:tblCellMar>
    </w:tblPr>
  </w:style>
  <w:style w:type="table" w:styleId="894" w:customStyle="1">
    <w:name w:val="Lined - Accent 1"/>
    <w:uiPriority w:val="99"/>
    <w:rPr>
      <w:color w:val="404040"/>
    </w:rPr>
    <w:tblPr>
      <w:tblStyleRowBandSize w:val="1"/>
      <w:tblStyleColBandSize w:val="1"/>
      <w:tblInd w:w="0" w:type="dxa"/>
      <w:tblCellMar>
        <w:left w:w="0" w:type="dxa"/>
        <w:top w:w="0" w:type="dxa"/>
        <w:right w:w="0" w:type="dxa"/>
        <w:bottom w:w="0" w:type="dxa"/>
      </w:tblCellMar>
    </w:tblPr>
  </w:style>
  <w:style w:type="table" w:styleId="895" w:customStyle="1">
    <w:name w:val="Lined - Accent 2"/>
    <w:uiPriority w:val="99"/>
    <w:rPr>
      <w:color w:val="404040"/>
    </w:rPr>
    <w:tblPr>
      <w:tblStyleRowBandSize w:val="1"/>
      <w:tblStyleColBandSize w:val="1"/>
      <w:tblInd w:w="0" w:type="dxa"/>
      <w:tblCellMar>
        <w:left w:w="0" w:type="dxa"/>
        <w:top w:w="0" w:type="dxa"/>
        <w:right w:w="0" w:type="dxa"/>
        <w:bottom w:w="0" w:type="dxa"/>
      </w:tblCellMar>
    </w:tblPr>
  </w:style>
  <w:style w:type="table" w:styleId="896" w:customStyle="1">
    <w:name w:val="Lined - Accent 3"/>
    <w:uiPriority w:val="99"/>
    <w:rPr>
      <w:color w:val="404040"/>
    </w:rPr>
    <w:tblPr>
      <w:tblStyleRowBandSize w:val="1"/>
      <w:tblStyleColBandSize w:val="1"/>
      <w:tblInd w:w="0" w:type="dxa"/>
      <w:tblCellMar>
        <w:left w:w="0" w:type="dxa"/>
        <w:top w:w="0" w:type="dxa"/>
        <w:right w:w="0" w:type="dxa"/>
        <w:bottom w:w="0" w:type="dxa"/>
      </w:tblCellMar>
    </w:tblPr>
  </w:style>
  <w:style w:type="table" w:styleId="897" w:customStyle="1">
    <w:name w:val="Lined - Accent 4"/>
    <w:uiPriority w:val="99"/>
    <w:rPr>
      <w:color w:val="404040"/>
    </w:rPr>
    <w:tblPr>
      <w:tblStyleRowBandSize w:val="1"/>
      <w:tblStyleColBandSize w:val="1"/>
      <w:tblInd w:w="0" w:type="dxa"/>
      <w:tblCellMar>
        <w:left w:w="0" w:type="dxa"/>
        <w:top w:w="0" w:type="dxa"/>
        <w:right w:w="0" w:type="dxa"/>
        <w:bottom w:w="0" w:type="dxa"/>
      </w:tblCellMar>
    </w:tblPr>
  </w:style>
  <w:style w:type="table" w:styleId="898" w:customStyle="1">
    <w:name w:val="Lined - Accent 5"/>
    <w:uiPriority w:val="99"/>
    <w:rPr>
      <w:color w:val="404040"/>
    </w:rPr>
    <w:tblPr>
      <w:tblStyleRowBandSize w:val="1"/>
      <w:tblStyleColBandSize w:val="1"/>
      <w:tblInd w:w="0" w:type="dxa"/>
      <w:tblCellMar>
        <w:left w:w="0" w:type="dxa"/>
        <w:top w:w="0" w:type="dxa"/>
        <w:right w:w="0" w:type="dxa"/>
        <w:bottom w:w="0" w:type="dxa"/>
      </w:tblCellMar>
    </w:tblPr>
  </w:style>
  <w:style w:type="table" w:styleId="899" w:customStyle="1">
    <w:name w:val="Lined - Accent 6"/>
    <w:uiPriority w:val="99"/>
    <w:rPr>
      <w:color w:val="404040"/>
    </w:rPr>
    <w:tblPr>
      <w:tblStyleRowBandSize w:val="1"/>
      <w:tblStyleColBandSize w:val="1"/>
      <w:tblInd w:w="0" w:type="dxa"/>
      <w:tblCellMar>
        <w:left w:w="0" w:type="dxa"/>
        <w:top w:w="0" w:type="dxa"/>
        <w:right w:w="0" w:type="dxa"/>
        <w:bottom w:w="0" w:type="dxa"/>
      </w:tblCellMar>
    </w:tblPr>
  </w:style>
  <w:style w:type="table" w:styleId="900" w:customStyle="1">
    <w:name w:val="Bordered &amp; Lined - Accent"/>
    <w:uiPriority w:val="99"/>
    <w:rPr>
      <w:color w:val="404040"/>
    </w:rPr>
    <w:tblPr>
      <w:tblStyleRowBandSize w:val="1"/>
      <w:tblStyleColBandSize w:val="1"/>
      <w:tblInd w:w="0" w:type="dxa"/>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0" w:type="dxa"/>
        <w:top w:w="0" w:type="dxa"/>
        <w:right w:w="0" w:type="dxa"/>
        <w:bottom w:w="0" w:type="dxa"/>
      </w:tblCellMar>
    </w:tblPr>
  </w:style>
  <w:style w:type="table" w:styleId="901" w:customStyle="1">
    <w:name w:val="Bordered &amp; Lined - Accent 1"/>
    <w:uiPriority w:val="99"/>
    <w:rPr>
      <w:color w:val="404040"/>
    </w:rPr>
    <w:tblPr>
      <w:tblStyleRowBandSize w:val="1"/>
      <w:tblStyleColBandSize w:val="1"/>
      <w:tblInd w:w="0" w:type="dxa"/>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left w:w="0" w:type="dxa"/>
        <w:top w:w="0" w:type="dxa"/>
        <w:right w:w="0" w:type="dxa"/>
        <w:bottom w:w="0" w:type="dxa"/>
      </w:tblCellMar>
    </w:tblPr>
  </w:style>
  <w:style w:type="table" w:styleId="902" w:customStyle="1">
    <w:name w:val="Bordered &amp; Lined - Accent 2"/>
    <w:uiPriority w:val="99"/>
    <w:rPr>
      <w:color w:val="404040"/>
    </w:rPr>
    <w:tblPr>
      <w:tblStyleRowBandSize w:val="1"/>
      <w:tblStyleColBandSize w:val="1"/>
      <w:tblInd w:w="0" w:type="dxa"/>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left w:w="0" w:type="dxa"/>
        <w:top w:w="0" w:type="dxa"/>
        <w:right w:w="0" w:type="dxa"/>
        <w:bottom w:w="0" w:type="dxa"/>
      </w:tblCellMar>
    </w:tblPr>
  </w:style>
  <w:style w:type="table" w:styleId="903" w:customStyle="1">
    <w:name w:val="Bordered &amp; Lined - Accent 3"/>
    <w:uiPriority w:val="99"/>
    <w:rPr>
      <w:color w:val="404040"/>
    </w:rPr>
    <w:tblPr>
      <w:tblStyleRowBandSize w:val="1"/>
      <w:tblStyleColBandSize w:val="1"/>
      <w:tblInd w:w="0" w:type="dxa"/>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left w:w="0" w:type="dxa"/>
        <w:top w:w="0" w:type="dxa"/>
        <w:right w:w="0" w:type="dxa"/>
        <w:bottom w:w="0" w:type="dxa"/>
      </w:tblCellMar>
    </w:tblPr>
  </w:style>
  <w:style w:type="table" w:styleId="904" w:customStyle="1">
    <w:name w:val="Bordered &amp; Lined - Accent 4"/>
    <w:uiPriority w:val="99"/>
    <w:rPr>
      <w:color w:val="404040"/>
    </w:rPr>
    <w:tblPr>
      <w:tblStyleRowBandSize w:val="1"/>
      <w:tblStyleColBandSize w:val="1"/>
      <w:tblInd w:w="0" w:type="dxa"/>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left w:w="0" w:type="dxa"/>
        <w:top w:w="0" w:type="dxa"/>
        <w:right w:w="0" w:type="dxa"/>
        <w:bottom w:w="0" w:type="dxa"/>
      </w:tblCellMar>
    </w:tblPr>
  </w:style>
  <w:style w:type="table" w:styleId="905" w:customStyle="1">
    <w:name w:val="Bordered &amp; Lined - Accent 5"/>
    <w:uiPriority w:val="99"/>
    <w:rPr>
      <w:color w:val="404040"/>
    </w:rPr>
    <w:tblPr>
      <w:tblStyleRowBandSize w:val="1"/>
      <w:tblStyleColBandSize w:val="1"/>
      <w:tblInd w:w="0" w:type="dxa"/>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left w:w="0" w:type="dxa"/>
        <w:top w:w="0" w:type="dxa"/>
        <w:right w:w="0" w:type="dxa"/>
        <w:bottom w:w="0" w:type="dxa"/>
      </w:tblCellMar>
    </w:tblPr>
  </w:style>
  <w:style w:type="table" w:styleId="906" w:customStyle="1">
    <w:name w:val="Bordered &amp; Lined - Accent 6"/>
    <w:uiPriority w:val="99"/>
    <w:rPr>
      <w:color w:val="404040"/>
    </w:rPr>
    <w:tblPr>
      <w:tblStyleRowBandSize w:val="1"/>
      <w:tblStyleColBandSize w:val="1"/>
      <w:tblInd w:w="0" w:type="dxa"/>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left w:w="0" w:type="dxa"/>
        <w:top w:w="0" w:type="dxa"/>
        <w:right w:w="0" w:type="dxa"/>
        <w:bottom w:w="0" w:type="dxa"/>
      </w:tblCellMar>
    </w:tblPr>
  </w:style>
  <w:style w:type="table" w:styleId="907" w:customStyle="1">
    <w:name w:val="Bordered"/>
    <w:uiPriority w:val="99"/>
    <w:rPr>
      <w:lang w:eastAsia="zh-CN"/>
    </w:rPr>
    <w:tblPr>
      <w:tblStyleRowBandSize w:val="1"/>
      <w:tblStyleColBandSize w:val="1"/>
      <w:tblInd w:w="0"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0" w:type="dxa"/>
        <w:top w:w="0" w:type="dxa"/>
        <w:right w:w="0" w:type="dxa"/>
        <w:bottom w:w="0" w:type="dxa"/>
      </w:tblCellMar>
    </w:tblPr>
  </w:style>
  <w:style w:type="table" w:styleId="908" w:customStyle="1">
    <w:name w:val="Bordered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909" w:customStyle="1">
    <w:name w:val="Bordered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910" w:customStyle="1">
    <w:name w:val="Bordered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911" w:customStyle="1">
    <w:name w:val="Bordered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912" w:customStyle="1">
    <w:name w:val="Bordered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913" w:customStyle="1">
    <w:name w:val="Bordered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character" w:styleId="914">
    <w:name w:val="Hyperlink"/>
    <w:rPr>
      <w:color w:val="0000ff"/>
      <w:u w:val="single"/>
    </w:rPr>
  </w:style>
  <w:style w:type="paragraph" w:styleId="915">
    <w:name w:val="footnote text"/>
    <w:basedOn w:val="745"/>
    <w:link w:val="916"/>
    <w:uiPriority w:val="99"/>
    <w:semiHidden/>
    <w:unhideWhenUsed/>
    <w:pPr>
      <w:spacing w:after="40"/>
    </w:pPr>
    <w:rPr>
      <w:sz w:val="18"/>
    </w:rPr>
  </w:style>
  <w:style w:type="character" w:styleId="916" w:customStyle="1">
    <w:name w:val="Текст сноски Знак"/>
    <w:link w:val="915"/>
    <w:uiPriority w:val="99"/>
    <w:rPr>
      <w:sz w:val="18"/>
    </w:rPr>
  </w:style>
  <w:style w:type="character" w:styleId="917">
    <w:name w:val="footnote reference"/>
    <w:rPr>
      <w:vertAlign w:val="superscript"/>
    </w:rPr>
  </w:style>
  <w:style w:type="paragraph" w:styleId="918">
    <w:name w:val="endnote text"/>
    <w:basedOn w:val="745"/>
    <w:link w:val="919"/>
    <w:uiPriority w:val="99"/>
    <w:semiHidden/>
    <w:unhideWhenUsed/>
    <w:rPr>
      <w:sz w:val="20"/>
    </w:rPr>
  </w:style>
  <w:style w:type="character" w:styleId="919" w:customStyle="1">
    <w:name w:val="Текст концевой сноски Знак"/>
    <w:link w:val="918"/>
    <w:uiPriority w:val="99"/>
    <w:rPr>
      <w:sz w:val="20"/>
    </w:rPr>
  </w:style>
  <w:style w:type="character" w:styleId="920">
    <w:name w:val="endnote reference"/>
    <w:uiPriority w:val="99"/>
    <w:semiHidden/>
    <w:unhideWhenUsed/>
    <w:rPr>
      <w:vertAlign w:val="superscript"/>
    </w:rPr>
  </w:style>
  <w:style w:type="paragraph" w:styleId="921">
    <w:name w:val="toc 1"/>
    <w:basedOn w:val="745"/>
    <w:next w:val="745"/>
    <w:uiPriority w:val="39"/>
    <w:pPr>
      <w:keepLines/>
      <w:keepNext/>
      <w:spacing w:before="120" w:after="120"/>
      <w:widowControl w:val="off"/>
      <w:tabs>
        <w:tab w:val="right" w:pos="9720" w:leader="dot"/>
      </w:tabs>
      <w:suppressLineNumbers/>
    </w:pPr>
    <w:rPr>
      <w:bCs/>
      <w:caps/>
    </w:rPr>
  </w:style>
  <w:style w:type="paragraph" w:styleId="922">
    <w:name w:val="toc 2"/>
    <w:basedOn w:val="745"/>
    <w:next w:val="745"/>
    <w:uiPriority w:val="39"/>
    <w:pPr>
      <w:ind w:left="240"/>
      <w:jc w:val="left"/>
      <w:tabs>
        <w:tab w:val="left" w:pos="720" w:leader="none"/>
        <w:tab w:val="right" w:pos="9720" w:leader="dot"/>
      </w:tabs>
    </w:pPr>
    <w:rPr>
      <w:smallCaps/>
      <w:sz w:val="20"/>
      <w:szCs w:val="20"/>
    </w:rPr>
  </w:style>
  <w:style w:type="paragraph" w:styleId="923">
    <w:name w:val="toc 3"/>
    <w:basedOn w:val="745"/>
    <w:next w:val="745"/>
    <w:uiPriority w:val="39"/>
    <w:pPr>
      <w:ind w:left="480"/>
      <w:jc w:val="left"/>
      <w:tabs>
        <w:tab w:val="left" w:pos="1200" w:leader="none"/>
        <w:tab w:val="right" w:pos="9720" w:leader="dot"/>
      </w:tabs>
    </w:pPr>
    <w:rPr>
      <w:i/>
      <w:iCs/>
      <w:sz w:val="20"/>
      <w:szCs w:val="20"/>
    </w:rPr>
  </w:style>
  <w:style w:type="paragraph" w:styleId="924">
    <w:name w:val="toc 4"/>
    <w:basedOn w:val="745"/>
    <w:next w:val="745"/>
    <w:pPr>
      <w:ind w:left="720"/>
    </w:pPr>
    <w:rPr>
      <w:sz w:val="18"/>
      <w:szCs w:val="18"/>
    </w:rPr>
  </w:style>
  <w:style w:type="paragraph" w:styleId="925">
    <w:name w:val="toc 5"/>
    <w:basedOn w:val="745"/>
    <w:next w:val="745"/>
    <w:pPr>
      <w:ind w:left="960"/>
    </w:pPr>
    <w:rPr>
      <w:sz w:val="18"/>
      <w:szCs w:val="18"/>
    </w:rPr>
  </w:style>
  <w:style w:type="paragraph" w:styleId="926">
    <w:name w:val="toc 6"/>
    <w:basedOn w:val="745"/>
    <w:next w:val="745"/>
    <w:pPr>
      <w:ind w:left="1200"/>
    </w:pPr>
    <w:rPr>
      <w:sz w:val="18"/>
      <w:szCs w:val="18"/>
    </w:rPr>
  </w:style>
  <w:style w:type="paragraph" w:styleId="927">
    <w:name w:val="toc 7"/>
    <w:basedOn w:val="745"/>
    <w:next w:val="745"/>
    <w:pPr>
      <w:ind w:left="1440"/>
    </w:pPr>
    <w:rPr>
      <w:sz w:val="18"/>
      <w:szCs w:val="18"/>
    </w:rPr>
  </w:style>
  <w:style w:type="paragraph" w:styleId="928">
    <w:name w:val="toc 8"/>
    <w:basedOn w:val="745"/>
    <w:next w:val="745"/>
    <w:pPr>
      <w:ind w:left="1680"/>
    </w:pPr>
    <w:rPr>
      <w:sz w:val="18"/>
      <w:szCs w:val="18"/>
    </w:rPr>
  </w:style>
  <w:style w:type="paragraph" w:styleId="929">
    <w:name w:val="toc 9"/>
    <w:basedOn w:val="745"/>
    <w:next w:val="745"/>
    <w:pPr>
      <w:ind w:left="1920"/>
    </w:pPr>
    <w:rPr>
      <w:sz w:val="18"/>
      <w:szCs w:val="18"/>
    </w:rPr>
  </w:style>
  <w:style w:type="paragraph" w:styleId="930">
    <w:name w:val="TOC Heading"/>
    <w:basedOn w:val="932"/>
    <w:next w:val="745"/>
    <w:uiPriority w:val="39"/>
    <w:qFormat/>
    <w:pPr>
      <w:jc w:val="left"/>
      <w:keepLines/>
      <w:spacing w:before="480" w:after="0" w:line="276" w:lineRule="auto"/>
      <w:outlineLvl w:val="9"/>
    </w:pPr>
    <w:rPr>
      <w:rFonts w:ascii="Cambria" w:hAnsi="Cambria"/>
      <w:bCs/>
      <w:color w:val="365f91"/>
      <w:sz w:val="28"/>
      <w:szCs w:val="28"/>
    </w:rPr>
  </w:style>
  <w:style w:type="paragraph" w:styleId="931">
    <w:name w:val="table of figures"/>
    <w:basedOn w:val="745"/>
    <w:next w:val="745"/>
    <w:uiPriority w:val="99"/>
    <w:unhideWhenUsed/>
  </w:style>
  <w:style w:type="paragraph" w:styleId="932" w:customStyle="1">
    <w:name w:val="Заголовок 1;H1;h1;Глава 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Chapter;Глав"/>
    <w:basedOn w:val="745"/>
    <w:next w:val="745"/>
    <w:link w:val="933"/>
    <w:uiPriority w:val="99"/>
    <w:qFormat/>
    <w:pPr>
      <w:jc w:val="center"/>
      <w:keepNext/>
      <w:spacing w:before="240" w:after="60"/>
      <w:outlineLvl w:val="0"/>
    </w:pPr>
    <w:rPr>
      <w:b/>
      <w:sz w:val="36"/>
      <w:szCs w:val="20"/>
      <w:lang w:val="en-US" w:eastAsia="en-US"/>
    </w:rPr>
  </w:style>
  <w:style w:type="character" w:styleId="933" w:customStyle="1">
    <w:name w:val="Заголовок 1 Знак;H1 Знак2;h1 Знак2;Глава 1 Знак2;Document Header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1 Знак1"/>
    <w:link w:val="932"/>
    <w:uiPriority w:val="99"/>
    <w:rPr>
      <w:b/>
      <w:sz w:val="36"/>
    </w:rPr>
  </w:style>
  <w:style w:type="character" w:styleId="934" w:customStyle="1">
    <w:name w:val="Заголовок 2 Знак"/>
    <w:link w:val="747"/>
    <w:rPr>
      <w:b/>
      <w:bCs/>
      <w:sz w:val="24"/>
      <w:szCs w:val="24"/>
    </w:rPr>
  </w:style>
  <w:style w:type="character" w:styleId="935" w:customStyle="1">
    <w:name w:val="Заголовок 3 Знак1"/>
    <w:link w:val="748"/>
    <w:rPr>
      <w:rFonts w:ascii="Arial" w:hAnsi="Arial"/>
      <w:b/>
      <w:sz w:val="24"/>
    </w:rPr>
  </w:style>
  <w:style w:type="character" w:styleId="936" w:customStyle="1">
    <w:name w:val="Заголовок 4 Знак"/>
    <w:link w:val="749"/>
    <w:rPr>
      <w:rFonts w:ascii="Arial" w:hAnsi="Arial"/>
      <w:sz w:val="24"/>
    </w:rPr>
  </w:style>
  <w:style w:type="character" w:styleId="937" w:customStyle="1">
    <w:name w:val="Заголовок 5 Знак"/>
    <w:link w:val="750"/>
    <w:rPr>
      <w:sz w:val="22"/>
    </w:rPr>
  </w:style>
  <w:style w:type="character" w:styleId="938" w:customStyle="1">
    <w:name w:val="Заголовок 6 Знак"/>
    <w:link w:val="751"/>
    <w:rPr>
      <w:i/>
      <w:sz w:val="22"/>
    </w:rPr>
  </w:style>
  <w:style w:type="character" w:styleId="939" w:customStyle="1">
    <w:name w:val="Заголовок 7 Знак"/>
    <w:link w:val="752"/>
    <w:rPr>
      <w:rFonts w:ascii="Arial" w:hAnsi="Arial"/>
    </w:rPr>
  </w:style>
  <w:style w:type="character" w:styleId="940" w:customStyle="1">
    <w:name w:val="Заголовок 8 Знак"/>
    <w:link w:val="753"/>
    <w:rPr>
      <w:rFonts w:ascii="Arial" w:hAnsi="Arial"/>
      <w:i/>
    </w:rPr>
  </w:style>
  <w:style w:type="character" w:styleId="941" w:customStyle="1">
    <w:name w:val="Заголовок 9 Знак"/>
    <w:link w:val="754"/>
    <w:rPr>
      <w:rFonts w:ascii="Arial" w:hAnsi="Arial"/>
      <w:b/>
      <w:i/>
      <w:sz w:val="18"/>
    </w:rPr>
  </w:style>
  <w:style w:type="paragraph" w:styleId="942">
    <w:name w:val="Body Text Indent"/>
    <w:basedOn w:val="745"/>
    <w:link w:val="943"/>
    <w:pPr>
      <w:ind w:left="5760"/>
    </w:pPr>
    <w:rPr>
      <w:lang w:val="en-US" w:eastAsia="en-US"/>
    </w:rPr>
  </w:style>
  <w:style w:type="character" w:styleId="943" w:customStyle="1">
    <w:name w:val="Основной текст с отступом Знак"/>
    <w:link w:val="942"/>
    <w:rPr>
      <w:sz w:val="24"/>
      <w:szCs w:val="24"/>
    </w:rPr>
  </w:style>
  <w:style w:type="paragraph" w:styleId="944" w:customStyle="1">
    <w:name w:val="Стиль1"/>
    <w:basedOn w:val="745"/>
    <w:pPr>
      <w:numPr>
        <w:ilvl w:val="0"/>
        <w:numId w:val="2"/>
      </w:numPr>
      <w:keepLines/>
      <w:keepNext/>
      <w:spacing w:after="60"/>
      <w:widowControl w:val="off"/>
      <w:suppressLineNumbers/>
    </w:pPr>
    <w:rPr>
      <w:b/>
      <w:sz w:val="28"/>
    </w:rPr>
  </w:style>
  <w:style w:type="paragraph" w:styleId="945" w:customStyle="1">
    <w:name w:val="Стиль2"/>
    <w:basedOn w:val="946"/>
    <w:pPr>
      <w:numPr>
        <w:ilvl w:val="1"/>
        <w:numId w:val="2"/>
      </w:numPr>
      <w:keepLines/>
      <w:keepNext/>
      <w:spacing w:after="60"/>
      <w:widowControl w:val="off"/>
      <w:suppressLineNumbers/>
    </w:pPr>
    <w:rPr>
      <w:b/>
      <w:szCs w:val="20"/>
    </w:rPr>
  </w:style>
  <w:style w:type="paragraph" w:styleId="946">
    <w:name w:val="List Number 2"/>
    <w:basedOn w:val="745"/>
    <w:pPr>
      <w:numPr>
        <w:ilvl w:val="0"/>
        <w:numId w:val="1"/>
      </w:numPr>
    </w:pPr>
  </w:style>
  <w:style w:type="paragraph" w:styleId="947" w:customStyle="1">
    <w:name w:val="Стиль3 Знак"/>
    <w:basedOn w:val="948"/>
    <w:pPr>
      <w:numPr>
        <w:ilvl w:val="2"/>
        <w:numId w:val="2"/>
      </w:numPr>
      <w:spacing w:after="0" w:line="240" w:lineRule="auto"/>
      <w:widowControl w:val="off"/>
    </w:pPr>
    <w:rPr>
      <w:szCs w:val="20"/>
    </w:rPr>
  </w:style>
  <w:style w:type="paragraph" w:styleId="948">
    <w:name w:val="Body Text Indent 2"/>
    <w:basedOn w:val="745"/>
    <w:link w:val="949"/>
    <w:pPr>
      <w:ind w:left="283"/>
      <w:spacing w:after="120" w:line="480" w:lineRule="auto"/>
    </w:pPr>
    <w:rPr>
      <w:lang w:val="en-US" w:eastAsia="en-US"/>
    </w:rPr>
  </w:style>
  <w:style w:type="character" w:styleId="949" w:customStyle="1">
    <w:name w:val="Основной текст с отступом 2 Знак"/>
    <w:link w:val="948"/>
    <w:rPr>
      <w:sz w:val="24"/>
      <w:szCs w:val="24"/>
    </w:rPr>
  </w:style>
  <w:style w:type="paragraph" w:styleId="950" w:customStyle="1">
    <w:name w:val="ConsNormal"/>
    <w:pPr>
      <w:ind w:left="709" w:right="19772" w:firstLine="720"/>
      <w:jc w:val="both"/>
      <w:widowControl w:val="off"/>
    </w:pPr>
    <w:rPr>
      <w:rFonts w:ascii="Arial" w:hAnsi="Arial" w:cs="Arial"/>
    </w:rPr>
  </w:style>
  <w:style w:type="paragraph" w:styleId="951">
    <w:name w:val="List Bullet 2"/>
    <w:basedOn w:val="745"/>
    <w:pPr>
      <w:numPr>
        <w:ilvl w:val="0"/>
        <w:numId w:val="3"/>
      </w:numPr>
      <w:spacing w:after="60"/>
    </w:pPr>
    <w:rPr>
      <w:szCs w:val="20"/>
    </w:rPr>
  </w:style>
  <w:style w:type="paragraph" w:styleId="952">
    <w:name w:val="Body Text Indent 3"/>
    <w:basedOn w:val="745"/>
    <w:link w:val="953"/>
    <w:pPr>
      <w:ind w:left="720"/>
      <w:keepLines/>
      <w:keepNext/>
      <w:widowControl w:val="off"/>
      <w:tabs>
        <w:tab w:val="num" w:pos="252" w:leader="none"/>
      </w:tabs>
      <w:suppressLineNumbers/>
    </w:pPr>
    <w:rPr>
      <w:lang w:val="en-US" w:eastAsia="en-US"/>
    </w:rPr>
  </w:style>
  <w:style w:type="character" w:styleId="953" w:customStyle="1">
    <w:name w:val="Основной текст с отступом 3 Знак"/>
    <w:link w:val="952"/>
    <w:rPr>
      <w:sz w:val="24"/>
      <w:szCs w:val="24"/>
    </w:rPr>
  </w:style>
  <w:style w:type="paragraph" w:styleId="954">
    <w:name w:val="Plain Text"/>
    <w:basedOn w:val="745"/>
    <w:link w:val="955"/>
    <w:rPr>
      <w:rFonts w:ascii="Courier New" w:hAnsi="Courier New"/>
      <w:sz w:val="20"/>
      <w:szCs w:val="20"/>
      <w:lang w:val="en-US" w:eastAsia="en-US"/>
    </w:rPr>
  </w:style>
  <w:style w:type="character" w:styleId="955" w:customStyle="1">
    <w:name w:val="Текст Знак"/>
    <w:link w:val="954"/>
    <w:rPr>
      <w:rFonts w:ascii="Courier New" w:hAnsi="Courier New" w:cs="Courier New"/>
    </w:rPr>
  </w:style>
  <w:style w:type="paragraph" w:styleId="956">
    <w:name w:val="Body Text 2"/>
    <w:basedOn w:val="745"/>
    <w:link w:val="957"/>
    <w:pPr>
      <w:numPr>
        <w:ilvl w:val="1"/>
        <w:numId w:val="13"/>
      </w:numPr>
      <w:spacing w:after="60"/>
    </w:pPr>
    <w:rPr>
      <w:szCs w:val="20"/>
      <w:lang w:val="en-US" w:eastAsia="en-US"/>
    </w:rPr>
  </w:style>
  <w:style w:type="character" w:styleId="957" w:customStyle="1">
    <w:name w:val="Основной текст 2 Знак"/>
    <w:link w:val="956"/>
    <w:rPr>
      <w:sz w:val="24"/>
      <w:lang w:val="en-US" w:eastAsia="en-US" w:bidi="ar-SA"/>
    </w:rPr>
  </w:style>
  <w:style w:type="paragraph" w:styleId="958">
    <w:name w:val="List Bullet 3"/>
    <w:basedOn w:val="745"/>
    <w:pPr>
      <w:numPr>
        <w:ilvl w:val="0"/>
        <w:numId w:val="4"/>
      </w:numPr>
      <w:spacing w:after="60"/>
    </w:pPr>
    <w:rPr>
      <w:szCs w:val="20"/>
    </w:rPr>
  </w:style>
  <w:style w:type="paragraph" w:styleId="959">
    <w:name w:val="List Bullet 4"/>
    <w:basedOn w:val="745"/>
    <w:pPr>
      <w:ind w:left="1209" w:hanging="360"/>
      <w:spacing w:after="60"/>
      <w:tabs>
        <w:tab w:val="num" w:pos="1209" w:leader="none"/>
      </w:tabs>
    </w:pPr>
    <w:rPr>
      <w:szCs w:val="20"/>
    </w:rPr>
  </w:style>
  <w:style w:type="paragraph" w:styleId="960">
    <w:name w:val="List Bullet 5"/>
    <w:basedOn w:val="745"/>
    <w:pPr>
      <w:numPr>
        <w:ilvl w:val="0"/>
        <w:numId w:val="5"/>
      </w:numPr>
      <w:ind w:left="1492"/>
      <w:spacing w:after="60"/>
      <w:tabs>
        <w:tab w:val="clear" w:pos="1209" w:leader="none"/>
        <w:tab w:val="num" w:pos="1492" w:leader="none"/>
      </w:tabs>
    </w:pPr>
    <w:rPr>
      <w:szCs w:val="20"/>
    </w:rPr>
  </w:style>
  <w:style w:type="paragraph" w:styleId="961">
    <w:name w:val="List Number"/>
    <w:basedOn w:val="745"/>
    <w:pPr>
      <w:numPr>
        <w:ilvl w:val="0"/>
        <w:numId w:val="6"/>
      </w:numPr>
      <w:ind w:left="360"/>
      <w:spacing w:after="60"/>
      <w:tabs>
        <w:tab w:val="num" w:pos="360" w:leader="none"/>
        <w:tab w:val="clear" w:pos="1492" w:leader="none"/>
      </w:tabs>
    </w:pPr>
    <w:rPr>
      <w:szCs w:val="20"/>
    </w:rPr>
  </w:style>
  <w:style w:type="paragraph" w:styleId="962">
    <w:name w:val="List Number 3"/>
    <w:basedOn w:val="745"/>
    <w:pPr>
      <w:numPr>
        <w:ilvl w:val="0"/>
        <w:numId w:val="7"/>
      </w:numPr>
      <w:ind w:left="926"/>
      <w:spacing w:after="60"/>
      <w:tabs>
        <w:tab w:val="clear" w:pos="360" w:leader="none"/>
        <w:tab w:val="num" w:pos="926" w:leader="none"/>
      </w:tabs>
    </w:pPr>
    <w:rPr>
      <w:szCs w:val="20"/>
    </w:rPr>
  </w:style>
  <w:style w:type="paragraph" w:styleId="963">
    <w:name w:val="List Number 4"/>
    <w:basedOn w:val="745"/>
    <w:pPr>
      <w:numPr>
        <w:ilvl w:val="0"/>
        <w:numId w:val="8"/>
      </w:numPr>
      <w:ind w:left="1209"/>
      <w:spacing w:after="60"/>
      <w:tabs>
        <w:tab w:val="clear" w:pos="926" w:leader="none"/>
        <w:tab w:val="num" w:pos="1209" w:leader="none"/>
      </w:tabs>
    </w:pPr>
    <w:rPr>
      <w:szCs w:val="20"/>
    </w:rPr>
  </w:style>
  <w:style w:type="paragraph" w:styleId="964">
    <w:name w:val="List Number 5"/>
    <w:basedOn w:val="745"/>
    <w:pPr>
      <w:numPr>
        <w:ilvl w:val="0"/>
        <w:numId w:val="9"/>
      </w:numPr>
      <w:ind w:left="1492"/>
      <w:spacing w:after="60"/>
      <w:tabs>
        <w:tab w:val="clear" w:pos="1209" w:leader="none"/>
        <w:tab w:val="num" w:pos="1492" w:leader="none"/>
      </w:tabs>
    </w:pPr>
    <w:rPr>
      <w:szCs w:val="20"/>
    </w:rPr>
  </w:style>
  <w:style w:type="paragraph" w:styleId="965" w:customStyle="1">
    <w:name w:val="Раздел"/>
    <w:basedOn w:val="745"/>
    <w:semiHidden/>
    <w:pPr>
      <w:numPr>
        <w:ilvl w:val="0"/>
        <w:numId w:val="10"/>
      </w:numPr>
      <w:ind w:left="720" w:hanging="720"/>
      <w:jc w:val="center"/>
      <w:spacing w:before="120" w:after="120"/>
      <w:tabs>
        <w:tab w:val="num" w:pos="1440" w:leader="none"/>
        <w:tab w:val="clear" w:pos="1492" w:leader="none"/>
      </w:tabs>
    </w:pPr>
    <w:rPr>
      <w:rFonts w:ascii="Arial Narrow" w:hAnsi="Arial Narrow"/>
      <w:b/>
      <w:sz w:val="28"/>
      <w:szCs w:val="20"/>
    </w:rPr>
  </w:style>
  <w:style w:type="paragraph" w:styleId="966" w:customStyle="1">
    <w:name w:val="Раздел 3"/>
    <w:basedOn w:val="745"/>
    <w:semiHidden/>
    <w:pPr>
      <w:numPr>
        <w:ilvl w:val="1"/>
        <w:numId w:val="11"/>
      </w:numPr>
      <w:ind w:left="360" w:hanging="360"/>
      <w:jc w:val="center"/>
      <w:spacing w:before="120" w:after="120"/>
      <w:tabs>
        <w:tab w:val="num" w:pos="360" w:leader="none"/>
        <w:tab w:val="clear" w:pos="1440" w:leader="none"/>
      </w:tabs>
    </w:pPr>
    <w:rPr>
      <w:b/>
      <w:szCs w:val="20"/>
    </w:rPr>
  </w:style>
  <w:style w:type="paragraph" w:styleId="967" w:customStyle="1">
    <w:name w:val="Условия контракта"/>
    <w:basedOn w:val="745"/>
    <w:semiHidden/>
    <w:pPr>
      <w:numPr>
        <w:ilvl w:val="0"/>
        <w:numId w:val="13"/>
      </w:numPr>
      <w:spacing w:before="240" w:after="120"/>
    </w:pPr>
    <w:rPr>
      <w:b/>
      <w:szCs w:val="20"/>
    </w:rPr>
  </w:style>
  <w:style w:type="paragraph" w:styleId="968" w:customStyle="1">
    <w:name w:val="Instruction"/>
    <w:basedOn w:val="956"/>
    <w:semiHidden/>
    <w:pPr>
      <w:numPr>
        <w:ilvl w:val="0"/>
        <w:numId w:val="12"/>
      </w:numPr>
      <w:spacing w:before="180"/>
    </w:pPr>
    <w:rPr>
      <w:b/>
    </w:rPr>
  </w:style>
  <w:style w:type="paragraph" w:styleId="969" w:customStyle="1">
    <w:name w:val="Обычный (веб);Обычный (Web);Обычный (веб)1;Обычный (Web)1"/>
    <w:basedOn w:val="745"/>
    <w:pPr>
      <w:spacing w:before="100" w:beforeAutospacing="1" w:after="100" w:afterAutospacing="1"/>
    </w:pPr>
  </w:style>
  <w:style w:type="character" w:styleId="970">
    <w:name w:val="page number"/>
    <w:rPr>
      <w:rFonts w:ascii="Times New Roman" w:hAnsi="Times New Roman"/>
    </w:rPr>
  </w:style>
  <w:style w:type="paragraph" w:styleId="971" w:customStyle="1">
    <w:name w:val="Стиль3"/>
    <w:basedOn w:val="948"/>
    <w:pPr>
      <w:ind w:left="1080"/>
      <w:spacing w:after="0" w:line="240" w:lineRule="auto"/>
      <w:widowControl w:val="off"/>
      <w:tabs>
        <w:tab w:val="num" w:pos="1307" w:leader="none"/>
      </w:tabs>
    </w:pPr>
    <w:rPr>
      <w:szCs w:val="20"/>
    </w:rPr>
  </w:style>
  <w:style w:type="paragraph" w:styleId="972" w:customStyle="1">
    <w:name w:val="содержание2-11"/>
    <w:basedOn w:val="745"/>
    <w:pPr>
      <w:spacing w:after="60"/>
    </w:pPr>
  </w:style>
  <w:style w:type="paragraph" w:styleId="973">
    <w:name w:val="List Bullet"/>
    <w:basedOn w:val="745"/>
    <w:pPr>
      <w:spacing w:after="60"/>
      <w:widowControl w:val="off"/>
    </w:pPr>
  </w:style>
  <w:style w:type="paragraph" w:styleId="974" w:customStyle="1">
    <w:name w:val="Тендерные данные"/>
    <w:basedOn w:val="745"/>
    <w:semiHidden/>
    <w:pPr>
      <w:spacing w:before="120" w:after="60"/>
      <w:tabs>
        <w:tab w:val="left" w:pos="1985" w:leader="none"/>
      </w:tabs>
    </w:pPr>
    <w:rPr>
      <w:b/>
      <w:szCs w:val="20"/>
    </w:rPr>
  </w:style>
  <w:style w:type="paragraph" w:styleId="975" w:customStyle="1">
    <w:name w:val="Заголовок 2 со списком"/>
    <w:basedOn w:val="747"/>
    <w:next w:val="745"/>
    <w:link w:val="976"/>
    <w:pPr>
      <w:numPr>
        <w:ilvl w:val="0"/>
        <w:numId w:val="14"/>
      </w:numPr>
      <w:spacing w:line="360" w:lineRule="auto"/>
    </w:pPr>
    <w:rPr>
      <w:b w:val="0"/>
    </w:rPr>
  </w:style>
  <w:style w:type="character" w:styleId="976" w:customStyle="1">
    <w:name w:val="Заголовок 2 со списком Знак"/>
    <w:link w:val="975"/>
    <w:rPr>
      <w:bCs/>
      <w:sz w:val="24"/>
      <w:szCs w:val="24"/>
      <w:lang w:val="en-US" w:eastAsia="en-US" w:bidi="ar-SA"/>
    </w:rPr>
  </w:style>
  <w:style w:type="paragraph" w:styleId="977" w:customStyle="1">
    <w:name w:val="Заголовок 3 со списком"/>
    <w:basedOn w:val="748"/>
    <w:link w:val="978"/>
    <w:pPr>
      <w:numPr>
        <w:ilvl w:val="1"/>
        <w:numId w:val="14"/>
      </w:numPr>
    </w:pPr>
  </w:style>
  <w:style w:type="character" w:styleId="978" w:customStyle="1">
    <w:name w:val="Заголовок 3 со списком Знак"/>
    <w:link w:val="977"/>
    <w:rPr>
      <w:rFonts w:ascii="Arial" w:hAnsi="Arial"/>
      <w:b/>
      <w:sz w:val="24"/>
      <w:lang w:val="en-US" w:eastAsia="en-US" w:bidi="ar-SA"/>
    </w:rPr>
  </w:style>
  <w:style w:type="character" w:styleId="979" w:customStyle="1">
    <w:name w:val="Нижний колонтитул Знак"/>
    <w:link w:val="784"/>
    <w:uiPriority w:val="99"/>
    <w:rPr>
      <w:sz w:val="24"/>
      <w:szCs w:val="24"/>
    </w:rPr>
  </w:style>
  <w:style w:type="character" w:styleId="980" w:customStyle="1">
    <w:name w:val="Верхний колонтитул Знак"/>
    <w:link w:val="782"/>
    <w:rPr>
      <w:sz w:val="24"/>
      <w:szCs w:val="24"/>
    </w:rPr>
  </w:style>
  <w:style w:type="paragraph" w:styleId="981">
    <w:name w:val="Body Text"/>
    <w:basedOn w:val="745"/>
    <w:link w:val="982"/>
    <w:pPr>
      <w:spacing w:after="120"/>
    </w:pPr>
    <w:rPr>
      <w:lang w:val="en-US" w:eastAsia="en-US"/>
    </w:rPr>
  </w:style>
  <w:style w:type="character" w:styleId="982" w:customStyle="1">
    <w:name w:val="Основной текст Знак"/>
    <w:link w:val="981"/>
    <w:rPr>
      <w:sz w:val="24"/>
      <w:szCs w:val="24"/>
    </w:rPr>
  </w:style>
  <w:style w:type="paragraph" w:styleId="983">
    <w:name w:val="Body Text 3"/>
    <w:basedOn w:val="745"/>
    <w:link w:val="984"/>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lang w:val="en-US" w:eastAsia="en-US"/>
    </w:rPr>
  </w:style>
  <w:style w:type="character" w:styleId="984" w:customStyle="1">
    <w:name w:val="Основной текст 3 Знак"/>
    <w:link w:val="983"/>
    <w:rPr>
      <w:b/>
      <w:i/>
      <w:sz w:val="22"/>
      <w:szCs w:val="24"/>
    </w:rPr>
  </w:style>
  <w:style w:type="character" w:styleId="985" w:customStyle="1">
    <w:name w:val="Основной шрифт"/>
    <w:semiHidden/>
  </w:style>
  <w:style w:type="paragraph" w:styleId="986" w:customStyle="1">
    <w:name w:val="текст таблицы"/>
    <w:basedOn w:val="745"/>
    <w:pPr>
      <w:ind w:right="-102"/>
      <w:spacing w:before="120"/>
    </w:pPr>
  </w:style>
  <w:style w:type="character" w:styleId="987">
    <w:name w:val="FollowedHyperlink"/>
    <w:rPr>
      <w:color w:val="800080"/>
      <w:u w:val="single"/>
    </w:rPr>
  </w:style>
  <w:style w:type="paragraph" w:styleId="988" w:customStyle="1">
    <w:name w:val="ТЛ_Заказчик"/>
    <w:basedOn w:val="745"/>
    <w:link w:val="989"/>
    <w:qFormat/>
    <w:pPr>
      <w:jc w:val="center"/>
    </w:pPr>
    <w:rPr>
      <w:sz w:val="28"/>
      <w:szCs w:val="28"/>
      <w:lang w:val="en-US" w:eastAsia="en-US"/>
    </w:rPr>
  </w:style>
  <w:style w:type="character" w:styleId="989" w:customStyle="1">
    <w:name w:val="ТЛ_Заказчик Знак"/>
    <w:link w:val="988"/>
    <w:rPr>
      <w:sz w:val="28"/>
      <w:szCs w:val="28"/>
    </w:rPr>
  </w:style>
  <w:style w:type="paragraph" w:styleId="990" w:customStyle="1">
    <w:name w:val="ТЛ_Утверждаю"/>
    <w:basedOn w:val="745"/>
    <w:link w:val="991"/>
    <w:qFormat/>
    <w:pPr>
      <w:ind w:left="4860"/>
      <w:jc w:val="center"/>
    </w:pPr>
    <w:rPr>
      <w:sz w:val="28"/>
      <w:szCs w:val="28"/>
      <w:lang w:val="en-US" w:eastAsia="en-US"/>
    </w:rPr>
  </w:style>
  <w:style w:type="character" w:styleId="991" w:customStyle="1">
    <w:name w:val="ТЛ_Утверждаю Знак"/>
    <w:link w:val="990"/>
    <w:rPr>
      <w:sz w:val="28"/>
      <w:szCs w:val="28"/>
    </w:rPr>
  </w:style>
  <w:style w:type="paragraph" w:styleId="992" w:customStyle="1">
    <w:name w:val="ТЛ_Название"/>
    <w:basedOn w:val="745"/>
    <w:link w:val="993"/>
    <w:qFormat/>
    <w:pPr>
      <w:jc w:val="center"/>
    </w:pPr>
    <w:rPr>
      <w:b/>
      <w:sz w:val="28"/>
      <w:szCs w:val="28"/>
      <w:lang w:val="en-US" w:eastAsia="en-US"/>
    </w:rPr>
  </w:style>
  <w:style w:type="character" w:styleId="993" w:customStyle="1">
    <w:name w:val="ТЛ_Название Знак"/>
    <w:link w:val="992"/>
    <w:rPr>
      <w:b/>
      <w:sz w:val="28"/>
      <w:szCs w:val="28"/>
    </w:rPr>
  </w:style>
  <w:style w:type="paragraph" w:styleId="994" w:customStyle="1">
    <w:name w:val="ТЛ_Город и Дата"/>
    <w:basedOn w:val="745"/>
    <w:link w:val="995"/>
    <w:qFormat/>
    <w:pPr>
      <w:jc w:val="center"/>
    </w:pPr>
    <w:rPr>
      <w:sz w:val="28"/>
      <w:szCs w:val="28"/>
      <w:lang w:val="en-US" w:eastAsia="en-US"/>
    </w:rPr>
  </w:style>
  <w:style w:type="character" w:styleId="995" w:customStyle="1">
    <w:name w:val="ТЛ_Город и Дата Знак"/>
    <w:link w:val="994"/>
    <w:rPr>
      <w:sz w:val="28"/>
      <w:szCs w:val="28"/>
    </w:rPr>
  </w:style>
  <w:style w:type="paragraph" w:styleId="996" w:customStyle="1">
    <w:name w:val="АД_Наименование Разделов"/>
    <w:basedOn w:val="932"/>
    <w:link w:val="997"/>
    <w:qFormat/>
    <w:rPr>
      <w:sz w:val="28"/>
    </w:rPr>
  </w:style>
  <w:style w:type="character" w:styleId="997" w:customStyle="1">
    <w:name w:val="АД_Наименование Разделов Знак"/>
    <w:link w:val="996"/>
    <w:rPr>
      <w:b/>
      <w:sz w:val="28"/>
    </w:rPr>
  </w:style>
  <w:style w:type="paragraph" w:styleId="998" w:customStyle="1">
    <w:name w:val="АД_Наименование главы с нумерацией"/>
    <w:basedOn w:val="975"/>
    <w:link w:val="1001"/>
    <w:qFormat/>
    <w:rPr>
      <w:b/>
    </w:rPr>
  </w:style>
  <w:style w:type="paragraph" w:styleId="999" w:customStyle="1">
    <w:name w:val="АД_Наименование главы без нумерации"/>
    <w:basedOn w:val="747"/>
    <w:link w:val="1000"/>
    <w:qFormat/>
  </w:style>
  <w:style w:type="character" w:styleId="1000" w:customStyle="1">
    <w:name w:val="АД_Наименование главы без нумерации Знак"/>
    <w:link w:val="999"/>
    <w:rPr>
      <w:b/>
      <w:bCs/>
      <w:sz w:val="24"/>
      <w:szCs w:val="24"/>
    </w:rPr>
  </w:style>
  <w:style w:type="character" w:styleId="1001" w:customStyle="1">
    <w:name w:val="АД_Глава Знак"/>
    <w:link w:val="998"/>
    <w:rPr>
      <w:bCs/>
      <w:sz w:val="24"/>
      <w:szCs w:val="24"/>
      <w:lang w:val="en-US" w:eastAsia="en-US" w:bidi="ar-SA"/>
    </w:rPr>
  </w:style>
  <w:style w:type="paragraph" w:styleId="1002" w:customStyle="1">
    <w:name w:val="АД_Нумерованный пункт"/>
    <w:basedOn w:val="977"/>
    <w:link w:val="1003"/>
    <w:qFormat/>
    <w:pPr>
      <w:ind w:left="720" w:hanging="720"/>
      <w:tabs>
        <w:tab w:val="num" w:pos="720" w:leader="none"/>
        <w:tab w:val="clear" w:pos="972" w:leader="none"/>
      </w:tabs>
    </w:pPr>
    <w:rPr>
      <w:rFonts w:ascii="Times New Roman" w:hAnsi="Times New Roman"/>
    </w:rPr>
  </w:style>
  <w:style w:type="character" w:styleId="1003" w:customStyle="1">
    <w:name w:val="АД_Нумерованный пункт Знак"/>
    <w:link w:val="1002"/>
    <w:rPr>
      <w:rFonts w:ascii="Arial" w:hAnsi="Arial"/>
      <w:b/>
      <w:sz w:val="24"/>
      <w:lang w:val="en-US" w:eastAsia="en-US" w:bidi="ar-SA"/>
    </w:rPr>
  </w:style>
  <w:style w:type="paragraph" w:styleId="1004" w:customStyle="1">
    <w:name w:val="АД_Нумерованный подпункт"/>
    <w:basedOn w:val="745"/>
    <w:link w:val="1005"/>
    <w:qFormat/>
    <w:pPr>
      <w:numPr>
        <w:ilvl w:val="2"/>
        <w:numId w:val="14"/>
      </w:numPr>
      <w:ind w:left="720" w:hanging="720"/>
      <w:tabs>
        <w:tab w:val="left" w:pos="720" w:leader="none"/>
        <w:tab w:val="clear" w:pos="1440" w:leader="none"/>
      </w:tabs>
    </w:pPr>
    <w:rPr>
      <w:lang w:val="en-US" w:eastAsia="en-US"/>
    </w:rPr>
  </w:style>
  <w:style w:type="character" w:styleId="1005" w:customStyle="1">
    <w:name w:val="АД_Нумерованный подпункт Знак"/>
    <w:link w:val="1004"/>
    <w:rPr>
      <w:sz w:val="24"/>
      <w:szCs w:val="24"/>
      <w:lang w:val="en-US" w:eastAsia="en-US" w:bidi="ar-SA"/>
    </w:rPr>
  </w:style>
  <w:style w:type="paragraph" w:styleId="1006" w:customStyle="1">
    <w:name w:val="АД_Основной текст"/>
    <w:basedOn w:val="745"/>
    <w:link w:val="1007"/>
    <w:qFormat/>
    <w:pPr>
      <w:ind w:firstLine="567"/>
    </w:pPr>
    <w:rPr>
      <w:lang w:val="en-US" w:eastAsia="en-US"/>
    </w:rPr>
  </w:style>
  <w:style w:type="character" w:styleId="1007" w:customStyle="1">
    <w:name w:val="АД_Основной текст Знак"/>
    <w:link w:val="1006"/>
    <w:rPr>
      <w:sz w:val="24"/>
      <w:szCs w:val="24"/>
    </w:rPr>
  </w:style>
  <w:style w:type="paragraph" w:styleId="1008" w:customStyle="1">
    <w:name w:val="Стиль АД_Список 1;2;3 + полужирный курсив"/>
    <w:basedOn w:val="745"/>
    <w:pPr>
      <w:numPr>
        <w:ilvl w:val="2"/>
        <w:numId w:val="15"/>
      </w:numPr>
      <w:tabs>
        <w:tab w:val="left" w:pos="720" w:leader="none"/>
      </w:tabs>
    </w:pPr>
    <w:rPr>
      <w:b/>
      <w:bCs/>
      <w:i/>
      <w:iCs/>
    </w:rPr>
  </w:style>
  <w:style w:type="paragraph" w:styleId="1009" w:customStyle="1">
    <w:name w:val="АД_Заголовки таблиц"/>
    <w:basedOn w:val="745"/>
    <w:qFormat/>
    <w:pPr>
      <w:jc w:val="center"/>
    </w:pPr>
    <w:rPr>
      <w:b/>
      <w:bCs/>
    </w:rPr>
  </w:style>
  <w:style w:type="paragraph" w:styleId="1010">
    <w:name w:val="Balloon Text"/>
    <w:basedOn w:val="745"/>
    <w:link w:val="1011"/>
    <w:rPr>
      <w:rFonts w:ascii="Tahoma" w:hAnsi="Tahoma"/>
      <w:sz w:val="16"/>
      <w:szCs w:val="16"/>
      <w:lang w:val="en-US" w:eastAsia="en-US"/>
    </w:rPr>
  </w:style>
  <w:style w:type="character" w:styleId="1011" w:customStyle="1">
    <w:name w:val="Текст выноски Знак"/>
    <w:link w:val="1010"/>
    <w:rPr>
      <w:rFonts w:ascii="Tahoma" w:hAnsi="Tahoma" w:cs="Tahoma"/>
      <w:sz w:val="16"/>
      <w:szCs w:val="16"/>
    </w:rPr>
  </w:style>
  <w:style w:type="paragraph" w:styleId="1012" w:customStyle="1">
    <w:name w:val="АД_Основной текст по центру полужирный"/>
    <w:basedOn w:val="745"/>
    <w:link w:val="1013"/>
    <w:qFormat/>
    <w:pPr>
      <w:ind w:firstLine="567"/>
      <w:jc w:val="center"/>
    </w:pPr>
    <w:rPr>
      <w:b/>
      <w:lang w:val="en-US" w:eastAsia="en-US"/>
    </w:rPr>
  </w:style>
  <w:style w:type="character" w:styleId="1013" w:customStyle="1">
    <w:name w:val="АД_Основной текст по центру полужирный Знак"/>
    <w:link w:val="1012"/>
    <w:rPr>
      <w:b/>
      <w:sz w:val="24"/>
      <w:szCs w:val="24"/>
    </w:rPr>
  </w:style>
  <w:style w:type="paragraph" w:styleId="1014" w:customStyle="1">
    <w:name w:val="АД_Текст отступ 3;25"/>
    <w:basedOn w:val="745"/>
    <w:link w:val="1015"/>
    <w:qFormat/>
    <w:pPr>
      <w:ind w:left="1418"/>
    </w:pPr>
    <w:rPr>
      <w:lang w:val="en-US" w:eastAsia="en-US"/>
    </w:rPr>
  </w:style>
  <w:style w:type="character" w:styleId="1015" w:customStyle="1">
    <w:name w:val="АД_Текст отступ 3 Знак;25 Знак"/>
    <w:link w:val="1014"/>
    <w:rPr>
      <w:sz w:val="24"/>
      <w:szCs w:val="24"/>
    </w:rPr>
  </w:style>
  <w:style w:type="paragraph" w:styleId="1016" w:customStyle="1">
    <w:name w:val="АД_Нумерованный подпункт 4 уровня"/>
    <w:basedOn w:val="1004"/>
    <w:link w:val="1017"/>
    <w:qFormat/>
    <w:pPr>
      <w:numPr>
        <w:ilvl w:val="3"/>
      </w:numPr>
      <w:ind w:left="993" w:hanging="993"/>
      <w:tabs>
        <w:tab w:val="clear" w:pos="720" w:leader="none"/>
        <w:tab w:val="num" w:pos="993" w:leader="none"/>
        <w:tab w:val="clear" w:pos="1800" w:leader="none"/>
      </w:tabs>
    </w:pPr>
  </w:style>
  <w:style w:type="character" w:styleId="1017" w:customStyle="1">
    <w:name w:val="АД_Нумерованный подпункт 4 уровня Знак"/>
    <w:link w:val="1016"/>
    <w:rPr>
      <w:sz w:val="24"/>
      <w:szCs w:val="24"/>
      <w:lang w:val="en-US" w:eastAsia="en-US" w:bidi="ar-SA"/>
    </w:rPr>
  </w:style>
  <w:style w:type="paragraph" w:styleId="1018" w:customStyle="1">
    <w:name w:val="АД_Список абв"/>
    <w:basedOn w:val="745"/>
    <w:pPr>
      <w:numPr>
        <w:ilvl w:val="0"/>
        <w:numId w:val="16"/>
      </w:numPr>
    </w:pPr>
  </w:style>
  <w:style w:type="paragraph" w:styleId="1019" w:customStyle="1">
    <w:name w:val="Normal1"/>
    <w:link w:val="1095"/>
    <w:pPr>
      <w:ind w:firstLine="720"/>
      <w:jc w:val="both"/>
      <w:spacing w:line="300" w:lineRule="auto"/>
      <w:widowControl w:val="off"/>
    </w:pPr>
    <w:rPr>
      <w:sz w:val="24"/>
    </w:rPr>
  </w:style>
  <w:style w:type="paragraph" w:styleId="1020">
    <w:name w:val="Block Text"/>
    <w:basedOn w:val="745"/>
    <w:pPr>
      <w:ind w:left="1440" w:right="1440"/>
      <w:spacing w:after="120"/>
    </w:pPr>
    <w:rPr>
      <w:szCs w:val="20"/>
    </w:rPr>
  </w:style>
  <w:style w:type="paragraph" w:styleId="1021" w:customStyle="1">
    <w:name w:val="Heading"/>
    <w:rPr>
      <w:rFonts w:ascii="Arial" w:hAnsi="Arial"/>
      <w:b/>
      <w:sz w:val="22"/>
    </w:rPr>
  </w:style>
  <w:style w:type="paragraph" w:styleId="1022" w:customStyle="1">
    <w:name w:val="WW-Основной текст с отступом 2"/>
    <w:basedOn w:val="745"/>
    <w:pPr>
      <w:ind w:left="-540"/>
    </w:pPr>
    <w:rPr>
      <w:rFonts w:ascii="Arial" w:hAnsi="Arial" w:cs="Arial"/>
      <w:sz w:val="18"/>
      <w:lang w:eastAsia="ar-SA"/>
    </w:rPr>
  </w:style>
  <w:style w:type="paragraph" w:styleId="1023" w:customStyle="1">
    <w:name w:val="WW-Основной текст с отступом 3"/>
    <w:basedOn w:val="745"/>
    <w:pPr>
      <w:ind w:left="-540"/>
    </w:pPr>
    <w:rPr>
      <w:rFonts w:ascii="Arial" w:hAnsi="Arial" w:cs="Arial"/>
      <w:sz w:val="17"/>
      <w:lang w:eastAsia="ar-SA"/>
    </w:rPr>
  </w:style>
  <w:style w:type="paragraph" w:styleId="1024" w:customStyle="1">
    <w:name w:val="Список нум."/>
    <w:basedOn w:val="745"/>
    <w:pPr>
      <w:numPr>
        <w:ilvl w:val="0"/>
        <w:numId w:val="17"/>
      </w:numPr>
      <w:jc w:val="left"/>
      <w:keepNext/>
      <w:spacing w:before="120" w:after="120" w:line="360" w:lineRule="auto"/>
      <w:tabs>
        <w:tab w:val="left" w:pos="1701" w:leader="none"/>
      </w:tabs>
    </w:pPr>
    <w:rPr>
      <w:rFonts w:ascii="Arial" w:hAnsi="Arial"/>
      <w:szCs w:val="20"/>
    </w:rPr>
  </w:style>
  <w:style w:type="paragraph" w:styleId="1025" w:customStyle="1">
    <w:name w:val="Заголовок 1 (раздел VI)"/>
    <w:basedOn w:val="932"/>
    <w:pPr>
      <w:ind w:left="643" w:right="567" w:firstLine="709"/>
      <w:keepLines/>
      <w:widowControl w:val="off"/>
      <w:tabs>
        <w:tab w:val="num" w:pos="643" w:leader="none"/>
      </w:tabs>
    </w:pPr>
    <w:rPr>
      <w:rFonts w:ascii="Arial" w:hAnsi="Arial" w:cs="Arial"/>
      <w:bCs/>
      <w:sz w:val="28"/>
      <w:szCs w:val="32"/>
    </w:rPr>
  </w:style>
  <w:style w:type="paragraph" w:styleId="1026" w:customStyle="1">
    <w:name w:val="FR1"/>
    <w:pPr>
      <w:ind w:left="40" w:firstLine="680"/>
      <w:jc w:val="both"/>
      <w:spacing w:before="200"/>
      <w:widowControl w:val="off"/>
    </w:pPr>
    <w:rPr>
      <w:rFonts w:ascii="Arial" w:hAnsi="Arial"/>
    </w:rPr>
  </w:style>
  <w:style w:type="paragraph" w:styleId="1027" w:customStyle="1">
    <w:name w:val="ConsPlusNormal"/>
    <w:link w:val="1154"/>
    <w:uiPriority w:val="99"/>
    <w:pPr>
      <w:ind w:firstLine="720"/>
      <w:widowControl w:val="off"/>
    </w:pPr>
    <w:rPr>
      <w:rFonts w:ascii="Arial" w:hAnsi="Arial" w:cs="Arial"/>
    </w:rPr>
  </w:style>
  <w:style w:type="paragraph" w:styleId="1028" w:customStyle="1">
    <w:name w:val="FR2"/>
    <w:pPr>
      <w:jc w:val="center"/>
      <w:spacing w:before="20"/>
      <w:widowControl w:val="off"/>
    </w:pPr>
    <w:rPr>
      <w:rFonts w:ascii="Arial" w:hAnsi="Arial"/>
      <w:sz w:val="24"/>
    </w:rPr>
  </w:style>
  <w:style w:type="paragraph" w:styleId="1029" w:customStyle="1">
    <w:name w:val="Знак"/>
    <w:basedOn w:val="745"/>
    <w:pPr>
      <w:spacing w:after="160" w:line="240" w:lineRule="exact"/>
    </w:pPr>
    <w:rPr>
      <w:rFonts w:ascii="Verdana" w:hAnsi="Verdana"/>
      <w:sz w:val="22"/>
      <w:szCs w:val="20"/>
      <w:lang w:val="en-US" w:eastAsia="en-US"/>
    </w:rPr>
  </w:style>
  <w:style w:type="paragraph" w:styleId="1030" w:customStyle="1">
    <w:name w:val="Текст сноски;Footnote Text Char Знак Знак;Footnote Text Char Знак;Footnote Text Char Знак Знак Знак Знак"/>
    <w:basedOn w:val="745"/>
    <w:link w:val="1064"/>
    <w:semiHidden/>
    <w:pPr>
      <w:jc w:val="left"/>
    </w:pPr>
    <w:rPr>
      <w:sz w:val="20"/>
      <w:szCs w:val="20"/>
    </w:rPr>
  </w:style>
  <w:style w:type="paragraph" w:styleId="1031" w:customStyle="1">
    <w:name w:val="Стиль3 Знак Знак"/>
    <w:basedOn w:val="948"/>
    <w:link w:val="1125"/>
    <w:pPr>
      <w:ind w:left="0"/>
      <w:spacing w:after="0" w:line="240" w:lineRule="auto"/>
      <w:widowControl w:val="off"/>
      <w:tabs>
        <w:tab w:val="num" w:pos="227" w:leader="none"/>
      </w:tabs>
    </w:pPr>
    <w:rPr>
      <w:szCs w:val="20"/>
      <w:lang w:val="ru-RU" w:eastAsia="ru-RU"/>
    </w:rPr>
  </w:style>
  <w:style w:type="character" w:styleId="1032" w:customStyle="1">
    <w:name w:val="Заголовок 3 Знак"/>
    <w:rPr>
      <w:rFonts w:ascii="Arial" w:hAnsi="Arial" w:cs="Arial"/>
      <w:b/>
      <w:bCs/>
      <w:sz w:val="26"/>
      <w:szCs w:val="26"/>
      <w:lang w:val="ru-RU" w:eastAsia="ru-RU" w:bidi="ar-SA"/>
    </w:rPr>
  </w:style>
  <w:style w:type="paragraph" w:styleId="1033" w:customStyle="1">
    <w:name w:val="03zagolovok2"/>
    <w:basedOn w:val="745"/>
    <w:pPr>
      <w:jc w:val="left"/>
      <w:keepNext/>
      <w:spacing w:before="360" w:after="120" w:line="360" w:lineRule="atLeast"/>
      <w:outlineLvl w:val="1"/>
    </w:pPr>
    <w:rPr>
      <w:rFonts w:ascii="GaramondC" w:hAnsi="GaramondC"/>
      <w:b/>
      <w:color w:val="000000"/>
      <w:sz w:val="28"/>
      <w:szCs w:val="28"/>
    </w:rPr>
  </w:style>
  <w:style w:type="paragraph" w:styleId="1034" w:customStyle="1">
    <w:name w:val="текст"/>
    <w:pPr>
      <w:jc w:val="both"/>
    </w:pPr>
    <w:rPr>
      <w:rFonts w:ascii="SchoolBookC" w:hAnsi="SchoolBookC"/>
      <w:color w:val="000000"/>
      <w:sz w:val="24"/>
    </w:rPr>
  </w:style>
  <w:style w:type="paragraph" w:styleId="1035" w:customStyle="1">
    <w:name w:val="втяжка"/>
    <w:basedOn w:val="1036"/>
    <w:next w:val="1036"/>
    <w:pPr>
      <w:ind w:left="567" w:hanging="567"/>
      <w:spacing w:before="57"/>
      <w:tabs>
        <w:tab w:val="left" w:pos="567" w:leader="none"/>
      </w:tabs>
    </w:pPr>
  </w:style>
  <w:style w:type="paragraph" w:styleId="1036" w:customStyle="1">
    <w:name w:val="текст1"/>
    <w:pPr>
      <w:ind w:firstLine="397"/>
      <w:jc w:val="both"/>
    </w:pPr>
    <w:rPr>
      <w:rFonts w:ascii="SchoolBookC" w:hAnsi="SchoolBookC"/>
      <w:sz w:val="24"/>
    </w:rPr>
  </w:style>
  <w:style w:type="paragraph" w:styleId="1037" w:customStyle="1">
    <w:name w:val="Знак Знак2 Char Char Знак Знак Char Char Знак Знак Char Char Знак Знак Char Char Знак Знак Char Char Знак Знак Char Char Знак Знак Char Char Знак Знак Char Char"/>
    <w:basedOn w:val="745"/>
    <w:pPr>
      <w:jc w:val="left"/>
      <w:spacing w:before="100" w:beforeAutospacing="1" w:after="100" w:afterAutospacing="1"/>
    </w:pPr>
    <w:rPr>
      <w:rFonts w:ascii="Tahoma" w:hAnsi="Tahoma"/>
      <w:sz w:val="20"/>
      <w:szCs w:val="20"/>
      <w:lang w:val="en-US" w:eastAsia="en-US"/>
    </w:rPr>
  </w:style>
  <w:style w:type="paragraph" w:styleId="1038" w:customStyle="1">
    <w:name w:val="Знак Знак2 Char Char Знак Знак Char Char Знак Знак Char Char Знак Знак Char Char Знак Знак Char Char Знак Знак Char Char Знак Знак Char Char Знак Знак Char Char"/>
    <w:basedOn w:val="745"/>
    <w:pPr>
      <w:jc w:val="left"/>
      <w:spacing w:before="100" w:beforeAutospacing="1" w:after="100" w:afterAutospacing="1"/>
    </w:pPr>
    <w:rPr>
      <w:rFonts w:ascii="Tahoma" w:hAnsi="Tahoma"/>
      <w:sz w:val="20"/>
      <w:szCs w:val="20"/>
      <w:lang w:val="en-US" w:eastAsia="en-US"/>
    </w:rPr>
  </w:style>
  <w:style w:type="paragraph" w:styleId="1039" w:customStyle="1">
    <w:name w:val="Char Char"/>
    <w:basedOn w:val="745"/>
    <w:pPr>
      <w:jc w:val="left"/>
      <w:spacing w:before="100" w:beforeAutospacing="1" w:after="100" w:afterAutospacing="1"/>
    </w:pPr>
    <w:rPr>
      <w:rFonts w:ascii="Tahoma" w:hAnsi="Tahoma"/>
      <w:sz w:val="20"/>
      <w:szCs w:val="20"/>
      <w:lang w:val="en-US" w:eastAsia="en-US"/>
    </w:rPr>
  </w:style>
  <w:style w:type="paragraph" w:styleId="1040" w:customStyle="1">
    <w:name w:val="FR3"/>
    <w:pPr>
      <w:spacing w:before="260"/>
      <w:widowControl w:val="off"/>
    </w:pPr>
    <w:rPr>
      <w:sz w:val="16"/>
    </w:rPr>
  </w:style>
  <w:style w:type="paragraph" w:styleId="1041" w:customStyle="1">
    <w:name w:val="Готовый"/>
    <w:basedOn w:val="745"/>
    <w:pPr>
      <w:jc w:val="left"/>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szCs w:val="20"/>
    </w:rPr>
  </w:style>
  <w:style w:type="character" w:styleId="1042" w:customStyle="1">
    <w:name w:val="Font Style24"/>
    <w:rPr>
      <w:rFonts w:ascii="Times New Roman" w:hAnsi="Times New Roman" w:cs="Times New Roman"/>
      <w:spacing w:val="10"/>
      <w:sz w:val="20"/>
      <w:szCs w:val="20"/>
    </w:rPr>
  </w:style>
  <w:style w:type="paragraph" w:styleId="1043" w:customStyle="1">
    <w:name w:val="Style16"/>
    <w:basedOn w:val="745"/>
    <w:pPr>
      <w:ind w:firstLine="542"/>
      <w:spacing w:line="272" w:lineRule="exact"/>
      <w:widowControl w:val="off"/>
    </w:pPr>
  </w:style>
  <w:style w:type="paragraph" w:styleId="1044" w:customStyle="1">
    <w:name w:val="Style6"/>
    <w:basedOn w:val="745"/>
    <w:pPr>
      <w:jc w:val="left"/>
      <w:spacing w:line="283" w:lineRule="exact"/>
      <w:widowControl w:val="off"/>
    </w:pPr>
  </w:style>
  <w:style w:type="paragraph" w:styleId="1045" w:customStyle="1">
    <w:name w:val="Style9"/>
    <w:basedOn w:val="745"/>
    <w:pPr>
      <w:ind w:firstLine="185"/>
      <w:jc w:val="left"/>
      <w:spacing w:line="295" w:lineRule="exact"/>
      <w:widowControl w:val="off"/>
    </w:pPr>
  </w:style>
  <w:style w:type="paragraph" w:styleId="1046" w:customStyle="1">
    <w:name w:val="Style10"/>
    <w:basedOn w:val="745"/>
    <w:pPr>
      <w:widowControl w:val="off"/>
    </w:pPr>
  </w:style>
  <w:style w:type="paragraph" w:styleId="1047" w:customStyle="1">
    <w:name w:val="Style11"/>
    <w:basedOn w:val="745"/>
    <w:pPr>
      <w:spacing w:line="274" w:lineRule="exact"/>
      <w:widowControl w:val="off"/>
    </w:pPr>
  </w:style>
  <w:style w:type="character" w:styleId="1048" w:customStyle="1">
    <w:name w:val="Font Style22"/>
    <w:rPr>
      <w:rFonts w:ascii="Times New Roman" w:hAnsi="Times New Roman" w:cs="Times New Roman"/>
      <w:b/>
      <w:bCs/>
      <w:spacing w:val="10"/>
      <w:sz w:val="20"/>
      <w:szCs w:val="20"/>
    </w:rPr>
  </w:style>
  <w:style w:type="paragraph" w:styleId="1049" w:customStyle="1">
    <w:name w:val="Style1"/>
    <w:basedOn w:val="745"/>
    <w:pPr>
      <w:jc w:val="left"/>
      <w:widowControl w:val="off"/>
    </w:pPr>
  </w:style>
  <w:style w:type="paragraph" w:styleId="1050" w:customStyle="1">
    <w:name w:val="Style2"/>
    <w:basedOn w:val="745"/>
    <w:pPr>
      <w:ind w:hanging="362"/>
      <w:jc w:val="left"/>
      <w:spacing w:line="271" w:lineRule="exact"/>
      <w:widowControl w:val="off"/>
    </w:pPr>
  </w:style>
  <w:style w:type="paragraph" w:styleId="1051" w:customStyle="1">
    <w:name w:val="Style8"/>
    <w:basedOn w:val="745"/>
    <w:pPr>
      <w:spacing w:line="413" w:lineRule="exact"/>
      <w:widowControl w:val="off"/>
    </w:pPr>
  </w:style>
  <w:style w:type="paragraph" w:styleId="1052" w:customStyle="1">
    <w:name w:val="Style13"/>
    <w:basedOn w:val="745"/>
    <w:pPr>
      <w:ind w:firstLine="259"/>
      <w:jc w:val="left"/>
      <w:spacing w:line="401" w:lineRule="exact"/>
      <w:widowControl w:val="off"/>
    </w:pPr>
  </w:style>
  <w:style w:type="paragraph" w:styleId="1053" w:customStyle="1">
    <w:name w:val="Style15"/>
    <w:basedOn w:val="745"/>
    <w:pPr>
      <w:ind w:firstLine="122"/>
      <w:jc w:val="left"/>
      <w:spacing w:line="398" w:lineRule="exact"/>
      <w:widowControl w:val="off"/>
    </w:pPr>
  </w:style>
  <w:style w:type="paragraph" w:styleId="1054" w:customStyle="1">
    <w:name w:val="Style17"/>
    <w:basedOn w:val="745"/>
    <w:pPr>
      <w:ind w:firstLine="1042"/>
      <w:jc w:val="left"/>
      <w:spacing w:line="413" w:lineRule="exact"/>
      <w:widowControl w:val="off"/>
    </w:pPr>
  </w:style>
  <w:style w:type="character" w:styleId="1055" w:customStyle="1">
    <w:name w:val="Font Style23"/>
    <w:rPr>
      <w:rFonts w:ascii="Times New Roman" w:hAnsi="Times New Roman" w:cs="Times New Roman"/>
      <w:b/>
      <w:bCs/>
      <w:i/>
      <w:iCs/>
      <w:sz w:val="20"/>
      <w:szCs w:val="20"/>
    </w:rPr>
  </w:style>
  <w:style w:type="character" w:styleId="1056" w:customStyle="1">
    <w:name w:val="Font Style25"/>
    <w:rPr>
      <w:rFonts w:ascii="Times New Roman" w:hAnsi="Times New Roman" w:cs="Times New Roman"/>
      <w:b/>
      <w:bCs/>
      <w:sz w:val="26"/>
      <w:szCs w:val="26"/>
    </w:rPr>
  </w:style>
  <w:style w:type="character" w:styleId="1057" w:customStyle="1">
    <w:name w:val="Font Style26"/>
    <w:rPr>
      <w:rFonts w:ascii="Times New Roman" w:hAnsi="Times New Roman" w:cs="Times New Roman"/>
      <w:sz w:val="24"/>
      <w:szCs w:val="24"/>
    </w:rPr>
  </w:style>
  <w:style w:type="paragraph" w:styleId="1058" w:customStyle="1">
    <w:name w:val="Знак Знак Знак2 Знак"/>
    <w:basedOn w:val="745"/>
    <w:pPr>
      <w:jc w:val="right"/>
      <w:spacing w:after="160" w:line="240" w:lineRule="exact"/>
      <w:widowControl w:val="off"/>
    </w:pPr>
    <w:rPr>
      <w:sz w:val="20"/>
      <w:szCs w:val="20"/>
      <w:lang w:val="en-GB" w:eastAsia="en-US"/>
    </w:rPr>
  </w:style>
  <w:style w:type="paragraph" w:styleId="1059" w:customStyle="1">
    <w:name w:val="Стиль"/>
    <w:pPr>
      <w:widowControl w:val="off"/>
    </w:pPr>
    <w:rPr>
      <w:sz w:val="24"/>
      <w:szCs w:val="24"/>
    </w:rPr>
  </w:style>
  <w:style w:type="paragraph" w:styleId="1060" w:customStyle="1">
    <w:name w:val="Normal1"/>
    <w:pPr>
      <w:jc w:val="both"/>
      <w:spacing w:line="360" w:lineRule="auto"/>
      <w:widowControl w:val="off"/>
    </w:pPr>
    <w:rPr>
      <w:sz w:val="28"/>
    </w:rPr>
  </w:style>
  <w:style w:type="paragraph" w:styleId="1061" w:customStyle="1">
    <w:name w:val="ConsPlusNonformat"/>
    <w:uiPriority w:val="99"/>
    <w:rPr>
      <w:rFonts w:ascii="Courier New" w:hAnsi="Courier New" w:cs="Courier New"/>
    </w:rPr>
  </w:style>
  <w:style w:type="paragraph" w:styleId="1062" w:customStyle="1">
    <w:name w:val="Обычный1"/>
    <w:pPr>
      <w:ind w:firstLine="720"/>
      <w:jc w:val="both"/>
      <w:spacing w:line="300" w:lineRule="auto"/>
      <w:widowControl w:val="off"/>
    </w:pPr>
    <w:rPr>
      <w:sz w:val="24"/>
    </w:rPr>
  </w:style>
  <w:style w:type="paragraph" w:styleId="1063" w:customStyle="1">
    <w:name w:val="Знак"/>
    <w:basedOn w:val="745"/>
    <w:pPr>
      <w:spacing w:after="160" w:line="240" w:lineRule="exact"/>
    </w:pPr>
    <w:rPr>
      <w:rFonts w:ascii="Verdana" w:hAnsi="Verdana"/>
      <w:sz w:val="22"/>
      <w:szCs w:val="20"/>
      <w:lang w:val="en-US" w:eastAsia="en-US"/>
    </w:rPr>
  </w:style>
  <w:style w:type="character" w:styleId="1064" w:customStyle="1">
    <w:name w:val="Текст сноски Знак;Footnote Text Char Знак Знак Знак1;Footnote Text Char Знак Знак2;Footnote Text Char Знак Знак Знак Знак Знак"/>
    <w:basedOn w:val="755"/>
    <w:link w:val="1030"/>
    <w:semiHidden/>
  </w:style>
  <w:style w:type="character" w:styleId="1065" w:customStyle="1">
    <w:name w:val="Название Знак1"/>
    <w:link w:val="774"/>
    <w:rPr>
      <w:bCs/>
      <w:color w:val="000000"/>
      <w:spacing w:val="13"/>
      <w:sz w:val="24"/>
      <w:szCs w:val="22"/>
      <w:shd w:val="clear" w:color="auto" w:fill="ffffff"/>
    </w:rPr>
  </w:style>
  <w:style w:type="paragraph" w:styleId="1066" w:customStyle="1">
    <w:name w:val="Char Char"/>
    <w:basedOn w:val="745"/>
    <w:pPr>
      <w:jc w:val="left"/>
      <w:spacing w:before="100" w:beforeAutospacing="1" w:after="100" w:afterAutospacing="1"/>
    </w:pPr>
    <w:rPr>
      <w:rFonts w:ascii="Tahoma" w:hAnsi="Tahoma"/>
      <w:sz w:val="20"/>
      <w:szCs w:val="20"/>
      <w:lang w:val="en-US" w:eastAsia="en-US"/>
    </w:rPr>
  </w:style>
  <w:style w:type="paragraph" w:styleId="1067" w:customStyle="1">
    <w:name w:val="Знак Знак Знак2 Знак"/>
    <w:basedOn w:val="745"/>
    <w:uiPriority w:val="99"/>
    <w:pPr>
      <w:jc w:val="right"/>
      <w:spacing w:after="160" w:line="240" w:lineRule="exact"/>
      <w:widowControl w:val="off"/>
    </w:pPr>
    <w:rPr>
      <w:sz w:val="20"/>
      <w:szCs w:val="20"/>
      <w:lang w:val="en-GB" w:eastAsia="en-US"/>
    </w:rPr>
  </w:style>
  <w:style w:type="paragraph" w:styleId="1068" w:customStyle="1">
    <w:name w:val="List21"/>
    <w:basedOn w:val="745"/>
    <w:pPr>
      <w:spacing w:line="360" w:lineRule="auto"/>
      <w:tabs>
        <w:tab w:val="left" w:pos="1701" w:leader="none"/>
      </w:tabs>
    </w:pPr>
    <w:rPr>
      <w:szCs w:val="20"/>
    </w:rPr>
  </w:style>
  <w:style w:type="paragraph" w:styleId="1069" w:customStyle="1">
    <w:name w:val="ConsTitle"/>
    <w:rPr>
      <w:rFonts w:ascii="Arial" w:hAnsi="Arial" w:cs="Arial"/>
      <w:b/>
      <w:bCs/>
      <w:sz w:val="16"/>
      <w:szCs w:val="16"/>
    </w:rPr>
  </w:style>
  <w:style w:type="paragraph" w:styleId="1070" w:customStyle="1">
    <w:name w:val="Контракт-пункт"/>
    <w:basedOn w:val="745"/>
    <w:pPr>
      <w:numPr>
        <w:ilvl w:val="1"/>
        <w:numId w:val="5"/>
      </w:numPr>
    </w:pPr>
  </w:style>
  <w:style w:type="character" w:styleId="1071" w:customStyle="1">
    <w:name w:val="Контракт-раздел Знак Знак"/>
    <w:rPr>
      <w:b/>
      <w:bCs/>
      <w:caps/>
      <w:smallCaps/>
      <w:sz w:val="24"/>
      <w:szCs w:val="24"/>
      <w:lang w:val="ru-RU" w:eastAsia="ru-RU" w:bidi="ar-SA"/>
    </w:rPr>
  </w:style>
  <w:style w:type="paragraph" w:styleId="1072">
    <w:name w:val="annotation text"/>
    <w:basedOn w:val="745"/>
    <w:link w:val="1073"/>
    <w:pPr>
      <w:jc w:val="left"/>
    </w:pPr>
    <w:rPr>
      <w:sz w:val="20"/>
      <w:szCs w:val="20"/>
    </w:rPr>
  </w:style>
  <w:style w:type="character" w:styleId="1073" w:customStyle="1">
    <w:name w:val="Текст примечания Знак"/>
    <w:basedOn w:val="755"/>
    <w:link w:val="1072"/>
  </w:style>
  <w:style w:type="paragraph" w:styleId="1074">
    <w:name w:val="annotation subject"/>
    <w:basedOn w:val="1072"/>
    <w:next w:val="1072"/>
    <w:link w:val="1075"/>
    <w:pPr>
      <w:jc w:val="both"/>
      <w:spacing w:line="360" w:lineRule="auto"/>
    </w:pPr>
    <w:rPr>
      <w:b/>
      <w:bCs/>
      <w:lang w:val="en-US" w:eastAsia="en-US"/>
    </w:rPr>
  </w:style>
  <w:style w:type="character" w:styleId="1075" w:customStyle="1">
    <w:name w:val="Тема примечания Знак"/>
    <w:link w:val="1074"/>
    <w:rPr>
      <w:b/>
      <w:bCs/>
    </w:rPr>
  </w:style>
  <w:style w:type="paragraph" w:styleId="1076" w:customStyle="1">
    <w:name w:val="Контракт-раздел"/>
    <w:basedOn w:val="745"/>
    <w:next w:val="745"/>
    <w:pPr>
      <w:jc w:val="center"/>
      <w:keepNext/>
      <w:spacing w:before="360" w:after="120"/>
      <w:tabs>
        <w:tab w:val="left" w:pos="540" w:leader="none"/>
      </w:tabs>
      <w:outlineLvl w:val="3"/>
    </w:pPr>
    <w:rPr>
      <w:b/>
      <w:bCs/>
      <w:caps/>
      <w:smallCaps/>
    </w:rPr>
  </w:style>
  <w:style w:type="paragraph" w:styleId="1077" w:customStyle="1">
    <w:name w:val="ConsPlusTitle"/>
    <w:uiPriority w:val="99"/>
    <w:rPr>
      <w:b/>
      <w:bCs/>
      <w:sz w:val="22"/>
      <w:szCs w:val="22"/>
    </w:rPr>
  </w:style>
  <w:style w:type="paragraph" w:styleId="1078" w:customStyle="1">
    <w:name w:val="Знак Знак Знак"/>
    <w:basedOn w:val="745"/>
    <w:pPr>
      <w:jc w:val="left"/>
      <w:spacing w:before="100" w:beforeAutospacing="1" w:after="100" w:afterAutospacing="1"/>
    </w:pPr>
    <w:rPr>
      <w:rFonts w:ascii="Tahoma" w:hAnsi="Tahoma"/>
      <w:sz w:val="20"/>
      <w:szCs w:val="20"/>
      <w:lang w:val="en-US" w:eastAsia="en-US"/>
    </w:rPr>
  </w:style>
  <w:style w:type="paragraph" w:styleId="1079" w:customStyle="1">
    <w:name w:val="Head 9.2"/>
    <w:basedOn w:val="745"/>
    <w:next w:val="745"/>
    <w:pPr>
      <w:jc w:val="center"/>
    </w:pPr>
    <w:rPr>
      <w:b/>
      <w:bCs/>
    </w:rPr>
  </w:style>
  <w:style w:type="paragraph" w:styleId="1080" w:customStyle="1">
    <w:name w:val="Head 9.1"/>
    <w:basedOn w:val="745"/>
    <w:next w:val="745"/>
    <w:pPr>
      <w:jc w:val="center"/>
      <w:keepNext/>
    </w:pPr>
    <w:rPr>
      <w:b/>
      <w:lang w:eastAsia="en-US"/>
    </w:rPr>
  </w:style>
  <w:style w:type="paragraph" w:styleId="1081" w:customStyle="1">
    <w:name w:val="stylebodytextjustifiedbefore5ptafter5ptkernat1"/>
    <w:basedOn w:val="745"/>
    <w:pPr>
      <w:numPr>
        <w:ilvl w:val="0"/>
        <w:numId w:val="18"/>
      </w:numPr>
      <w:spacing w:before="100" w:after="100"/>
    </w:pPr>
  </w:style>
  <w:style w:type="paragraph" w:styleId="1082">
    <w:name w:val="List 5"/>
    <w:basedOn w:val="745"/>
    <w:pPr>
      <w:contextualSpacing/>
      <w:ind w:left="1415" w:hanging="283"/>
    </w:pPr>
  </w:style>
  <w:style w:type="paragraph" w:styleId="1083" w:customStyle="1">
    <w:name w:val="_Абзац"/>
    <w:basedOn w:val="745"/>
    <w:pPr>
      <w:numPr>
        <w:ilvl w:val="4"/>
        <w:numId w:val="19"/>
      </w:numPr>
      <w:ind w:right="284"/>
      <w:spacing w:line="360" w:lineRule="auto"/>
      <w:outlineLvl w:val="4"/>
    </w:pPr>
    <w:rPr>
      <w:rFonts w:ascii="Arial" w:hAnsi="Arial" w:cs="Arial"/>
      <w:sz w:val="20"/>
      <w:szCs w:val="20"/>
    </w:rPr>
  </w:style>
  <w:style w:type="paragraph" w:styleId="1084" w:customStyle="1">
    <w:name w:val="_Подпункт"/>
    <w:basedOn w:val="745"/>
    <w:pPr>
      <w:numPr>
        <w:ilvl w:val="3"/>
        <w:numId w:val="19"/>
      </w:numPr>
      <w:ind w:right="284" w:firstLine="0"/>
      <w:spacing w:before="60" w:line="360" w:lineRule="auto"/>
      <w:outlineLvl w:val="3"/>
    </w:pPr>
    <w:rPr>
      <w:rFonts w:ascii="Arial" w:hAnsi="Arial" w:cs="Arial"/>
      <w:sz w:val="20"/>
      <w:szCs w:val="20"/>
    </w:rPr>
  </w:style>
  <w:style w:type="paragraph" w:styleId="1085" w:customStyle="1">
    <w:name w:val="_Подраздел"/>
    <w:basedOn w:val="745"/>
    <w:next w:val="745"/>
    <w:pPr>
      <w:numPr>
        <w:ilvl w:val="1"/>
        <w:numId w:val="19"/>
      </w:numPr>
      <w:ind w:right="284" w:firstLine="0"/>
      <w:keepNext/>
      <w:spacing w:before="120" w:after="120" w:line="360" w:lineRule="auto"/>
      <w:outlineLvl w:val="1"/>
    </w:pPr>
    <w:rPr>
      <w:rFonts w:ascii="Arial" w:hAnsi="Arial" w:cs="Arial"/>
      <w:sz w:val="20"/>
      <w:szCs w:val="20"/>
    </w:rPr>
  </w:style>
  <w:style w:type="paragraph" w:styleId="1086" w:customStyle="1">
    <w:name w:val="_Пункт"/>
    <w:basedOn w:val="1085"/>
    <w:next w:val="745"/>
    <w:pPr>
      <w:numPr>
        <w:ilvl w:val="2"/>
      </w:numPr>
      <w:ind w:firstLine="0"/>
      <w:outlineLvl w:val="2"/>
    </w:pPr>
  </w:style>
  <w:style w:type="paragraph" w:styleId="1087" w:customStyle="1">
    <w:name w:val="_Раздел"/>
    <w:basedOn w:val="745"/>
    <w:next w:val="1085"/>
    <w:pPr>
      <w:numPr>
        <w:ilvl w:val="0"/>
        <w:numId w:val="19"/>
      </w:numPr>
      <w:ind w:right="284"/>
      <w:jc w:val="left"/>
      <w:keepNext/>
      <w:pageBreakBefore/>
      <w:spacing w:before="120" w:after="120"/>
      <w:outlineLvl w:val="0"/>
    </w:pPr>
    <w:rPr>
      <w:rFonts w:ascii="Arial" w:hAnsi="Arial" w:cs="Arial"/>
      <w:sz w:val="28"/>
      <w:szCs w:val="20"/>
    </w:rPr>
  </w:style>
  <w:style w:type="paragraph" w:styleId="1088" w:customStyle="1">
    <w:name w:val="Нормальный"/>
    <w:pPr>
      <w:widowControl w:val="off"/>
    </w:pPr>
  </w:style>
  <w:style w:type="paragraph" w:styleId="1089" w:customStyle="1">
    <w:name w:val="ТТ список 1"/>
    <w:basedOn w:val="745"/>
    <w:pPr>
      <w:numPr>
        <w:ilvl w:val="0"/>
        <w:numId w:val="20"/>
      </w:numPr>
      <w:jc w:val="left"/>
      <w:keepLines/>
      <w:keepNext/>
      <w:spacing w:before="240" w:after="120"/>
    </w:pPr>
    <w:rPr>
      <w:b/>
      <w:szCs w:val="20"/>
    </w:rPr>
  </w:style>
  <w:style w:type="paragraph" w:styleId="1090" w:customStyle="1">
    <w:name w:val="ТТ список 2"/>
    <w:basedOn w:val="745"/>
    <w:pPr>
      <w:numPr>
        <w:ilvl w:val="1"/>
        <w:numId w:val="20"/>
      </w:numPr>
      <w:jc w:val="left"/>
      <w:keepLines/>
      <w:keepNext/>
      <w:spacing w:before="120" w:after="60"/>
    </w:pPr>
    <w:rPr>
      <w:b/>
      <w:i/>
    </w:rPr>
  </w:style>
  <w:style w:type="paragraph" w:styleId="1091" w:customStyle="1">
    <w:name w:val="ТТ список 3"/>
    <w:basedOn w:val="745"/>
    <w:pPr>
      <w:numPr>
        <w:ilvl w:val="2"/>
        <w:numId w:val="21"/>
      </w:numPr>
      <w:keepLines/>
      <w:spacing w:before="60"/>
    </w:pPr>
  </w:style>
  <w:style w:type="paragraph" w:styleId="1092" w:customStyle="1">
    <w:name w:val="ТТ список 4"/>
    <w:basedOn w:val="1091"/>
    <w:pPr>
      <w:numPr>
        <w:ilvl w:val="3"/>
        <w:numId w:val="20"/>
      </w:numPr>
      <w:ind w:right="141"/>
      <w:keepLines w:val="0"/>
    </w:pPr>
  </w:style>
  <w:style w:type="paragraph" w:styleId="1093" w:customStyle="1">
    <w:name w:val="ConsNonformat"/>
    <w:rPr>
      <w:rFonts w:ascii="Courier New" w:hAnsi="Courier New" w:cs="Courier New"/>
    </w:rPr>
  </w:style>
  <w:style w:type="paragraph" w:styleId="1094" w:customStyle="1">
    <w:name w:val="Знак Знак Знак"/>
    <w:basedOn w:val="745"/>
    <w:pPr>
      <w:jc w:val="left"/>
      <w:spacing w:before="100" w:beforeAutospacing="1" w:after="100" w:afterAutospacing="1"/>
    </w:pPr>
    <w:rPr>
      <w:rFonts w:ascii="Tahoma" w:hAnsi="Tahoma"/>
      <w:sz w:val="20"/>
      <w:szCs w:val="20"/>
      <w:lang w:val="en-US" w:eastAsia="en-US"/>
    </w:rPr>
  </w:style>
  <w:style w:type="character" w:styleId="1095" w:customStyle="1">
    <w:name w:val="Normal Знак"/>
    <w:link w:val="1019"/>
    <w:rPr>
      <w:sz w:val="24"/>
      <w:lang w:val="ru-RU" w:eastAsia="ru-RU" w:bidi="ar-SA"/>
    </w:rPr>
  </w:style>
  <w:style w:type="paragraph" w:styleId="1096" w:customStyle="1">
    <w:name w:val="Знак1 Знак Знак Знак Знак Знак Знак Знак Знак Знак"/>
    <w:basedOn w:val="745"/>
    <w:next w:val="747"/>
    <w:pPr>
      <w:jc w:val="left"/>
      <w:spacing w:after="160" w:line="240" w:lineRule="exact"/>
    </w:pPr>
    <w:rPr>
      <w:szCs w:val="20"/>
      <w:lang w:val="en-US" w:eastAsia="en-US"/>
    </w:rPr>
  </w:style>
  <w:style w:type="paragraph" w:styleId="1097" w:customStyle="1">
    <w:name w:val="Îáû÷íûé"/>
  </w:style>
  <w:style w:type="paragraph" w:styleId="1098" w:customStyle="1">
    <w:name w:val="СТИЛЬ 1"/>
    <w:pPr>
      <w:numPr>
        <w:ilvl w:val="0"/>
        <w:numId w:val="22"/>
      </w:numPr>
      <w:jc w:val="both"/>
      <w:spacing w:before="240" w:after="120"/>
    </w:pPr>
    <w:rPr>
      <w:b/>
      <w:sz w:val="28"/>
      <w:szCs w:val="24"/>
    </w:rPr>
  </w:style>
  <w:style w:type="paragraph" w:styleId="1099" w:customStyle="1">
    <w:name w:val="СТИЛЬ 2"/>
    <w:basedOn w:val="1098"/>
    <w:pPr>
      <w:numPr>
        <w:ilvl w:val="1"/>
      </w:numPr>
    </w:pPr>
    <w:rPr>
      <w:b w:val="0"/>
      <w:szCs w:val="28"/>
    </w:rPr>
  </w:style>
  <w:style w:type="paragraph" w:styleId="1100" w:customStyle="1">
    <w:name w:val="СТИЛЬ 3"/>
    <w:basedOn w:val="745"/>
    <w:pPr>
      <w:numPr>
        <w:ilvl w:val="2"/>
        <w:numId w:val="22"/>
      </w:numPr>
      <w:spacing w:before="120" w:after="120"/>
    </w:pPr>
    <w:rPr>
      <w:sz w:val="28"/>
    </w:rPr>
  </w:style>
  <w:style w:type="paragraph" w:styleId="1101" w:customStyle="1">
    <w:name w:val="Tnd_Раздел"/>
    <w:basedOn w:val="745"/>
    <w:pPr>
      <w:jc w:val="left"/>
    </w:pPr>
    <w:rPr>
      <w:rFonts w:ascii="Arial" w:hAnsi="Arial" w:cs="Arial"/>
      <w:b/>
      <w:bCs/>
      <w:caps/>
      <w:sz w:val="20"/>
      <w:szCs w:val="20"/>
    </w:rPr>
  </w:style>
  <w:style w:type="character" w:styleId="1102">
    <w:name w:val="Strong"/>
    <w:qFormat/>
    <w:rPr>
      <w:b/>
      <w:bCs/>
    </w:rPr>
  </w:style>
  <w:style w:type="character" w:styleId="1103" w:customStyle="1">
    <w:name w:val="Font Style17"/>
    <w:rPr>
      <w:rFonts w:ascii="MS Reference Sans Serif" w:hAnsi="MS Reference Sans Serif" w:cs="MS Reference Sans Serif"/>
      <w:b/>
      <w:bCs/>
      <w:sz w:val="16"/>
      <w:szCs w:val="16"/>
    </w:rPr>
  </w:style>
  <w:style w:type="character" w:styleId="1104" w:customStyle="1">
    <w:name w:val="H1 Знак;h1 Знак;Глава 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sz w:val="36"/>
    </w:rPr>
  </w:style>
  <w:style w:type="paragraph" w:styleId="1105" w:customStyle="1">
    <w:name w:val="Основной текст с отступом 32"/>
    <w:basedOn w:val="745"/>
    <w:pPr>
      <w:ind w:left="283"/>
      <w:jc w:val="left"/>
      <w:spacing w:after="120"/>
    </w:pPr>
    <w:rPr>
      <w:rFonts w:eastAsia="Calibri"/>
      <w:sz w:val="16"/>
      <w:szCs w:val="16"/>
      <w:lang w:eastAsia="ar-SA"/>
    </w:rPr>
  </w:style>
  <w:style w:type="character" w:styleId="1106" w:customStyle="1">
    <w:name w:val="Font Style18"/>
    <w:rPr>
      <w:rFonts w:ascii="MS Reference Sans Serif" w:hAnsi="MS Reference Sans Serif" w:cs="MS Reference Sans Serif"/>
      <w:sz w:val="16"/>
      <w:szCs w:val="16"/>
    </w:rPr>
  </w:style>
  <w:style w:type="character" w:styleId="1107" w:customStyle="1">
    <w:name w:val="Font Style15"/>
    <w:rPr>
      <w:rFonts w:ascii="MS Reference Sans Serif" w:hAnsi="MS Reference Sans Serif" w:cs="MS Reference Sans Serif"/>
      <w:b/>
      <w:bCs/>
      <w:sz w:val="20"/>
      <w:szCs w:val="20"/>
    </w:rPr>
  </w:style>
  <w:style w:type="paragraph" w:styleId="1108" w:customStyle="1">
    <w:name w:val="Style5"/>
    <w:basedOn w:val="745"/>
    <w:pPr>
      <w:ind w:hanging="226"/>
      <w:spacing w:line="232" w:lineRule="exact"/>
      <w:widowControl w:val="off"/>
    </w:pPr>
    <w:rPr>
      <w:rFonts w:ascii="MS Reference Sans Serif" w:hAnsi="MS Reference Sans Serif" w:cs="MS Reference Sans Serif"/>
    </w:rPr>
  </w:style>
  <w:style w:type="paragraph" w:styleId="1109" w:customStyle="1">
    <w:name w:val="Style12"/>
    <w:basedOn w:val="745"/>
    <w:pPr>
      <w:ind w:hanging="341"/>
      <w:jc w:val="left"/>
      <w:spacing w:line="235" w:lineRule="exact"/>
      <w:widowControl w:val="off"/>
    </w:pPr>
    <w:rPr>
      <w:rFonts w:ascii="MS Reference Sans Serif" w:hAnsi="MS Reference Sans Serif" w:cs="MS Reference Sans Serif"/>
    </w:rPr>
  </w:style>
  <w:style w:type="paragraph" w:styleId="1110" w:customStyle="1">
    <w:name w:val="Style7"/>
    <w:basedOn w:val="745"/>
    <w:pPr>
      <w:jc w:val="left"/>
      <w:widowControl w:val="off"/>
    </w:pPr>
    <w:rPr>
      <w:rFonts w:ascii="MS Reference Sans Serif" w:hAnsi="MS Reference Sans Serif" w:cs="MS Reference Sans Serif"/>
    </w:rPr>
  </w:style>
  <w:style w:type="paragraph" w:styleId="1111" w:customStyle="1">
    <w:name w:val="xl24"/>
    <w:basedOn w:val="745"/>
    <w:pPr>
      <w:jc w:val="center"/>
      <w:spacing w:before="100" w:after="100"/>
    </w:pPr>
    <w:rPr>
      <w:szCs w:val="20"/>
    </w:rPr>
  </w:style>
  <w:style w:type="character" w:styleId="1112" w:customStyle="1">
    <w:name w:val="H1 Знак1;h1 Знак1;Глава 1 Знак1;Document Header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Chapter Знак"/>
    <w:rPr>
      <w:b/>
      <w:sz w:val="36"/>
    </w:rPr>
  </w:style>
  <w:style w:type="paragraph" w:styleId="1113">
    <w:name w:val="No Spacing"/>
    <w:rPr>
      <w:rFonts w:eastAsia="Calibri"/>
      <w:sz w:val="18"/>
      <w:szCs w:val="18"/>
    </w:rPr>
  </w:style>
  <w:style w:type="character" w:styleId="1114" w:customStyle="1">
    <w:name w:val="Название Знак"/>
    <w:rPr>
      <w:rFonts w:ascii="Monotype Corsiva" w:hAnsi="Monotype Corsiva" w:cs="Monotype Corsiva"/>
      <w:b/>
      <w:bCs/>
      <w:sz w:val="28"/>
      <w:szCs w:val="28"/>
      <w:lang w:val="ru-RU" w:eastAsia="ru-RU" w:bidi="ar-SA"/>
    </w:rPr>
  </w:style>
  <w:style w:type="paragraph" w:styleId="1115" w:customStyle="1">
    <w:name w:val="Стиль 10 пт Первая строка:  0 см"/>
    <w:basedOn w:val="745"/>
    <w:rPr>
      <w:rFonts w:ascii="Monotype Corsiva" w:hAnsi="Monotype Corsiva" w:cs="Monotype Corsiva"/>
    </w:rPr>
  </w:style>
  <w:style w:type="paragraph" w:styleId="1116" w:customStyle="1">
    <w:name w:val="Char"/>
    <w:basedOn w:val="745"/>
    <w:pPr>
      <w:jc w:val="left"/>
      <w:keepLines/>
      <w:spacing w:after="160" w:line="240" w:lineRule="exact"/>
    </w:pPr>
    <w:rPr>
      <w:rFonts w:ascii="Verdana" w:hAnsi="Verdana" w:eastAsia="MS Mincho" w:cs="Franklin Gothic Book"/>
      <w:sz w:val="20"/>
      <w:szCs w:val="20"/>
      <w:lang w:val="en-US" w:eastAsia="en-US"/>
    </w:rPr>
  </w:style>
  <w:style w:type="paragraph" w:styleId="1117" w:customStyle="1">
    <w:name w:val="Обычный + 11"/>
    <w:basedOn w:val="745"/>
    <w:pPr>
      <w:ind w:left="360" w:hanging="360"/>
    </w:pPr>
  </w:style>
  <w:style w:type="paragraph" w:styleId="1118" w:customStyle="1">
    <w:name w:val="Обычный + 11 пт"/>
    <w:basedOn w:val="1117"/>
  </w:style>
  <w:style w:type="paragraph" w:styleId="1119" w:customStyle="1">
    <w:name w:val="Обычный без отступа"/>
    <w:basedOn w:val="745"/>
    <w:pPr>
      <w:jc w:val="left"/>
      <w:widowControl w:val="off"/>
    </w:pPr>
    <w:rPr>
      <w:rFonts w:eastAsia="Lucida Sans Unicode" w:cs="Mangal"/>
      <w:szCs w:val="20"/>
      <w:lang w:eastAsia="hi-IN" w:bidi="hi-IN"/>
    </w:rPr>
  </w:style>
  <w:style w:type="paragraph" w:styleId="1120">
    <w:name w:val="index 1"/>
    <w:basedOn w:val="745"/>
    <w:next w:val="745"/>
    <w:semiHidden/>
    <w:pPr>
      <w:ind w:left="240" w:hanging="240"/>
    </w:pPr>
  </w:style>
  <w:style w:type="paragraph" w:styleId="1121">
    <w:name w:val="index heading"/>
    <w:basedOn w:val="1115"/>
    <w:next w:val="1120"/>
    <w:pPr>
      <w:jc w:val="left"/>
    </w:pPr>
  </w:style>
  <w:style w:type="paragraph" w:styleId="1122" w:customStyle="1">
    <w:name w:val="Абзац списка;Bullet List;FooterText;numbered;Paragraphe de liste1;lp1"/>
    <w:basedOn w:val="745"/>
    <w:link w:val="1136"/>
    <w:qFormat/>
    <w:pPr>
      <w:ind w:left="720" w:firstLine="709"/>
      <w:jc w:val="left"/>
    </w:pPr>
    <w:rPr>
      <w:rFonts w:ascii="Monotype Corsiva" w:hAnsi="Monotype Corsiva" w:cs="Monotype Corsiva"/>
      <w:sz w:val="28"/>
      <w:szCs w:val="28"/>
      <w:lang w:eastAsia="en-US"/>
    </w:rPr>
  </w:style>
  <w:style w:type="paragraph" w:styleId="1123">
    <w:name w:val="List Paragraph"/>
    <w:basedOn w:val="745"/>
    <w:pPr>
      <w:ind w:left="720" w:firstLine="709"/>
      <w:jc w:val="left"/>
    </w:pPr>
    <w:rPr>
      <w:rFonts w:ascii="Monotype Corsiva" w:hAnsi="Monotype Corsiva" w:cs="Monotype Corsiva"/>
      <w:sz w:val="28"/>
      <w:szCs w:val="28"/>
      <w:lang w:eastAsia="en-US"/>
    </w:rPr>
  </w:style>
  <w:style w:type="paragraph" w:styleId="1124" w:customStyle="1">
    <w:name w:val="Default"/>
    <w:rPr>
      <w:color w:val="000000"/>
      <w:sz w:val="24"/>
      <w:szCs w:val="24"/>
    </w:rPr>
  </w:style>
  <w:style w:type="character" w:styleId="1125" w:customStyle="1">
    <w:name w:val="Стиль3 Знак Знак Знак"/>
    <w:link w:val="1031"/>
    <w:rPr>
      <w:sz w:val="24"/>
      <w:lang w:val="ru-RU" w:eastAsia="ru-RU" w:bidi="ar-SA"/>
    </w:rPr>
  </w:style>
  <w:style w:type="character" w:styleId="1126" w:customStyle="1">
    <w:name w:val="Footnote Text Char Знак Знак Знак;Footnote Text Char Знак Знак1;Footnote Text Char Знак Знак Знак Знак Знак Знак"/>
    <w:basedOn w:val="755"/>
    <w:semiHidden/>
  </w:style>
  <w:style w:type="paragraph" w:styleId="1127" w:customStyle="1">
    <w:name w:val="14"/>
    <w:basedOn w:val="745"/>
    <w:pPr>
      <w:jc w:val="left"/>
      <w:spacing w:before="120" w:after="240"/>
    </w:pPr>
    <w:rPr>
      <w:b/>
      <w:bCs/>
      <w:sz w:val="28"/>
      <w:szCs w:val="28"/>
    </w:rPr>
  </w:style>
  <w:style w:type="paragraph" w:styleId="1128" w:customStyle="1">
    <w:name w:val="Без интервала1"/>
    <w:rPr>
      <w:sz w:val="18"/>
      <w:szCs w:val="18"/>
    </w:rPr>
  </w:style>
  <w:style w:type="paragraph" w:styleId="1129">
    <w:name w:val="Document Map"/>
    <w:basedOn w:val="745"/>
    <w:semiHidden/>
    <w:pPr>
      <w:jc w:val="left"/>
      <w:shd w:val="clear" w:color="auto" w:fill="000080"/>
    </w:pPr>
    <w:rPr>
      <w:rFonts w:ascii="Tahoma" w:hAnsi="Tahoma" w:cs="Tahoma"/>
      <w:color w:val="ff0000"/>
      <w:sz w:val="20"/>
      <w:szCs w:val="20"/>
    </w:rPr>
  </w:style>
  <w:style w:type="paragraph" w:styleId="1130" w:customStyle="1">
    <w:name w:val="western"/>
    <w:basedOn w:val="745"/>
    <w:pPr>
      <w:jc w:val="left"/>
      <w:spacing w:before="100" w:beforeAutospacing="1" w:after="100" w:afterAutospacing="1"/>
    </w:pPr>
    <w:rPr>
      <w:color w:val="ff0000"/>
    </w:rPr>
  </w:style>
  <w:style w:type="character" w:styleId="1131" w:customStyle="1">
    <w:name w:val="apple-converted-space"/>
    <w:basedOn w:val="755"/>
  </w:style>
  <w:style w:type="character" w:styleId="1132" w:customStyle="1">
    <w:name w:val="highlight"/>
    <w:basedOn w:val="755"/>
  </w:style>
  <w:style w:type="character" w:styleId="1133" w:customStyle="1">
    <w:name w:val="application"/>
    <w:basedOn w:val="755"/>
  </w:style>
  <w:style w:type="character" w:styleId="1134">
    <w:name w:val="Book Title"/>
    <w:qFormat/>
    <w:rPr>
      <w:b/>
      <w:bCs/>
      <w:smallCaps/>
      <w:spacing w:val="5"/>
    </w:rPr>
  </w:style>
  <w:style w:type="character" w:styleId="1135" w:customStyle="1">
    <w:name w:val="apple-style-span"/>
  </w:style>
  <w:style w:type="character" w:styleId="1136" w:customStyle="1">
    <w:name w:val="Абзац списка Знак;Bullet List Знак;FooterText Знак;numbered Знак;Paragraphe de liste1 Знак;lp1 Знак"/>
    <w:link w:val="1122"/>
    <w:rPr>
      <w:rFonts w:ascii="Monotype Corsiva" w:hAnsi="Monotype Corsiva" w:cs="Monotype Corsiva"/>
      <w:sz w:val="28"/>
      <w:szCs w:val="28"/>
      <w:lang w:val="ru-RU" w:eastAsia="en-US" w:bidi="ar-SA"/>
    </w:rPr>
  </w:style>
  <w:style w:type="paragraph" w:styleId="1137" w:customStyle="1">
    <w:name w:val="PEA"/>
    <w:pPr>
      <w:ind w:firstLine="720"/>
      <w:widowControl w:val="off"/>
    </w:pPr>
    <w:rPr>
      <w:rFonts w:ascii="Arial" w:hAnsi="Arial" w:cs="Arial"/>
    </w:rPr>
  </w:style>
  <w:style w:type="paragraph" w:styleId="1138" w:customStyle="1">
    <w:name w:val="consplusnonformat"/>
    <w:basedOn w:val="745"/>
    <w:pPr>
      <w:jc w:val="left"/>
    </w:pPr>
    <w:rPr>
      <w:rFonts w:ascii="Courier New" w:hAnsi="Courier New" w:eastAsia="Calibri" w:cs="Courier New"/>
      <w:sz w:val="20"/>
      <w:szCs w:val="20"/>
    </w:rPr>
  </w:style>
  <w:style w:type="paragraph" w:styleId="1139" w:customStyle="1">
    <w:name w:val="font5"/>
    <w:basedOn w:val="745"/>
    <w:pPr>
      <w:jc w:val="left"/>
      <w:spacing w:before="100" w:beforeAutospacing="1" w:after="100" w:afterAutospacing="1"/>
    </w:pPr>
    <w:rPr>
      <w:rFonts w:ascii="Arial" w:hAnsi="Arial" w:cs="Arial"/>
      <w:i/>
      <w:iCs/>
      <w:sz w:val="20"/>
      <w:szCs w:val="20"/>
    </w:rPr>
  </w:style>
  <w:style w:type="paragraph" w:styleId="1140" w:customStyle="1">
    <w:name w:val="xl63"/>
    <w:basedOn w:val="745"/>
    <w:pPr>
      <w:jc w:val="left"/>
      <w:spacing w:before="100" w:beforeAutospacing="1" w:after="100" w:afterAutospacing="1"/>
    </w:pPr>
    <w:rPr>
      <w:rFonts w:ascii="Arial" w:hAnsi="Arial" w:cs="Arial"/>
    </w:rPr>
  </w:style>
  <w:style w:type="paragraph" w:styleId="1141" w:customStyle="1">
    <w:name w:val="xl64"/>
    <w:basedOn w:val="745"/>
    <w:pPr>
      <w:jc w:val="center"/>
      <w:spacing w:before="100" w:beforeAutospacing="1" w:after="100" w:afterAutospacing="1"/>
    </w:pPr>
    <w:rPr>
      <w:rFonts w:ascii="Arial" w:hAnsi="Arial" w:cs="Arial"/>
    </w:rPr>
  </w:style>
  <w:style w:type="paragraph" w:styleId="1142" w:customStyle="1">
    <w:name w:val="xl65"/>
    <w:basedOn w:val="745"/>
    <w:pPr>
      <w:jc w:val="left"/>
      <w:spacing w:before="100" w:beforeAutospacing="1" w:after="100" w:afterAutospacing="1"/>
    </w:pPr>
    <w:rPr>
      <w:rFonts w:ascii="Arial" w:hAnsi="Arial" w:cs="Arial"/>
    </w:rPr>
  </w:style>
  <w:style w:type="paragraph" w:styleId="1143" w:customStyle="1">
    <w:name w:val="xl66"/>
    <w:basedOn w:val="745"/>
    <w:pPr>
      <w:jc w:val="center"/>
      <w:spacing w:before="100" w:beforeAutospacing="1" w:after="100" w:afterAutospacing="1"/>
    </w:pPr>
    <w:rPr>
      <w:rFonts w:ascii="Arial" w:hAnsi="Arial" w:cs="Arial"/>
    </w:rPr>
  </w:style>
  <w:style w:type="paragraph" w:styleId="1144" w:customStyle="1">
    <w:name w:val="xl67"/>
    <w:basedOn w:val="745"/>
    <w:pPr>
      <w:jc w:val="right"/>
      <w:spacing w:before="100" w:beforeAutospacing="1" w:after="100" w:afterAutospacing="1"/>
    </w:pPr>
    <w:rPr>
      <w:rFonts w:ascii="Arial" w:hAnsi="Arial" w:cs="Arial"/>
    </w:rPr>
  </w:style>
  <w:style w:type="paragraph" w:styleId="1145" w:customStyle="1">
    <w:name w:val="xl68"/>
    <w:basedOn w:val="74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146" w:customStyle="1">
    <w:name w:val="xl69"/>
    <w:basedOn w:val="745"/>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147" w:customStyle="1">
    <w:name w:val="xl70"/>
    <w:basedOn w:val="74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148" w:customStyle="1">
    <w:name w:val="xl71"/>
    <w:basedOn w:val="745"/>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149" w:customStyle="1">
    <w:name w:val="xl72"/>
    <w:basedOn w:val="745"/>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150" w:customStyle="1">
    <w:name w:val="xl73"/>
    <w:basedOn w:val="745"/>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i/>
      <w:iCs/>
    </w:rPr>
  </w:style>
  <w:style w:type="table" w:styleId="1151">
    <w:name w:val="Grid Table Light"/>
    <w:basedOn w:val="756"/>
    <w:rPr>
      <w:rFonts w:ascii="Calibri" w:hAnsi="Calibri" w:eastAsia="Calibri"/>
    </w:rPr>
    <w:tblPr>
      <w:tblInd w:w="0" w:type="dxa"/>
      <w:tblCellMar>
        <w:left w:w="108" w:type="dxa"/>
        <w:top w:w="0" w:type="dxa"/>
        <w:right w:w="108" w:type="dxa"/>
        <w:bottom w:w="0" w:type="dxa"/>
      </w:tblCellMar>
    </w:tblPr>
  </w:style>
  <w:style w:type="character" w:styleId="1152">
    <w:name w:val="Emphasis"/>
    <w:qFormat/>
    <w:rPr>
      <w:i/>
      <w:iCs/>
    </w:rPr>
  </w:style>
  <w:style w:type="numbering" w:styleId="1153" w:customStyle="1">
    <w:name w:val="Нет списка1"/>
    <w:next w:val="757"/>
    <w:semiHidden/>
    <w:unhideWhenUsed/>
  </w:style>
  <w:style w:type="character" w:styleId="1154" w:customStyle="1">
    <w:name w:val="ConsPlusNormal Знак"/>
    <w:link w:val="1027"/>
    <w:uiPriority w:val="99"/>
    <w:rPr>
      <w:rFonts w:ascii="Arial" w:hAnsi="Arial" w:cs="Arial"/>
      <w:lang w:val="ru-RU" w:eastAsia="ru-RU" w:bidi="ar-S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 Id="rId12" Type="http://schemas.openxmlformats.org/officeDocument/2006/relationships/hyperlink" Target="consultantplus://offline/ref=D0EA6D5523D853CD89279C5FF8F445E19EBEE92152FF86CA0EF7EDC82FE4F70432FE212BD9BF3EDD3292FD0D1CFFAE26F934FECF71458C29T0F5G" TargetMode="External"/><Relationship Id="rId13" Type="http://schemas.openxmlformats.org/officeDocument/2006/relationships/hyperlink" Target="consultantplus://offline/ref=D0EA6D5523D853CD89279C5FF8F445E19EBEE92152FF86CA0EF7EDC82FE4F70432FE212BD9BF3EDD3292FD0D1CFFAE26F934FECF71458C29T0F5G" TargetMode="External"/><Relationship Id="rId14"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D6A50-2A9D-4CBC-A1BA-280C3C968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r7-office/2025.3.1.923</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Аноним</cp:lastModifiedBy>
  <cp:revision>6</cp:revision>
  <dcterms:created xsi:type="dcterms:W3CDTF">2026-08-21T11:29:00Z</dcterms:created>
  <dcterms:modified xsi:type="dcterms:W3CDTF">2026-08-31T08:29:18Z</dcterms:modified>
  <cp:version>983040</cp:version>
</cp:coreProperties>
</file>