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1199"/>
        <w:spacing w:after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     </w:t>
      </w:r>
      <w:r>
        <w:rPr>
          <w:rFonts w:ascii="Times New Roman" w:hAnsi="Times New Roman"/>
          <w:b/>
          <w:bCs/>
          <w:color w:val="auto"/>
        </w:rPr>
      </w:r>
      <w:r>
        <w:rPr>
          <w:rFonts w:ascii="Times New Roman" w:hAnsi="Times New Roman"/>
          <w:b/>
          <w:bCs/>
          <w:color w:val="auto"/>
        </w:rPr>
      </w:r>
    </w:p>
    <w:p>
      <w:pPr>
        <w:jc w:val="center"/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tbl>
      <w:tblPr>
        <w:tblW w:w="3828" w:type="dxa"/>
        <w:jc w:val="right"/>
        <w:tblLook w:val="04A0" w:firstRow="1" w:lastRow="0" w:firstColumn="1" w:lastColumn="0" w:noHBand="0" w:noVBand="1"/>
      </w:tblPr>
      <w:tblGrid>
        <w:gridCol w:w="3828"/>
      </w:tblGrid>
      <w:tr>
        <w:tblPrEx/>
        <w:trPr>
          <w:jc w:val="right"/>
          <w:trHeight w:val="1415"/>
        </w:trPr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right"/>
              <w:spacing w:before="0" w:after="0"/>
              <w:tabs>
                <w:tab w:val="left" w:pos="4763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right"/>
              <w:spacing w:before="0" w:after="0"/>
              <w:tabs>
                <w:tab w:val="left" w:pos="4763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 xml:space="preserve">электронной версии контракта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50"/>
              <w:jc w:val="right"/>
              <w:spacing w:before="0" w:after="150" w:line="4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right"/>
              <w:spacing w:before="0" w:after="0"/>
              <w:tabs>
                <w:tab w:val="left" w:pos="4763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«___»____________</w:t>
            </w:r>
            <w:bookmarkStart w:id="0" w:name="_GoBack"/>
            <w:r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center"/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auto"/>
          <w:sz w:val="24"/>
          <w:szCs w:val="28"/>
        </w:rPr>
        <w:t xml:space="preserve">Техническое задание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r>
    </w:p>
    <w:p>
      <w:pPr>
        <w:jc w:val="center"/>
        <w:spacing w:after="0" w:line="164" w:lineRule="exac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на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родление лицензии на неисключительные права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164" w:lineRule="exac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использования "Web-система СБИС" ЭДО 200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ind w:left="-284" w:firstLine="284"/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 Исполнитель</w:t>
      </w:r>
      <w:r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 xml:space="preserve">обязуется передать, а Заказчик обязуется принять и оплатить неисключительные права </w:t>
      </w:r>
      <w:r>
        <w:rPr>
          <w:rFonts w:ascii="Times New Roman" w:hAnsi="Times New Roman"/>
          <w:color w:val="00000a"/>
          <w:sz w:val="24"/>
          <w:szCs w:val="24"/>
        </w:rPr>
        <w:t xml:space="preserve">   </w:t>
      </w:r>
      <w:r>
        <w:rPr>
          <w:rFonts w:ascii="Times New Roman" w:hAnsi="Times New Roman"/>
          <w:color w:val="00000a"/>
          <w:sz w:val="24"/>
          <w:szCs w:val="24"/>
        </w:rPr>
        <w:t xml:space="preserve">использования </w:t>
      </w:r>
      <w:r>
        <w:rPr>
          <w:rFonts w:ascii="Times New Roman" w:hAnsi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/>
          <w:color w:val="00000a"/>
          <w:sz w:val="24"/>
          <w:szCs w:val="24"/>
        </w:rPr>
        <w:t xml:space="preserve">рограммы в следующей конфигурации: 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tbl>
      <w:tblPr>
        <w:tblW w:w="103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376"/>
      </w:tblGrid>
      <w:tr>
        <w:tblPrEx/>
        <w:trPr/>
        <w:tc>
          <w:tcPr>
            <w:shd w:val="clear" w:color="auto" w:fill="auto"/>
            <w:tcW w:w="20" w:type="dxa"/>
            <w:vAlign w:val="center"/>
            <w:textDirection w:val="lrTb"/>
            <w:noWrap w:val="false"/>
          </w:tcPr>
          <w:p>
            <w:pPr>
              <w:spacing w:before="0" w:after="0"/>
              <w:widowControl w:val="off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shd w:val="clear" w:color="auto" w:fill="auto"/>
            <w:tcW w:w="10376" w:type="dxa"/>
            <w:textDirection w:val="lrTb"/>
            <w:noWrap w:val="false"/>
          </w:tcPr>
          <w:p>
            <w:pPr>
              <w:ind w:left="-292" w:firstLine="292"/>
              <w:spacing w:after="0"/>
              <w:widowControl w:val="off"/>
              <w:rPr>
                <w:b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 xml:space="preserve">Права использования "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 xml:space="preserve">Web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 xml:space="preserve">-система СБИС" ЭДО 200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96"/>
        </w:trPr>
        <w:tc>
          <w:tcPr>
            <w:shd w:val="clear" w:color="auto" w:fill="auto"/>
            <w:tcW w:w="20" w:type="dxa"/>
            <w:vAlign w:val="center"/>
            <w:textDirection w:val="lrTb"/>
            <w:noWrap w:val="false"/>
          </w:tcPr>
          <w:p>
            <w:pPr>
              <w:spacing w:before="0" w:after="0"/>
              <w:widowControl w:val="off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shd w:val="clear" w:color="auto" w:fill="auto"/>
            <w:tcW w:w="10376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Права на использование программы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предоставляются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в течение одного года с даты подписания Контракта.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r>
          </w:p>
        </w:tc>
      </w:tr>
    </w:tbl>
    <w:p>
      <w:pPr>
        <w:ind w:left="426"/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Для использования прав, полученных по настоящему договору, Заказчику</w:t>
      </w:r>
      <w:r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 xml:space="preserve">выделяется аккаунт (личный кабинет). 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Срок действия лицензии составляет 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1 год с даты подписания 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Акта приема-передачи неисключительных прав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.</w:t>
      </w:r>
      <w:r>
        <w:rPr>
          <w:rFonts w:ascii="Times New Roman" w:hAnsi="Times New Roman"/>
          <w:color w:val="00000a"/>
          <w:sz w:val="24"/>
          <w:szCs w:val="24"/>
          <w:u w:val="single"/>
        </w:rPr>
      </w:r>
      <w:r>
        <w:rPr>
          <w:rFonts w:ascii="Times New Roman" w:hAnsi="Times New Roman"/>
          <w:color w:val="00000a"/>
          <w:sz w:val="24"/>
          <w:szCs w:val="24"/>
          <w:u w:val="single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Место поставки:</w:t>
      </w:r>
      <w:r>
        <w:rPr>
          <w:rFonts w:ascii="Times New Roman" w:hAnsi="Times New Roman"/>
          <w:color w:val="00000a"/>
          <w:sz w:val="24"/>
          <w:szCs w:val="24"/>
        </w:rPr>
        <w:t xml:space="preserve"> 109992, </w:t>
      </w:r>
      <w:r>
        <w:rPr>
          <w:rFonts w:ascii="Times New Roman" w:hAnsi="Times New Roman"/>
          <w:color w:val="00000a"/>
          <w:sz w:val="24"/>
          <w:szCs w:val="24"/>
        </w:rPr>
        <w:t xml:space="preserve">г. Москва, Китайгородский проезд, д.7 стр.2.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Заказчик</w:t>
      </w:r>
      <w:r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 xml:space="preserve">в соответствии со ст. 428 ГК РФ присоединяется к Регламенту, опубликованному по адресу http://sbis.ru/reglament (далее - Регламент). 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Исполнитель в течение срока действия Контракта гарантирует работу Программы в соответствии с документацией, опубликованной на http://help.sbis.ru.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Исполнитель</w:t>
      </w:r>
      <w:r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 xml:space="preserve">не несет ответственность за достоверность сформированных Заказчиком документов (отчетов), а также за прямые или косвенные убытки, включая упущенную выгоду, возникшие в результате использования Программы. 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Заказчик имеет право: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 круглосуточно использовать Программу, за исключением времени профилактических работ, проводимых в соответствии с Регламентом.  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 регистрировать в своем личном кабинете (далее – аккаунте) третьих лиц, принимая на себя ответственность за их действия. 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Заказчик</w:t>
      </w:r>
      <w:r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 xml:space="preserve">обязан: 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 оплачивать лицензионные вознаграждения в порядке и в сроки, установленные Контрактом;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 оплатить фактически использованный функционал программы, если право на его использование не передавалось в рамках Контракта. 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 использовать Программу в соответствии с пользовательской документацией, опубликованной на </w:t>
      </w:r>
      <w:r>
        <w:rPr>
          <w:rFonts w:ascii="Times New Roman" w:hAnsi="Times New Roman"/>
          <w:color w:val="00000a"/>
          <w:sz w:val="24"/>
          <w:szCs w:val="24"/>
        </w:rPr>
        <w:t xml:space="preserve">http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 xml:space="preserve">s</w:t>
      </w:r>
      <w:r>
        <w:rPr>
          <w:rFonts w:ascii="Times New Roman" w:hAnsi="Times New Roman"/>
          <w:color w:val="00000a"/>
          <w:sz w:val="24"/>
          <w:szCs w:val="24"/>
        </w:rPr>
        <w:t xml:space="preserve">://help.sbis.ru. 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Заказчик не имеет права передавать учетные данные для доступа в Программу третьим лицам, незарегистрированным в аккаунте Исполнителя. 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Срок поставк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3 рабочих дня от даты заключения контракта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before="0"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Порядок оплаты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Оплата осуществляется путем перечисления Заказчиком денежных средств на расчетный счет Поставщика, на основ</w:t>
      </w:r>
      <w:r>
        <w:rPr>
          <w:rFonts w:ascii="Times New Roman" w:hAnsi="Times New Roman"/>
          <w:color w:val="00000a"/>
          <w:sz w:val="24"/>
          <w:szCs w:val="24"/>
        </w:rPr>
        <w:t xml:space="preserve">ании счета и </w:t>
      </w:r>
      <w:r>
        <w:rPr>
          <w:rFonts w:ascii="Times New Roman" w:hAnsi="Times New Roman"/>
          <w:color w:val="00000a"/>
          <w:sz w:val="24"/>
          <w:szCs w:val="24"/>
        </w:rPr>
        <w:t xml:space="preserve">Акта приема-передачи </w:t>
      </w:r>
      <w:r>
        <w:rPr>
          <w:rFonts w:ascii="Times New Roman" w:hAnsi="Times New Roman"/>
          <w:color w:val="00000a"/>
          <w:sz w:val="24"/>
          <w:szCs w:val="24"/>
        </w:rPr>
        <w:t xml:space="preserve">неисключительных прав</w:t>
      </w:r>
      <w:r>
        <w:rPr>
          <w:rFonts w:ascii="Times New Roman" w:hAnsi="Times New Roman"/>
          <w:color w:val="00000a"/>
          <w:sz w:val="24"/>
          <w:szCs w:val="24"/>
        </w:rPr>
        <w:t xml:space="preserve"> в течение 10 (десяти) рабочих дней с даты подписания Сторонами Акта приема-передачи </w:t>
      </w:r>
      <w:r>
        <w:rPr>
          <w:rFonts w:ascii="Times New Roman" w:hAnsi="Times New Roman"/>
          <w:color w:val="00000a"/>
          <w:sz w:val="24"/>
          <w:szCs w:val="24"/>
        </w:rPr>
        <w:t xml:space="preserve">неисключительных прав</w:t>
      </w:r>
      <w:r>
        <w:rPr>
          <w:rFonts w:ascii="Times New Roman" w:hAnsi="Times New Roman"/>
          <w:color w:val="00000a"/>
          <w:sz w:val="24"/>
          <w:szCs w:val="24"/>
        </w:rPr>
        <w:t xml:space="preserve">.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spacing w:before="0" w:after="0"/>
        <w:rPr>
          <w:rFonts w:ascii="Times New Roman" w:hAnsi="Times New Roman"/>
          <w:color w:val="00000a"/>
          <w:sz w:val="24"/>
          <w:szCs w:val="24"/>
        </w:rPr>
        <w:sectPr>
          <w:footerReference w:type="default" r:id="rId8"/>
          <w:footnotePr/>
          <w:endnotePr/>
          <w:type w:val="nextPage"/>
          <w:pgSz w:w="11906" w:h="16838" w:orient="portrait"/>
          <w:pgMar w:top="720" w:right="720" w:bottom="720" w:left="720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color w:val="00000a"/>
          <w:sz w:val="24"/>
          <w:szCs w:val="24"/>
        </w:rPr>
        <w:t xml:space="preserve">Электронна</w:t>
      </w:r>
      <w:r>
        <w:rPr>
          <w:rFonts w:ascii="Times New Roman" w:hAnsi="Times New Roman"/>
          <w:color w:val="00000a"/>
          <w:sz w:val="24"/>
          <w:szCs w:val="24"/>
        </w:rPr>
        <w:t xml:space="preserve">я версия контракта действует по 15.07.2026</w:t>
      </w:r>
      <w:r>
        <w:rPr>
          <w:rFonts w:ascii="Times New Roman" w:hAnsi="Times New Roman"/>
          <w:color w:val="00000a"/>
          <w:sz w:val="24"/>
          <w:szCs w:val="24"/>
        </w:rPr>
      </w:r>
      <w:r>
        <w:rPr>
          <w:rFonts w:ascii="Times New Roman" w:hAnsi="Times New Roman"/>
          <w:color w:val="00000a"/>
          <w:sz w:val="24"/>
          <w:szCs w:val="24"/>
        </w:rPr>
      </w:r>
    </w:p>
    <w:p>
      <w:pPr>
        <w:jc w:val="right"/>
        <w:spacing w:before="0" w:after="0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b/>
          <w:bCs/>
          <w:color w:val="auto"/>
        </w:rPr>
        <w:t xml:space="preserve">      </w:t>
      </w:r>
      <w:r>
        <w:rPr>
          <w:rFonts w:ascii="Times New Roman" w:hAnsi="Times New Roman"/>
          <w:color w:val="00000a"/>
          <w:sz w:val="22"/>
          <w:szCs w:val="22"/>
        </w:rPr>
        <w:t xml:space="preserve">Приложение </w:t>
      </w:r>
      <w:r>
        <w:rPr>
          <w:rFonts w:ascii="Times New Roman" w:hAnsi="Times New Roman"/>
          <w:color w:val="00000a"/>
          <w:sz w:val="22"/>
          <w:szCs w:val="22"/>
        </w:rPr>
      </w:r>
      <w:r>
        <w:rPr>
          <w:rFonts w:ascii="Times New Roman" w:hAnsi="Times New Roman"/>
          <w:color w:val="00000a"/>
          <w:sz w:val="22"/>
          <w:szCs w:val="22"/>
        </w:rPr>
      </w:r>
    </w:p>
    <w:p>
      <w:pPr>
        <w:jc w:val="right"/>
        <w:spacing w:before="0" w:after="0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      к Техническому заданию  </w:t>
      </w:r>
      <w:r>
        <w:rPr>
          <w:rFonts w:ascii="Times New Roman" w:hAnsi="Times New Roman"/>
          <w:color w:val="00000a"/>
          <w:sz w:val="22"/>
          <w:szCs w:val="22"/>
        </w:rPr>
      </w:r>
      <w:r>
        <w:rPr>
          <w:rFonts w:ascii="Times New Roman" w:hAnsi="Times New Roman"/>
          <w:color w:val="00000a"/>
          <w:sz w:val="22"/>
          <w:szCs w:val="22"/>
        </w:rPr>
      </w:r>
    </w:p>
    <w:p>
      <w:pPr>
        <w:jc w:val="center"/>
        <w:spacing w:after="0"/>
        <w:rPr>
          <w:rFonts w:ascii="Times New Roman" w:hAnsi="Times New Roman"/>
          <w:b/>
          <w:bCs/>
          <w:color w:val="auto"/>
          <w:sz w:val="24"/>
          <w:szCs w:val="28"/>
        </w:rPr>
      </w:pPr>
      <w:r>
        <w:rPr>
          <w:rFonts w:ascii="Times New Roman" w:hAnsi="Times New Roman"/>
          <w:b/>
          <w:bCs/>
          <w:color w:val="auto"/>
          <w:sz w:val="24"/>
          <w:szCs w:val="28"/>
        </w:rPr>
        <w:t xml:space="preserve">СПЕЦИФИКАЦИЯ ПРОДУКЦИИ</w:t>
      </w:r>
      <w:r>
        <w:rPr>
          <w:rFonts w:ascii="Times New Roman" w:hAnsi="Times New Roman"/>
          <w:b/>
          <w:bCs/>
          <w:color w:val="auto"/>
          <w:sz w:val="24"/>
          <w:szCs w:val="28"/>
        </w:rPr>
      </w:r>
      <w:r>
        <w:rPr>
          <w:rFonts w:ascii="Times New Roman" w:hAnsi="Times New Roman"/>
          <w:b/>
          <w:bCs/>
          <w:color w:val="auto"/>
          <w:sz w:val="24"/>
          <w:szCs w:val="28"/>
        </w:rPr>
      </w:r>
    </w:p>
    <w:p>
      <w:pPr>
        <w:jc w:val="center"/>
        <w:spacing w:after="160" w:line="259" w:lineRule="auto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i/>
          <w:iCs/>
          <w:color w:val="000000" w:themeColor="text1"/>
        </w:rPr>
      </w:r>
      <w:r>
        <w:rPr>
          <w:rFonts w:ascii="Times New Roman" w:hAnsi="Times New Roman"/>
          <w:i/>
          <w:iCs/>
          <w:color w:val="000000" w:themeColor="text1"/>
        </w:rPr>
      </w:r>
      <w:r>
        <w:rPr>
          <w:rFonts w:ascii="Times New Roman" w:hAnsi="Times New Roman"/>
          <w:i/>
          <w:iCs/>
          <w:color w:val="000000" w:themeColor="text1"/>
        </w:rPr>
      </w:r>
    </w:p>
    <w:tbl>
      <w:tblPr>
        <w:tblW w:w="11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"/>
        <w:gridCol w:w="4945"/>
        <w:gridCol w:w="1391"/>
        <w:gridCol w:w="1088"/>
        <w:gridCol w:w="1768"/>
        <w:gridCol w:w="1722"/>
      </w:tblGrid>
      <w:tr>
        <w:tblPrEx/>
        <w:trPr>
          <w:jc w:val="center"/>
          <w:trHeight w:val="1309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4945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Ед.изм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088" w:type="dxa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76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*Цена за ед., руб.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*Сумма, руб.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929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45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Права использования "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Web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-система СБИС" ЭДО 200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•    Поквартальная пакетная тарификация (200 пакетов документов в год) 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•    Роуминг со всеми операторами 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• Простое согласование документов (без настройки маршрутов) 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• Уведомления о новых документах и мобильное приложение 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  <w:p>
            <w:pPr>
              <w:spacing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•    Переписка/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видеозвонки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 по документам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ш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тука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08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W w:w="17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5000,00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5000,00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648"/>
        </w:trPr>
        <w:tc>
          <w:tcPr>
            <w:gridSpan w:val="5"/>
            <w:tcW w:w="1004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 xml:space="preserve">Итого: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  <w:t xml:space="preserve">5000,00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8"/>
              </w:rPr>
            </w:r>
          </w:p>
        </w:tc>
      </w:tr>
    </w:tbl>
    <w:p>
      <w:pPr>
        <w:rPr>
          <w:rFonts w:ascii="Times New Roman" w:hAnsi="Times New Roman"/>
          <w:color w:val="000000" w:themeColor="text1"/>
          <w:sz w:val="14"/>
          <w:szCs w:val="14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*Валюта рубль Российской Федерации. Указанное значение цены будет снижено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пропорционально поданному ценовому предложению участника закупочной сессии, с которым заключается контракт при этом, в случае если при делении на коэффициент снижения образуется более двух значений после запятой, то округление происходит в меньшую сторону.</w:t>
      </w:r>
      <w:r>
        <w:rPr>
          <w:rFonts w:ascii="Times New Roman" w:hAnsi="Times New Roman"/>
          <w:color w:val="000000" w:themeColor="text1"/>
          <w:sz w:val="14"/>
          <w:szCs w:val="14"/>
        </w:rPr>
      </w:r>
      <w:r>
        <w:rPr>
          <w:rFonts w:ascii="Times New Roman" w:hAnsi="Times New Roman"/>
          <w:color w:val="000000" w:themeColor="text1"/>
          <w:sz w:val="14"/>
          <w:szCs w:val="14"/>
        </w:rPr>
      </w:r>
    </w:p>
    <w:p>
      <w:pPr>
        <w:spacing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Итоговая стоимость является твердой и определяется на весь срок исполнения обязательств сторон.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/>
          <w:color w:val="auto"/>
          <w:sz w:val="24"/>
          <w:szCs w:val="24"/>
        </w:rPr>
        <w:outlineLvl w:val="1"/>
        <w:suppressLineNumbers/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20" w:right="720" w:bottom="720" w:left="72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Unicode MS">
    <w:panose1 w:val="020B0604020202020204"/>
  </w:font>
  <w:font w:name="Segoe UI">
    <w:panose1 w:val="020B0502040504020204"/>
  </w:font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8144376"/>
      <w:docPartObj>
        <w:docPartGallery w:val="Page Numbers (Bottom of Page)"/>
        <w:docPartUnique w:val="true"/>
      </w:docPartObj>
      <w:rPr/>
    </w:sdtPr>
    <w:sdtContent>
      <w:p>
        <w:pPr>
          <w:pStyle w:val="87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852"/>
    <w:link w:val="85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0">
    <w:name w:val="Heading 2 Char"/>
    <w:basedOn w:val="852"/>
    <w:link w:val="851"/>
    <w:uiPriority w:val="9"/>
    <w:rPr>
      <w:rFonts w:ascii="Liberation Sans" w:hAnsi="Liberation Sans" w:eastAsia="Liberation Sans" w:cs="Liberation Sans"/>
      <w:sz w:val="34"/>
    </w:rPr>
  </w:style>
  <w:style w:type="paragraph" w:styleId="681">
    <w:name w:val="Heading 3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2">
    <w:name w:val="Heading 3 Char"/>
    <w:basedOn w:val="852"/>
    <w:link w:val="68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3">
    <w:name w:val="Heading 4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4">
    <w:name w:val="Heading 4 Char"/>
    <w:basedOn w:val="852"/>
    <w:link w:val="68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5">
    <w:name w:val="Heading 5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6">
    <w:name w:val="Heading 5 Char"/>
    <w:basedOn w:val="852"/>
    <w:link w:val="68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7">
    <w:name w:val="Heading 6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8">
    <w:name w:val="Heading 6 Char"/>
    <w:basedOn w:val="852"/>
    <w:link w:val="68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9">
    <w:name w:val="Heading 7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0">
    <w:name w:val="Heading 7 Char"/>
    <w:basedOn w:val="852"/>
    <w:link w:val="68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1">
    <w:name w:val="Heading 8"/>
    <w:basedOn w:val="849"/>
    <w:next w:val="849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2">
    <w:name w:val="Heading 8 Char"/>
    <w:basedOn w:val="852"/>
    <w:link w:val="69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3">
    <w:name w:val="Heading 9"/>
    <w:basedOn w:val="849"/>
    <w:next w:val="849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4">
    <w:name w:val="Heading 9 Char"/>
    <w:basedOn w:val="852"/>
    <w:link w:val="69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No Spacing"/>
    <w:uiPriority w:val="1"/>
    <w:qFormat/>
    <w:pPr>
      <w:spacing w:before="0" w:after="0" w:line="240" w:lineRule="auto"/>
    </w:pPr>
  </w:style>
  <w:style w:type="character" w:styleId="696">
    <w:name w:val="Title Char"/>
    <w:basedOn w:val="852"/>
    <w:link w:val="868"/>
    <w:uiPriority w:val="10"/>
    <w:rPr>
      <w:sz w:val="48"/>
      <w:szCs w:val="48"/>
    </w:rPr>
  </w:style>
  <w:style w:type="paragraph" w:styleId="697">
    <w:name w:val="Subtitle"/>
    <w:basedOn w:val="849"/>
    <w:next w:val="849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49"/>
    <w:next w:val="849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49"/>
    <w:next w:val="849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2"/>
    <w:link w:val="875"/>
    <w:uiPriority w:val="99"/>
  </w:style>
  <w:style w:type="character" w:styleId="704">
    <w:name w:val="Footer Char"/>
    <w:basedOn w:val="852"/>
    <w:link w:val="877"/>
    <w:uiPriority w:val="99"/>
  </w:style>
  <w:style w:type="character" w:styleId="705">
    <w:name w:val="Caption Char"/>
    <w:basedOn w:val="852"/>
    <w:link w:val="866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8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9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3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4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5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0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2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2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uiPriority w:val="4"/>
    <w:qFormat/>
    <w:pPr>
      <w:jc w:val="both"/>
      <w:spacing w:before="120" w:after="120"/>
    </w:pPr>
    <w:rPr>
      <w:rFonts w:ascii="Tahoma" w:hAnsi="Tahoma" w:eastAsia="Times New Roman" w:cs="Times New Roman"/>
      <w:color w:val="16394f"/>
      <w:szCs w:val="20"/>
      <w:lang w:eastAsia="ru-RU"/>
    </w:rPr>
  </w:style>
  <w:style w:type="paragraph" w:styleId="850">
    <w:name w:val="Heading 1"/>
    <w:basedOn w:val="849"/>
    <w:next w:val="849"/>
    <w:link w:val="86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851">
    <w:name w:val="Heading 2"/>
    <w:basedOn w:val="849"/>
    <w:link w:val="855"/>
    <w:uiPriority w:val="2"/>
    <w:qFormat/>
    <w:pPr>
      <w:jc w:val="left"/>
      <w:keepNext/>
      <w:spacing w:before="400"/>
      <w:outlineLvl w:val="1"/>
    </w:pPr>
    <w:rPr>
      <w:color w:val="003366"/>
      <w:sz w:val="32"/>
      <w:szCs w:val="44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character" w:styleId="855" w:customStyle="1">
    <w:name w:val="Заголовок 2 Знак"/>
    <w:basedOn w:val="852"/>
    <w:link w:val="851"/>
    <w:uiPriority w:val="2"/>
    <w:qFormat/>
    <w:rPr>
      <w:rFonts w:ascii="Tahoma" w:hAnsi="Tahoma" w:eastAsia="Times New Roman" w:cs="Times New Roman"/>
      <w:color w:val="003366"/>
      <w:sz w:val="32"/>
      <w:szCs w:val="44"/>
      <w:lang w:eastAsia="ru-RU"/>
    </w:rPr>
  </w:style>
  <w:style w:type="character" w:styleId="856" w:customStyle="1">
    <w:name w:val="normaltextrun"/>
    <w:basedOn w:val="852"/>
    <w:qFormat/>
  </w:style>
  <w:style w:type="character" w:styleId="857" w:customStyle="1">
    <w:name w:val="apple-converted-space"/>
    <w:basedOn w:val="852"/>
    <w:qFormat/>
  </w:style>
  <w:style w:type="character" w:styleId="858" w:customStyle="1">
    <w:name w:val="spellingerror"/>
    <w:basedOn w:val="852"/>
    <w:qFormat/>
  </w:style>
  <w:style w:type="character" w:styleId="859" w:customStyle="1">
    <w:name w:val="eop"/>
    <w:basedOn w:val="852"/>
    <w:qFormat/>
  </w:style>
  <w:style w:type="character" w:styleId="860" w:customStyle="1">
    <w:name w:val="scx7026291"/>
    <w:basedOn w:val="852"/>
    <w:qFormat/>
  </w:style>
  <w:style w:type="character" w:styleId="861" w:customStyle="1">
    <w:name w:val="Текст выноски Знак"/>
    <w:basedOn w:val="852"/>
    <w:uiPriority w:val="99"/>
    <w:semiHidden/>
    <w:qFormat/>
    <w:rPr>
      <w:rFonts w:ascii="Segoe UI" w:hAnsi="Segoe UI" w:eastAsia="Times New Roman" w:cs="Segoe UI"/>
      <w:color w:val="16394f"/>
      <w:sz w:val="18"/>
      <w:szCs w:val="18"/>
      <w:lang w:eastAsia="ru-RU"/>
    </w:rPr>
  </w:style>
  <w:style w:type="character" w:styleId="862" w:customStyle="1">
    <w:name w:val="Заголовок 1 Знак"/>
    <w:basedOn w:val="852"/>
    <w:link w:val="850"/>
    <w:uiPriority w:val="9"/>
    <w:qFormat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paragraph" w:styleId="863" w:customStyle="1">
    <w:name w:val="Заголовок1"/>
    <w:basedOn w:val="849"/>
    <w:next w:val="864"/>
    <w:qFormat/>
    <w:pPr>
      <w:keepNext/>
      <w:spacing w:before="240"/>
    </w:pPr>
    <w:rPr>
      <w:rFonts w:ascii="Liberation Sans" w:hAnsi="Liberation Sans" w:eastAsia="Arial Unicode MS" w:cs="Arial Unicode MS"/>
      <w:sz w:val="28"/>
      <w:szCs w:val="28"/>
    </w:rPr>
  </w:style>
  <w:style w:type="paragraph" w:styleId="864">
    <w:name w:val="Body Text"/>
    <w:basedOn w:val="849"/>
    <w:pPr>
      <w:spacing w:before="0" w:after="140" w:line="288" w:lineRule="auto"/>
    </w:pPr>
  </w:style>
  <w:style w:type="paragraph" w:styleId="865">
    <w:name w:val="List"/>
    <w:basedOn w:val="864"/>
  </w:style>
  <w:style w:type="paragraph" w:styleId="866">
    <w:name w:val="Caption"/>
    <w:basedOn w:val="849"/>
    <w:link w:val="705"/>
    <w:qFormat/>
    <w:pPr>
      <w:suppressLineNumbers/>
    </w:pPr>
    <w:rPr>
      <w:i/>
      <w:iCs/>
      <w:sz w:val="24"/>
      <w:szCs w:val="24"/>
    </w:rPr>
  </w:style>
  <w:style w:type="paragraph" w:styleId="867">
    <w:name w:val="index heading"/>
    <w:basedOn w:val="849"/>
    <w:qFormat/>
    <w:pPr>
      <w:suppressLineNumbers/>
    </w:pPr>
  </w:style>
  <w:style w:type="paragraph" w:styleId="868">
    <w:name w:val="Title"/>
    <w:basedOn w:val="849"/>
    <w:qFormat/>
    <w:pPr>
      <w:suppressLineNumbers/>
    </w:pPr>
    <w:rPr>
      <w:i/>
      <w:iCs/>
      <w:sz w:val="24"/>
      <w:szCs w:val="24"/>
    </w:rPr>
  </w:style>
  <w:style w:type="paragraph" w:styleId="869">
    <w:name w:val="List Paragraph"/>
    <w:basedOn w:val="849"/>
    <w:uiPriority w:val="34"/>
    <w:qFormat/>
    <w:pPr>
      <w:contextualSpacing/>
      <w:ind w:left="720"/>
    </w:pPr>
  </w:style>
  <w:style w:type="paragraph" w:styleId="870" w:customStyle="1">
    <w:name w:val="paragraph"/>
    <w:basedOn w:val="849"/>
    <w:qFormat/>
    <w:pPr>
      <w:jc w:val="left"/>
      <w:spacing w:beforeAutospacing="1" w:afterAutospacing="1"/>
    </w:pPr>
    <w:rPr>
      <w:rFonts w:ascii="Times New Roman" w:hAnsi="Times New Roman"/>
      <w:color w:val="00000a"/>
      <w:sz w:val="24"/>
      <w:szCs w:val="24"/>
    </w:rPr>
  </w:style>
  <w:style w:type="paragraph" w:styleId="871">
    <w:name w:val="Balloon Text"/>
    <w:basedOn w:val="849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872" w:customStyle="1">
    <w:name w:val="Содержимое таблицы"/>
    <w:basedOn w:val="849"/>
    <w:qFormat/>
    <w:pPr>
      <w:suppressLineNumbers/>
    </w:pPr>
  </w:style>
  <w:style w:type="paragraph" w:styleId="873" w:customStyle="1">
    <w:name w:val="Заголовок таблицы"/>
    <w:basedOn w:val="872"/>
    <w:qFormat/>
    <w:pPr>
      <w:jc w:val="center"/>
    </w:pPr>
    <w:rPr>
      <w:b/>
      <w:bCs/>
    </w:rPr>
  </w:style>
  <w:style w:type="table" w:styleId="874">
    <w:name w:val="Table Grid"/>
    <w:basedOn w:val="85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5">
    <w:name w:val="Header"/>
    <w:basedOn w:val="849"/>
    <w:link w:val="876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852"/>
    <w:link w:val="875"/>
    <w:uiPriority w:val="99"/>
    <w:rPr>
      <w:rFonts w:ascii="Tahoma" w:hAnsi="Tahoma" w:eastAsia="Times New Roman" w:cs="Times New Roman"/>
      <w:color w:val="16394f"/>
      <w:szCs w:val="20"/>
      <w:lang w:eastAsia="ru-RU"/>
    </w:rPr>
  </w:style>
  <w:style w:type="paragraph" w:styleId="877">
    <w:name w:val="Footer"/>
    <w:basedOn w:val="849"/>
    <w:link w:val="878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852"/>
    <w:link w:val="877"/>
    <w:uiPriority w:val="99"/>
    <w:rPr>
      <w:rFonts w:ascii="Tahoma" w:hAnsi="Tahoma" w:eastAsia="Times New Roman" w:cs="Times New Roman"/>
      <w:color w:val="16394f"/>
      <w:szCs w:val="20"/>
      <w:lang w:eastAsia="ru-RU"/>
    </w:rPr>
  </w:style>
  <w:style w:type="character" w:styleId="879" w:customStyle="1">
    <w:name w:val="text-green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62AE-4D12-47E5-8492-671C0384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 И.Е.</dc:creator>
  <dc:description/>
  <dc:language>ru-RU</dc:language>
  <cp:lastModifiedBy>77-orm@JSRK.RU</cp:lastModifiedBy>
  <cp:revision>6</cp:revision>
  <dcterms:created xsi:type="dcterms:W3CDTF">2025-05-27T08:44:00Z</dcterms:created>
  <dcterms:modified xsi:type="dcterms:W3CDTF">2026-05-25T11:40:23Z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