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ind w:left="-283" w:right="0" w:firstLine="567"/>
        <w:jc w:val="center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Техническое задание</w:t>
      </w:r>
      <w:r>
        <w:rPr>
          <w:rFonts w:ascii="PT Astra Serif" w:hAnsi="PT Astra Serif" w:cs="PT Astra Serif"/>
          <w:b/>
          <w:sz w:val="32"/>
          <w:szCs w:val="32"/>
        </w:rPr>
      </w:r>
      <w:r>
        <w:rPr>
          <w:rFonts w:ascii="PT Astra Serif" w:hAnsi="PT Astra Serif" w:cs="PT Astra Serif"/>
          <w:b/>
          <w:sz w:val="32"/>
          <w:szCs w:val="32"/>
        </w:rPr>
      </w:r>
    </w:p>
    <w:p>
      <w:pPr>
        <w:pStyle w:val="858"/>
        <w:ind w:left="-283" w:right="0" w:firstLine="5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58"/>
        <w:ind w:left="-283" w:right="0" w:firstLine="567"/>
        <w:jc w:val="both"/>
        <w:rPr>
          <w:rFonts w:ascii="PT Astra Serif" w:hAnsi="PT Astra Serif" w:cs="PT Astra Serif"/>
          <w:bCs/>
          <w:iCs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1. Предмет закупки: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оказание услуг по утилизации непригодного к дальнейшему использованию оборудования средств печати и копирования данных (ПКД) для нужд Управления Росреестра по Республике Адыгея.</w:t>
      </w:r>
      <w:r>
        <w:rPr>
          <w:rFonts w:ascii="PT Astra Serif" w:hAnsi="PT Astra Serif" w:cs="PT Astra Serif"/>
          <w:bCs/>
          <w:iCs/>
          <w:color w:val="000000"/>
          <w:sz w:val="24"/>
          <w:szCs w:val="24"/>
        </w:rPr>
      </w:r>
      <w:r>
        <w:rPr>
          <w:rFonts w:ascii="PT Astra Serif" w:hAnsi="PT Astra Serif" w:cs="PT Astra Serif"/>
          <w:bCs/>
          <w:iCs/>
          <w:color w:val="000000"/>
          <w:sz w:val="24"/>
          <w:szCs w:val="24"/>
        </w:rPr>
      </w:r>
    </w:p>
    <w:p>
      <w:pPr>
        <w:pStyle w:val="858"/>
        <w:ind w:left="-283" w:right="0" w:firstLine="567"/>
        <w:jc w:val="both"/>
        <w:spacing w:before="102" w:beforeAutospacing="0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Требование к месту оказания услуг: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940"/>
        <w:ind w:left="-283" w:right="0" w:firstLine="567"/>
        <w:jc w:val="both"/>
        <w:widowControl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Услуги оказываются по месту нахождения Исполнителя.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40"/>
        <w:ind w:left="-283" w:right="0" w:firstLine="567"/>
        <w:jc w:val="both"/>
        <w:widowControl/>
        <w:rPr>
          <w:rFonts w:ascii="PT Astra Serif" w:hAnsi="PT Astra Serif" w:cs="PT Astra Serif"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Сбор оборудования, подлежащего утилизации, производится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с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территории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Заказчика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расположенной по адресу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:   г. Майкоп, ул. Краснооктябрьская, д. 44.</w:t>
      </w:r>
      <w:r>
        <w:rPr>
          <w:rFonts w:ascii="PT Astra Serif" w:hAnsi="PT Astra Serif" w:cs="PT Astra Serif"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color w:val="000000"/>
          <w:spacing w:val="-8"/>
          <w:sz w:val="24"/>
          <w:szCs w:val="24"/>
        </w:rPr>
      </w:r>
    </w:p>
    <w:p>
      <w:pPr>
        <w:pStyle w:val="940"/>
        <w:ind w:left="-283" w:right="0" w:firstLine="567"/>
        <w:jc w:val="both"/>
        <w:spacing w:before="102" w:beforeAutospacing="0"/>
        <w:widowControl/>
        <w:rPr>
          <w:rFonts w:ascii="PT Astra Serif" w:hAnsi="PT Astra Serif" w:cs="PT Astra Serif"/>
          <w:bCs/>
          <w:color w:val="000000"/>
          <w:spacing w:val="-8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3. </w:t>
      </w:r>
      <w:r>
        <w:rPr>
          <w:rFonts w:ascii="PT Astra Serif" w:hAnsi="PT Astra Serif" w:eastAsia="PT Astra Serif" w:cs="PT Astra Serif"/>
          <w:b/>
          <w:bCs/>
          <w:color w:val="000000"/>
          <w:spacing w:val="-8"/>
          <w:sz w:val="24"/>
          <w:szCs w:val="24"/>
        </w:rPr>
        <w:t xml:space="preserve">Срок оказания услуги: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с момента подписания контракта до 20 ноября 2026 года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.</w:t>
      </w:r>
      <w:r>
        <w:rPr>
          <w:rFonts w:ascii="PT Astra Serif" w:hAnsi="PT Astra Serif" w:cs="PT Astra Serif"/>
          <w:bCs/>
          <w:color w:val="000000"/>
          <w:spacing w:val="-8"/>
        </w:rPr>
      </w:r>
      <w:r>
        <w:rPr>
          <w:rFonts w:ascii="PT Astra Serif" w:hAnsi="PT Astra Serif" w:cs="PT Astra Serif"/>
          <w:bCs/>
          <w:color w:val="000000"/>
          <w:spacing w:val="-8"/>
        </w:rPr>
      </w:r>
    </w:p>
    <w:p>
      <w:pPr>
        <w:pStyle w:val="858"/>
        <w:ind w:left="-283" w:right="0" w:firstLine="567"/>
        <w:jc w:val="both"/>
        <w:spacing w:before="102" w:beforeAutospacing="0"/>
        <w:tabs>
          <w:tab w:val="left" w:pos="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4. 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Требования к исполнителю: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keepNext/>
        <w:tabs>
          <w:tab w:val="num" w:pos="1320" w:leader="none"/>
        </w:tabs>
        <w:rPr>
          <w:rFonts w:ascii="PT Astra Serif" w:hAnsi="PT Astra Serif" w:cs="PT Astra Serif"/>
          <w:sz w:val="24"/>
          <w:szCs w:val="24"/>
        </w:rPr>
        <w:suppressLineNumbers/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4.1.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Усл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уги по сбору, транспортированию,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утилизации оборудования, подлежащего утилизации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должны осуществляться собственными силами Исполнителя без привлечения третьих лиц и в соответствии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с действующими требованиями санитарно-эпидемиологических и природоохранного законодательств и иных норм, и правил Российской Федерации.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-283" w:right="0" w:firstLine="567"/>
        <w:jc w:val="both"/>
        <w:keepNext/>
        <w:tabs>
          <w:tab w:val="num" w:pos="1320" w:leader="none"/>
        </w:tabs>
        <w:rPr>
          <w:rFonts w:ascii="PT Astra Serif" w:hAnsi="PT Astra Serif" w:cs="PT Astra Serif"/>
          <w:b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4.2. Исполнитель оказывает услуги только при наличии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действующих лицензий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:</w:t>
      </w:r>
      <w:r>
        <w:rPr>
          <w:rFonts w:ascii="PT Astra Serif" w:hAnsi="PT Astra Serif" w:cs="PT Astra Serif"/>
          <w:b/>
          <w:sz w:val="22"/>
          <w:szCs w:val="22"/>
          <w14:ligatures w14:val="none"/>
        </w:rPr>
      </w:r>
      <w:r>
        <w:rPr>
          <w:rFonts w:ascii="PT Astra Serif" w:hAnsi="PT Astra Serif" w:cs="PT Astra Serif"/>
          <w:b/>
          <w:sz w:val="22"/>
          <w:szCs w:val="22"/>
          <w14:ligatures w14:val="none"/>
        </w:rPr>
      </w:r>
    </w:p>
    <w:p>
      <w:pPr>
        <w:pStyle w:val="698"/>
        <w:numPr>
          <w:ilvl w:val="0"/>
          <w:numId w:val="7"/>
        </w:numPr>
        <w:ind w:left="-283" w:right="0" w:firstLine="567"/>
        <w:jc w:val="both"/>
        <w:keepNext/>
        <w:tabs>
          <w:tab w:val="left" w:pos="850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лицензии на осуществление деятельности по сбору, транспортированию, обработке, утилизации, обезвреживанию, размещению о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тходов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I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II-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IV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к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ласса опасности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left="-283" w:right="0" w:firstLine="567"/>
        <w:jc w:val="both"/>
        <w:keepNext/>
        <w:tabs>
          <w:tab w:val="num" w:pos="1320" w:leader="none"/>
        </w:tabs>
        <w:rPr>
          <w:rFonts w:ascii="PT Astra Serif" w:hAnsi="PT Astra Serif" w:cs="PT Astra Serif"/>
          <w:sz w:val="24"/>
          <w:szCs w:val="24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В приложении к лицензии должны присутствовать следующие наименования отходов:</w:t>
      </w:r>
      <w:r>
        <w:rPr>
          <w:rFonts w:ascii="PT Astra Serif" w:hAnsi="PT Astra Serif" w:cs="PT Astra Serif"/>
          <w:sz w:val="24"/>
          <w:szCs w:val="24"/>
          <w:highlight w:val="none"/>
          <w14:ligatures w14:val="none"/>
        </w:rPr>
      </w:r>
      <w:r>
        <w:rPr>
          <w:rFonts w:ascii="PT Astra Serif" w:hAnsi="PT Astra Serif" w:cs="PT Astra Serif"/>
          <w:sz w:val="24"/>
          <w:szCs w:val="24"/>
          <w:highlight w:val="none"/>
          <w14:ligatures w14:val="none"/>
        </w:rPr>
      </w:r>
    </w:p>
    <w:p>
      <w:pPr>
        <w:pStyle w:val="698"/>
        <w:numPr>
          <w:ilvl w:val="0"/>
          <w:numId w:val="12"/>
        </w:numPr>
        <w:ind w:left="-283" w:right="0" w:firstLine="567"/>
        <w:jc w:val="both"/>
        <w:tabs>
          <w:tab w:val="left" w:pos="85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Принтеры, сканеры, многофункциональные устройства (МФУ), утра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тившие потребительские свойства (код по ФККО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4 81 202 01 52 4)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698"/>
        <w:numPr>
          <w:ilvl w:val="0"/>
          <w:numId w:val="11"/>
        </w:numPr>
        <w:ind w:left="-283" w:right="0" w:firstLine="567"/>
        <w:jc w:val="both"/>
        <w:tabs>
          <w:tab w:val="left" w:pos="85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лицензии по заготовке, хранению, переработке и реализации лома черных металлов, цветных металлов;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-283" w:right="0" w:firstLine="567"/>
        <w:jc w:val="both"/>
        <w:keepNext/>
        <w:tabs>
          <w:tab w:val="num" w:pos="1320" w:leader="none"/>
        </w:tabs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4.3.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Для работы с драгметаллами Исполнитель должен иметь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действующее свидетельство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 о постановке на специальный учет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в Российской государственной пробирной палате (постановке на специальный учет подлежат юридические лица и индивидуальные предприниматели, осуществляющие операции с драгоценными металлами и драгоценными камнями).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pStyle w:val="858"/>
        <w:ind w:left="-283" w:right="0" w:firstLine="567"/>
        <w:jc w:val="both"/>
        <w:spacing w:before="102" w:beforeAutospacing="0"/>
        <w:tabs>
          <w:tab w:val="left" w:pos="0" w:leader="none"/>
        </w:tabs>
        <w:rPr>
          <w:rFonts w:ascii="PT Astra Serif" w:hAnsi="PT Astra Serif" w:cs="PT Astra Serif"/>
          <w:b/>
          <w:bCs/>
          <w:iCs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5. 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Функциональные, технические и качественные характеристики, эк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плуатационные характеристики объекта закупки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</w:rPr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</w:rPr>
      </w:r>
    </w:p>
    <w:p>
      <w:pPr>
        <w:pStyle w:val="858"/>
        <w:ind w:left="-283" w:right="0" w:firstLine="567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 Оказание услуг по сбору,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транспортированию,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утилизации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отходов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должно производиться с соблюдением требований: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Федерального закона от 24.06.1998г. № 89-ФЗ «Об отходах производства и потребления»;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Федерального закона от 10.01.2002 N 7-ФЗ «Об охране окружающей среды»;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shd w:val="clear" w:color="auto" w:fill="ffff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Федерального закона от 04.05.2011 №99-ФЗ «О лицензировании отдельных видов деятельности»;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shd w:val="clear" w:color="auto" w:fill="ffff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Федерального закона от 30 марта 1999 года №52-ФЗ «О санитарно-эпидемиологическом благополучии населения»;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shd w:val="clear" w:color="auto" w:fill="ffff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Постановление главного санитарного врача РФ от 28.01.2021 №3 Об утверждении санитарных правил и норм СанПиН 2.1.3684-21 "Санитарно-эпидемиологические требования к содержанию территорий городских и сельских посел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shd w:val="clear" w:color="auto" w:fill="ffff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 других нормативных правовых актов, действующих на территории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8"/>
        <w:ind w:left="-283" w:right="0" w:firstLine="567"/>
        <w:jc w:val="both"/>
        <w:spacing w:before="125" w:beforeAutospacing="0"/>
        <w:rPr>
          <w:rFonts w:ascii="PT Astra Serif" w:hAnsi="PT Astra Serif" w:cs="PT Astra Serif"/>
          <w:b/>
          <w:bCs/>
          <w:iCs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6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. Требования к оказанию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 услуг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  <w:highlight w:val="none"/>
        </w:rPr>
      </w:r>
    </w:p>
    <w:p>
      <w:pPr>
        <w:ind w:left="-283" w:right="0" w:firstLine="567"/>
        <w:jc w:val="both"/>
        <w:rPr>
          <w:rFonts w:ascii="PT Astra Serif" w:hAnsi="PT Astra Serif" w:cs="PT Astra Serif"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1.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Сдача оборудования на утилизацию осуществляется единовременно. Заказчик осуществляет сдачу, а Исполнитель приемку оборудования Заказчика по адресу: </w:t>
      </w:r>
      <w:r>
        <w:rPr>
          <w:rFonts w:ascii="PT Astra Serif" w:hAnsi="PT Astra Serif" w:eastAsia="PT Astra Serif" w:cs="PT Astra Serif"/>
          <w:bCs/>
          <w:sz w:val="24"/>
          <w:szCs w:val="24"/>
          <w:highlight w:val="none"/>
        </w:rPr>
        <w:t xml:space="preserve">Республика Адыгея, г. Майкоп, ул. Краснооктябрьская, д.44</w:t>
      </w:r>
      <w:r>
        <w:rPr>
          <w:rFonts w:ascii="PT Astra Serif" w:hAnsi="PT Astra Serif" w:eastAsia="PT Astra Serif" w:cs="PT Astra Serif"/>
          <w:bCs/>
          <w:sz w:val="24"/>
          <w:szCs w:val="24"/>
          <w:highlight w:val="none"/>
        </w:rPr>
        <w:t xml:space="preserve">.</w:t>
      </w:r>
      <w:r>
        <w:rPr>
          <w:rFonts w:ascii="PT Astra Serif" w:hAnsi="PT Astra Serif" w:cs="PT Astra Serif"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Cs/>
          <w:sz w:val="24"/>
          <w:szCs w:val="24"/>
          <w:highlight w:val="none"/>
        </w:rPr>
      </w:r>
    </w:p>
    <w:p>
      <w:pPr>
        <w:pStyle w:val="940"/>
        <w:ind w:left="-283" w:right="0" w:firstLine="567"/>
        <w:jc w:val="both"/>
        <w:rPr>
          <w:rFonts w:ascii="PT Astra Serif" w:hAnsi="PT Astra Serif" w:cs="PT Astra Serif"/>
          <w:bCs/>
          <w:color w:val="000000"/>
          <w:spacing w:val="-8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6.2. Списанное имущество согласно технической документации не содержит узлов и комплектующих изделий с грифами секретности, а также радиоактивных, взрывчатых и токсичных веществ.</w:t>
      </w:r>
      <w:r>
        <w:rPr>
          <w:rFonts w:ascii="PT Astra Serif" w:hAnsi="PT Astra Serif" w:cs="PT Astra Serif"/>
          <w:bCs/>
          <w:color w:val="000000"/>
          <w:spacing w:val="-8"/>
        </w:rPr>
      </w:r>
      <w:r>
        <w:rPr>
          <w:rFonts w:ascii="PT Astra Serif" w:hAnsi="PT Astra Serif" w:cs="PT Astra Serif"/>
          <w:bCs/>
          <w:color w:val="000000"/>
          <w:spacing w:val="-8"/>
        </w:rPr>
      </w:r>
    </w:p>
    <w:p>
      <w:pPr>
        <w:ind w:left="-283" w:right="0" w:firstLine="567"/>
        <w:jc w:val="both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6.3.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Перечень оборудования, передаваемого на утилизацию, указан в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п. 9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настояще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го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Техническо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го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задани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я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40"/>
        <w:ind w:left="-283" w:right="0" w:firstLine="567"/>
        <w:jc w:val="both"/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6.4. Передача имущества, подлежащего утилизации, от Заказчика Исполнителю оформляется Актом приема-передачи списанного имущества в 2 (двух) экземплярах и подписывается уполномоченными лицами Заказчика и Исполнителя.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С момента передачи такого имущества ответственность за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его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сохранность переходит к Исполнителю.</w:t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</w:p>
    <w:p>
      <w:pPr>
        <w:ind w:left="-283" w:right="0" w:firstLine="567"/>
        <w:jc w:val="both"/>
        <w:rPr>
          <w:rFonts w:ascii="PT Astra Serif" w:hAnsi="PT Astra Serif" w:cs="PT Astra Serif"/>
          <w:sz w:val="24"/>
          <w:szCs w:val="24"/>
          <w:highlight w:val="yellow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Форма Акта приема-передачи списанного имущества приведена в Приложении № 1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к настоящему Техническому заданию.</w:t>
      </w:r>
      <w:r>
        <w:rPr>
          <w:rFonts w:ascii="PT Astra Serif" w:hAnsi="PT Astra Serif" w:cs="PT Astra Serif"/>
          <w:sz w:val="24"/>
          <w:szCs w:val="24"/>
          <w:highlight w:val="yellow"/>
        </w:rPr>
      </w:r>
      <w:r>
        <w:rPr>
          <w:rFonts w:ascii="PT Astra Serif" w:hAnsi="PT Astra Serif" w:cs="PT Astra Serif"/>
          <w:sz w:val="24"/>
          <w:szCs w:val="24"/>
          <w:highlight w:val="yellow"/>
        </w:rPr>
      </w:r>
    </w:p>
    <w:p>
      <w:pPr>
        <w:pStyle w:val="940"/>
        <w:ind w:left="-283" w:right="0" w:firstLine="567"/>
        <w:jc w:val="both"/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6.5.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Отходы, образ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ованные Исполнителем в результате переработки переданного Заказчиком имущества и непригодные для дальнейшего использования, не возвращаются Заказчику Исполнителем, являются собственностью Исполнителя, и подлежат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передаче на размещение/обезвреживание таких отходов через лицензированные организации с соблюдением требований законодательства Российской Федерации. </w:t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</w:p>
    <w:p>
      <w:pPr>
        <w:pStyle w:val="940"/>
        <w:ind w:left="-283" w:right="0" w:firstLine="567"/>
        <w:jc w:val="both"/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Исполнитель гарантирует Заказчику, что такие отходы будут переданы на размещение/ обезвреживание на лицензированном объекте.</w:t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</w:p>
    <w:p>
      <w:pPr>
        <w:pStyle w:val="940"/>
        <w:ind w:left="-283" w:right="0" w:firstLine="567"/>
        <w:jc w:val="both"/>
        <w:rPr>
          <w:rFonts w:ascii="PT Astra Serif" w:hAnsi="PT Astra Serif" w:cs="PT Astra Serif"/>
          <w:color w:val="000000"/>
          <w:spacing w:val="-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6.6. Исполнитель должен обеспечить и гарантировать, что утилизированное имущество Зака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зчика не будет вывезено на несанкционированные свалки и захоронены на полигонах ТБО без переработки, списанная оргтехника не будет отремонтирована (восстановлена) и использована после ремонта (восстановления) в соответствии с предназначением этих средств. </w:t>
      </w:r>
      <w:r>
        <w:rPr>
          <w:rFonts w:ascii="PT Astra Serif" w:hAnsi="PT Astra Serif" w:cs="PT Astra Serif"/>
          <w:color w:val="000000"/>
          <w:spacing w:val="-8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pacing w:val="-8"/>
          <w:sz w:val="24"/>
          <w:szCs w:val="24"/>
          <w:highlight w:val="none"/>
        </w:rPr>
      </w:r>
    </w:p>
    <w:p>
      <w:pPr>
        <w:ind w:left="-283" w:right="0"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6.7. Исполнитель обеспечивает соответствие результатов оказан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-283" w:right="0" w:firstLine="567"/>
        <w:jc w:val="both"/>
        <w:tabs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6.8. В стоимость услуг входят все затраты Исполнителя, связанные </w:t>
      </w:r>
      <w:r>
        <w:rPr>
          <w:rFonts w:ascii="PT Astra Serif" w:hAnsi="PT Astra Serif" w:eastAsia="PT Astra Serif" w:cs="PT Astra Serif"/>
          <w:sz w:val="24"/>
          <w:szCs w:val="24"/>
          <w:lang w:eastAsia="ar-SA"/>
        </w:rPr>
        <w:t xml:space="preserve">с оказанием услуг, расходы на погрузку-разгрузку, транспортировку, расходные материалы, упаковку, тару, страхование, </w:t>
      </w:r>
      <w:r>
        <w:rPr>
          <w:rFonts w:ascii="PT Astra Serif" w:hAnsi="PT Astra Serif" w:eastAsia="PT Astra Serif" w:cs="PT Astra Serif"/>
          <w:sz w:val="24"/>
          <w:szCs w:val="24"/>
          <w:lang w:eastAsia="ar-SA"/>
        </w:rPr>
        <w:t xml:space="preserve">обезвреживание, утилизацию и/или уничтожение, а также все расходы на уплату налогов, сборов и других обязательных платежей, предусмотренных законодательством Российской Федерации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-283" w:right="0" w:firstLine="567"/>
        <w:jc w:val="both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ar-SA"/>
        </w:rPr>
        <w:t xml:space="preserve">Неучтенные затраты Исполнителя, связанные с исполнением договора, но не включенные в его цену, Заказчиком не оплачиваются.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-283" w:right="0" w:firstLine="567"/>
        <w:jc w:val="both"/>
        <w:spacing w:before="102" w:beforeAutospacing="0"/>
        <w:tabs>
          <w:tab w:val="left" w:pos="0" w:leader="none"/>
        </w:tabs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7.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приемки оказанных Услуг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ind w:left="-283" w:right="0" w:firstLine="567"/>
        <w:jc w:val="both"/>
        <w:keepNext/>
        <w:tabs>
          <w:tab w:val="num" w:pos="1320" w:leader="none"/>
        </w:tabs>
        <w:rPr>
          <w:rFonts w:ascii="PT Astra Serif" w:hAnsi="PT Astra Serif" w:cs="PT Astra Serif"/>
          <w:sz w:val="24"/>
          <w:szCs w:val="24"/>
        </w:rPr>
        <w:suppressLineNumbers/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7.1.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Услуги считаются оказанными в полном объеме после проведения Исполнителем соответствующих законодательству мероприятий по утилизации (обезвреживанию и/или переработке и/или уничтожению и проч.) оборудования и передачи Заказчику соответствующих документов: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41"/>
        <w:ind w:left="-283" w:right="0" w:firstLine="567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Счет;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41"/>
        <w:ind w:left="-283" w:right="0" w:firstLine="567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Счет-фактура (при наличии);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41"/>
        <w:ind w:left="-283" w:right="0" w:firstLine="567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Акт приема-передачи оборудования;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41"/>
        <w:ind w:left="-283" w:right="0" w:firstLine="567"/>
        <w:jc w:val="both"/>
        <w:spacing w:after="0" w:line="240" w:lineRule="auto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Акт утилизации (акт оказанных услуг);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left="-283" w:right="0" w:firstLine="567"/>
        <w:jc w:val="both"/>
        <w:spacing w:before="102" w:beforeAutospacing="0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Гарантийный срок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на оказываемые услуги должен составлять не менее 12 (Двенадцати) месяцев с момента подписания сторонами акта оказанных услуг.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left="-283" w:right="0" w:firstLine="567"/>
        <w:shd w:val="nil" w:color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br w:type="page" w:clear="all"/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941"/>
        <w:ind w:left="-283" w:right="0" w:firstLine="567"/>
        <w:jc w:val="both"/>
        <w:spacing w:before="119" w:beforeAutospacing="0" w:after="147" w:afterAutospacing="0" w:line="240" w:lineRule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9. Перечень оборудования, подлежащего утилизации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432"/>
        <w:gridCol w:w="3543"/>
        <w:gridCol w:w="850"/>
        <w:gridCol w:w="1417"/>
        <w:gridCol w:w="1559"/>
        <w:gridCol w:w="850"/>
        <w:gridCol w:w="992"/>
      </w:tblGrid>
      <w:tr>
        <w:tblPrEx/>
        <w:trPr>
          <w:trHeight w:val="0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 №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п/п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center"/>
            <w:textDirection w:val="lrTb"/>
            <w:noWrap w:val="false"/>
          </w:tcPr>
          <w:p>
            <w:pPr>
              <w:contextualSpacing w:val="0"/>
              <w:ind w:left="57" w:right="0"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  <w:pBdr>
                <w:left w:val="none" w:color="000000" w:sz="4" w:space="34"/>
                <w:right w:val="none" w:color="000000" w:sz="4" w:space="34"/>
              </w:pBd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Наименование техники</w:t>
            </w:r>
            <w:r>
              <w:rPr>
                <w:rFonts w:ascii="PT Astra Serif" w:hAnsi="PT Astra Serif" w:eastAsia="PT Astra Serif" w:cs="PT Astra Serif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*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Кол-во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Состав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Инвентарный номер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Серий-ный номер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Год выпуска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center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МФУ Xerox Work Centre 3119 ч/б лазер.А4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Многофункциональное устройство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11010401062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center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 (многофункциональное устройство НР1120)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Многофункциональное устройство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01310776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Принтер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01310564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2007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01310753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01310278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2005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  (Тип1) Xerox Phaser 3250D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11010401390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2012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 Laser 1015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01310568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2007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 HP 1505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01310777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 НР LaserJet 1320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01310571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2007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 НР LaserJet 1320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01310575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2007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line="283" w:lineRule="atLeas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pPr>
              <w:ind w:left="57" w:right="0" w:firstLine="0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Принтер НР LaserJet 1022 USB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Принтер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01310741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uppressLineNumbers w:val="0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  <w:r/>
          </w:p>
        </w:tc>
      </w:tr>
    </w:tbl>
    <w:p>
      <w:pPr>
        <w:ind w:left="-283" w:right="0" w:firstLine="567"/>
        <w:shd w:val="nil" w:color="00000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-283" w:right="0" w:firstLine="567"/>
        <w:shd w:val="nil" w:color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</w:rPr>
        <w:br w:type="page" w:clear="all"/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40"/>
        <w:ind w:left="-283" w:right="0" w:firstLine="567"/>
        <w:jc w:val="right"/>
        <w:widowControl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8"/>
          <w:sz w:val="24"/>
          <w:szCs w:val="24"/>
        </w:rPr>
        <w:t xml:space="preserve">Приложение № </w:t>
      </w:r>
      <w:r>
        <w:rPr>
          <w:b/>
          <w:bCs/>
          <w:color w:val="000000"/>
          <w:spacing w:val="-8"/>
          <w:sz w:val="24"/>
          <w:szCs w:val="24"/>
        </w:rPr>
        <w:t xml:space="preserve">1</w:t>
      </w:r>
      <w:r>
        <w:rPr>
          <w:b/>
          <w:bCs/>
          <w:color w:val="000000"/>
          <w:spacing w:val="-8"/>
          <w:sz w:val="24"/>
          <w:szCs w:val="24"/>
        </w:rPr>
      </w:r>
      <w:r>
        <w:rPr>
          <w:b/>
          <w:bCs/>
          <w:color w:val="000000"/>
          <w:spacing w:val="-8"/>
          <w:sz w:val="24"/>
          <w:szCs w:val="24"/>
        </w:rPr>
      </w:r>
    </w:p>
    <w:p>
      <w:pPr>
        <w:pStyle w:val="940"/>
        <w:ind w:left="-283" w:right="0" w:firstLine="567"/>
        <w:jc w:val="right"/>
        <w:widowControl/>
        <w:rPr>
          <w:b/>
          <w:bCs/>
          <w:color w:val="000000"/>
          <w:spacing w:val="-8"/>
          <w:sz w:val="20"/>
          <w:szCs w:val="20"/>
        </w:rPr>
      </w:pPr>
      <w:r>
        <w:rPr>
          <w:b/>
          <w:bCs/>
          <w:color w:val="000000"/>
          <w:spacing w:val="-8"/>
          <w:sz w:val="24"/>
          <w:szCs w:val="24"/>
        </w:rPr>
        <w:t xml:space="preserve"> к Техническому заданию</w:t>
      </w:r>
      <w:r>
        <w:rPr>
          <w:b/>
          <w:bCs/>
          <w:color w:val="000000"/>
          <w:spacing w:val="-8"/>
          <w:sz w:val="20"/>
          <w:szCs w:val="20"/>
        </w:rPr>
      </w:r>
      <w:r>
        <w:rPr>
          <w:b/>
          <w:bCs/>
          <w:color w:val="000000"/>
          <w:spacing w:val="-8"/>
          <w:sz w:val="20"/>
          <w:szCs w:val="20"/>
        </w:rPr>
      </w:r>
    </w:p>
    <w:p>
      <w:pPr>
        <w:ind w:left="-283" w:right="0"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283" w:right="0"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283" w:righ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приема-передачи списанного имущества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/>
        <w:tc>
          <w:tcPr>
            <w:tcW w:w="5097" w:type="dxa"/>
            <w:textDirection w:val="lrTb"/>
            <w:noWrap w:val="false"/>
          </w:tcPr>
          <w:p>
            <w:pPr>
              <w:ind w:left="-283" w:righ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textDirection w:val="lrTb"/>
            <w:noWrap w:val="false"/>
          </w:tcPr>
          <w:p>
            <w:pPr>
              <w:ind w:left="-283" w:right="0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«___»_________________2026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-283"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3" w:right="0" w:firstLine="567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государственной службы регистрации, кадастра и картографии по Республике Адыгея,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sz w:val="24"/>
          <w:szCs w:val="24"/>
        </w:rPr>
        <w:t xml:space="preserve">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основании____________________________________________________ 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лице__________________________________ 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составили настоящий Акт о том, что Заказчик передал, а Исполнитель принял для утилизацию следующее Оборудование: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283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780" w:type="dxa"/>
        <w:tblInd w:w="-274" w:type="dxa"/>
        <w:tblLayout w:type="fixed"/>
        <w:tblLook w:val="0000" w:firstRow="0" w:lastRow="0" w:firstColumn="0" w:lastColumn="0" w:noHBand="0" w:noVBand="0"/>
      </w:tblPr>
      <w:tblGrid>
        <w:gridCol w:w="567"/>
        <w:gridCol w:w="3685"/>
        <w:gridCol w:w="1214"/>
        <w:gridCol w:w="1616"/>
        <w:gridCol w:w="1616"/>
        <w:gridCol w:w="1081"/>
      </w:tblGrid>
      <w:tr>
        <w:tblPrEx/>
        <w:trPr>
          <w:cantSplit/>
          <w:trHeight w:val="51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ind w:left="57" w:right="0" w:firstLine="0"/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85" w:type="dxa"/>
            <w:vAlign w:val="center"/>
            <w:vMerge w:val="restart"/>
            <w:textDirection w:val="lrTb"/>
            <w:noWrap w:val="false"/>
          </w:tcPr>
          <w:p>
            <w:pPr>
              <w:ind w:left="57" w:right="0" w:firstLine="0"/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4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16" w:type="dxa"/>
            <w:vAlign w:val="center"/>
            <w:vMerge w:val="restart"/>
            <w:textDirection w:val="lrTb"/>
            <w:noWrap w:val="false"/>
          </w:tcPr>
          <w:p>
            <w:pPr>
              <w:ind w:left="57" w:right="0" w:firstLine="0"/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Инвентарный номер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vAlign w:val="center"/>
            <w:vMerge w:val="restart"/>
            <w:textDirection w:val="lrTb"/>
            <w:noWrap w:val="false"/>
          </w:tcPr>
          <w:p>
            <w:pPr>
              <w:ind w:left="57" w:right="0" w:firstLine="0"/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Серийный номер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vMerge w:val="restart"/>
            <w:textDirection w:val="lrTb"/>
            <w:noWrap w:val="false"/>
          </w:tcPr>
          <w:p>
            <w:pPr>
              <w:ind w:left="57" w:right="0" w:firstLine="0"/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выпуска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4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14" w:type="dxa"/>
            <w:textDirection w:val="lrTb"/>
            <w:noWrap w:val="false"/>
          </w:tcPr>
          <w:p>
            <w:pPr>
              <w:ind w:left="57" w:right="0" w:firstLine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14" w:type="dxa"/>
            <w:textDirection w:val="lrTb"/>
            <w:noWrap w:val="false"/>
          </w:tcPr>
          <w:p>
            <w:pPr>
              <w:ind w:left="57" w:right="0" w:firstLine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14" w:type="dxa"/>
            <w:textDirection w:val="lrTb"/>
            <w:noWrap w:val="false"/>
          </w:tcPr>
          <w:p>
            <w:pPr>
              <w:ind w:left="57" w:right="0" w:firstLine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ind w:left="57" w:right="0" w:firstLine="0"/>
              <w:jc w:val="center"/>
              <w:spacing w:after="20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-283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1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1985"/>
        </w:trPr>
        <w:tc>
          <w:tcPr>
            <w:tcW w:w="5097" w:type="dxa"/>
            <w:textDirection w:val="lrTb"/>
            <w:noWrap w:val="false"/>
          </w:tcPr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ЗАКАЗЧИКА: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textDirection w:val="lrTb"/>
            <w:noWrap w:val="false"/>
          </w:tcPr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ИСПОЛНИТЕЛЯ: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283" w:righ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ind w:left="-283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1"/>
        <w:ind w:left="-283" w:right="0" w:firstLine="567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Mangal">
    <w:panose1 w:val="02040503050406030204"/>
  </w:font>
  <w:font w:name="Tahoma">
    <w:panose1 w:val="020B06040305040402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1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7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57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1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1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2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34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6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8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0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2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4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6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84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35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rFonts w:ascii="Times New Roman" w:hAnsi="Times New Roman" w:eastAsia="Times New Roman"/>
      <w:sz w:val="28"/>
      <w:szCs w:val="24"/>
      <w:lang w:val="ru-RU" w:eastAsia="ru-RU" w:bidi="ar-SA"/>
    </w:rPr>
  </w:style>
  <w:style w:type="character" w:styleId="859">
    <w:name w:val="Основной шрифт абзаца"/>
    <w:next w:val="859"/>
    <w:link w:val="858"/>
    <w:uiPriority w:val="1"/>
    <w:semiHidden/>
    <w:unhideWhenUsed/>
  </w:style>
  <w:style w:type="table" w:styleId="860">
    <w:name w:val="Обычная таблица"/>
    <w:next w:val="860"/>
    <w:link w:val="858"/>
    <w:uiPriority w:val="99"/>
    <w:semiHidden/>
    <w:unhideWhenUsed/>
    <w:qFormat/>
    <w:tblPr/>
  </w:style>
  <w:style w:type="numbering" w:styleId="861">
    <w:name w:val="Нет списка"/>
    <w:next w:val="861"/>
    <w:link w:val="858"/>
    <w:uiPriority w:val="99"/>
    <w:semiHidden/>
    <w:unhideWhenUsed/>
  </w:style>
  <w:style w:type="paragraph" w:styleId="862">
    <w:name w:val="Default"/>
    <w:next w:val="862"/>
    <w:link w:val="858"/>
    <w:rPr>
      <w:rFonts w:ascii="Times New Roman" w:hAnsi="Times New Roman" w:eastAsia="Times New Roman"/>
      <w:color w:val="000000"/>
      <w:sz w:val="24"/>
      <w:szCs w:val="24"/>
      <w:lang w:val="ru-RU" w:eastAsia="ru-RU" w:bidi="ar-SA"/>
    </w:rPr>
  </w:style>
  <w:style w:type="paragraph" w:styleId="863">
    <w:name w:val="Обычный (веб)"/>
    <w:basedOn w:val="858"/>
    <w:next w:val="863"/>
    <w:link w:val="858"/>
    <w:uiPriority w:val="99"/>
    <w:unhideWhenUsed/>
    <w:pPr>
      <w:spacing w:before="100" w:beforeAutospacing="1" w:after="100" w:afterAutospacing="1"/>
    </w:pPr>
    <w:rPr>
      <w:sz w:val="24"/>
    </w:rPr>
  </w:style>
  <w:style w:type="paragraph" w:styleId="864">
    <w:name w:val="Текст выноски"/>
    <w:basedOn w:val="858"/>
    <w:next w:val="864"/>
    <w:link w:val="865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65">
    <w:name w:val="Текст выноски Знак"/>
    <w:next w:val="865"/>
    <w:link w:val="864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866">
    <w:name w:val="Гиперссылка"/>
    <w:next w:val="866"/>
    <w:link w:val="858"/>
    <w:uiPriority w:val="99"/>
    <w:semiHidden/>
    <w:unhideWhenUsed/>
    <w:rPr>
      <w:color w:val="0000ff"/>
      <w:u w:val="single"/>
    </w:rPr>
  </w:style>
  <w:style w:type="character" w:styleId="867">
    <w:name w:val="Просмотренная гиперссылка"/>
    <w:next w:val="867"/>
    <w:link w:val="858"/>
    <w:uiPriority w:val="99"/>
    <w:semiHidden/>
    <w:unhideWhenUsed/>
    <w:rPr>
      <w:color w:val="800080"/>
      <w:u w:val="single"/>
    </w:rPr>
  </w:style>
  <w:style w:type="paragraph" w:styleId="868">
    <w:name w:val="xl66"/>
    <w:basedOn w:val="858"/>
    <w:next w:val="868"/>
    <w:link w:val="8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b/>
      <w:bCs/>
      <w:sz w:val="24"/>
    </w:rPr>
  </w:style>
  <w:style w:type="paragraph" w:styleId="869">
    <w:name w:val="xl67"/>
    <w:basedOn w:val="858"/>
    <w:next w:val="869"/>
    <w:link w:val="8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</w:rPr>
  </w:style>
  <w:style w:type="paragraph" w:styleId="870">
    <w:name w:val="xl68"/>
    <w:basedOn w:val="858"/>
    <w:next w:val="870"/>
    <w:link w:val="85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</w:rPr>
  </w:style>
  <w:style w:type="paragraph" w:styleId="871">
    <w:name w:val="xl69"/>
    <w:basedOn w:val="858"/>
    <w:next w:val="871"/>
    <w:link w:val="85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72">
    <w:name w:val="xl70"/>
    <w:basedOn w:val="858"/>
    <w:next w:val="872"/>
    <w:link w:val="85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73">
    <w:name w:val="xl71"/>
    <w:basedOn w:val="858"/>
    <w:next w:val="873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</w:rPr>
  </w:style>
  <w:style w:type="paragraph" w:styleId="874">
    <w:name w:val="xl72"/>
    <w:basedOn w:val="858"/>
    <w:next w:val="874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75">
    <w:name w:val="xl73"/>
    <w:basedOn w:val="858"/>
    <w:next w:val="875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76">
    <w:name w:val="xl74"/>
    <w:basedOn w:val="858"/>
    <w:next w:val="876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77">
    <w:name w:val="xl75"/>
    <w:basedOn w:val="858"/>
    <w:next w:val="877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78">
    <w:name w:val="xl76"/>
    <w:basedOn w:val="858"/>
    <w:next w:val="878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79">
    <w:name w:val="xl77"/>
    <w:basedOn w:val="858"/>
    <w:next w:val="879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</w:rPr>
  </w:style>
  <w:style w:type="paragraph" w:styleId="880">
    <w:name w:val="xl78"/>
    <w:basedOn w:val="858"/>
    <w:next w:val="880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</w:rPr>
  </w:style>
  <w:style w:type="paragraph" w:styleId="881">
    <w:name w:val="xl79"/>
    <w:basedOn w:val="858"/>
    <w:next w:val="881"/>
    <w:link w:val="85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</w:rPr>
  </w:style>
  <w:style w:type="paragraph" w:styleId="882">
    <w:name w:val="xl80"/>
    <w:basedOn w:val="858"/>
    <w:next w:val="882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83">
    <w:name w:val="xl81"/>
    <w:basedOn w:val="858"/>
    <w:next w:val="883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31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84">
    <w:name w:val="xl82"/>
    <w:basedOn w:val="858"/>
    <w:next w:val="884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31"/>
        <w:right w:val="single" w:color="000000" w:sz="4" w:space="0"/>
      </w:pBdr>
    </w:pPr>
    <w:rPr>
      <w:sz w:val="24"/>
    </w:rPr>
  </w:style>
  <w:style w:type="paragraph" w:styleId="885">
    <w:name w:val="xl83"/>
    <w:basedOn w:val="858"/>
    <w:next w:val="885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</w:rPr>
  </w:style>
  <w:style w:type="paragraph" w:styleId="886">
    <w:name w:val="xl84"/>
    <w:basedOn w:val="858"/>
    <w:next w:val="886"/>
    <w:link w:val="858"/>
    <w:pPr>
      <w:spacing w:before="100" w:beforeAutospacing="1" w:after="100" w:afterAutospacing="1"/>
    </w:pPr>
    <w:rPr>
      <w:sz w:val="24"/>
    </w:rPr>
  </w:style>
  <w:style w:type="paragraph" w:styleId="887">
    <w:name w:val="xl85"/>
    <w:basedOn w:val="858"/>
    <w:next w:val="887"/>
    <w:link w:val="858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sz w:val="24"/>
    </w:rPr>
  </w:style>
  <w:style w:type="paragraph" w:styleId="888">
    <w:name w:val="xl86"/>
    <w:basedOn w:val="858"/>
    <w:next w:val="888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</w:rPr>
  </w:style>
  <w:style w:type="paragraph" w:styleId="889">
    <w:name w:val="xl87"/>
    <w:basedOn w:val="858"/>
    <w:next w:val="889"/>
    <w:link w:val="858"/>
    <w:pPr>
      <w:jc w:val="center"/>
      <w:spacing w:before="100" w:beforeAutospacing="1" w:after="100" w:afterAutospacing="1"/>
      <w:shd w:val="clear" w:color="000000" w:fill="ffff00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sz w:val="24"/>
    </w:rPr>
  </w:style>
  <w:style w:type="paragraph" w:styleId="890">
    <w:name w:val="xl88"/>
    <w:basedOn w:val="858"/>
    <w:next w:val="890"/>
    <w:link w:val="858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91">
    <w:name w:val="xl89"/>
    <w:basedOn w:val="858"/>
    <w:next w:val="891"/>
    <w:link w:val="85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92">
    <w:name w:val="xl90"/>
    <w:basedOn w:val="858"/>
    <w:next w:val="892"/>
    <w:link w:val="85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93">
    <w:name w:val="xl91"/>
    <w:basedOn w:val="858"/>
    <w:next w:val="893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894">
    <w:name w:val="xl92"/>
    <w:basedOn w:val="858"/>
    <w:next w:val="894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</w:rPr>
  </w:style>
  <w:style w:type="paragraph" w:styleId="895">
    <w:name w:val="xl93"/>
    <w:basedOn w:val="858"/>
    <w:next w:val="895"/>
    <w:link w:val="85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</w:rPr>
  </w:style>
  <w:style w:type="paragraph" w:styleId="896">
    <w:name w:val="xl94"/>
    <w:basedOn w:val="858"/>
    <w:next w:val="896"/>
    <w:link w:val="85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</w:rPr>
  </w:style>
  <w:style w:type="paragraph" w:styleId="897">
    <w:name w:val="xl95"/>
    <w:basedOn w:val="858"/>
    <w:next w:val="897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</w:rPr>
  </w:style>
  <w:style w:type="paragraph" w:styleId="898">
    <w:name w:val="xl96"/>
    <w:basedOn w:val="858"/>
    <w:next w:val="898"/>
    <w:link w:val="85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</w:rPr>
  </w:style>
  <w:style w:type="paragraph" w:styleId="899">
    <w:name w:val="xl97"/>
    <w:basedOn w:val="858"/>
    <w:next w:val="899"/>
    <w:link w:val="858"/>
    <w:pPr>
      <w:jc w:val="center"/>
      <w:spacing w:before="100" w:beforeAutospacing="1" w:after="100" w:afterAutospacing="1"/>
      <w:shd w:val="clear" w:color="000000" w:fill="ffff00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sz w:val="24"/>
    </w:rPr>
  </w:style>
  <w:style w:type="paragraph" w:styleId="900">
    <w:name w:val="xl98"/>
    <w:basedOn w:val="858"/>
    <w:next w:val="900"/>
    <w:link w:val="858"/>
    <w:pPr>
      <w:jc w:val="center"/>
      <w:spacing w:before="100" w:beforeAutospacing="1" w:after="100" w:afterAutospacing="1"/>
      <w:shd w:val="clear" w:color="000000" w:fill="ffffff"/>
      <w:pBdr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01">
    <w:name w:val="xl99"/>
    <w:basedOn w:val="858"/>
    <w:next w:val="901"/>
    <w:link w:val="85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</w:rPr>
  </w:style>
  <w:style w:type="paragraph" w:styleId="902">
    <w:name w:val="xl100"/>
    <w:basedOn w:val="858"/>
    <w:next w:val="902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</w:rPr>
  </w:style>
  <w:style w:type="paragraph" w:styleId="903">
    <w:name w:val="xl101"/>
    <w:basedOn w:val="858"/>
    <w:next w:val="903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24"/>
    </w:rPr>
  </w:style>
  <w:style w:type="paragraph" w:styleId="904">
    <w:name w:val="xl102"/>
    <w:basedOn w:val="858"/>
    <w:next w:val="904"/>
    <w:link w:val="85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05">
    <w:name w:val="xl103"/>
    <w:basedOn w:val="858"/>
    <w:next w:val="905"/>
    <w:link w:val="85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06">
    <w:name w:val="xl104"/>
    <w:basedOn w:val="858"/>
    <w:next w:val="906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07">
    <w:name w:val="xl105"/>
    <w:basedOn w:val="858"/>
    <w:next w:val="907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08">
    <w:name w:val="xl106"/>
    <w:basedOn w:val="858"/>
    <w:next w:val="908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09">
    <w:name w:val="xl107"/>
    <w:basedOn w:val="858"/>
    <w:next w:val="909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10">
    <w:name w:val="xl108"/>
    <w:basedOn w:val="858"/>
    <w:next w:val="910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11">
    <w:name w:val="xl109"/>
    <w:basedOn w:val="858"/>
    <w:next w:val="911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12">
    <w:name w:val="xl110"/>
    <w:basedOn w:val="858"/>
    <w:next w:val="912"/>
    <w:link w:val="85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13">
    <w:name w:val="xl111"/>
    <w:basedOn w:val="858"/>
    <w:next w:val="913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14">
    <w:name w:val="xl112"/>
    <w:basedOn w:val="858"/>
    <w:next w:val="914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15">
    <w:name w:val="xl113"/>
    <w:basedOn w:val="858"/>
    <w:next w:val="915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" w:hAnsi="Arial" w:cs="Arial"/>
      <w:sz w:val="18"/>
      <w:szCs w:val="18"/>
    </w:rPr>
  </w:style>
  <w:style w:type="paragraph" w:styleId="916">
    <w:name w:val="xl114"/>
    <w:basedOn w:val="858"/>
    <w:next w:val="916"/>
    <w:link w:val="858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17">
    <w:name w:val="xl115"/>
    <w:basedOn w:val="858"/>
    <w:next w:val="917"/>
    <w:link w:val="85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18">
    <w:name w:val="xl116"/>
    <w:basedOn w:val="858"/>
    <w:next w:val="918"/>
    <w:link w:val="85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19">
    <w:name w:val="xl117"/>
    <w:basedOn w:val="858"/>
    <w:next w:val="919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20">
    <w:name w:val="xl118"/>
    <w:basedOn w:val="858"/>
    <w:next w:val="920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</w:rPr>
  </w:style>
  <w:style w:type="paragraph" w:styleId="921">
    <w:name w:val="xl119"/>
    <w:basedOn w:val="858"/>
    <w:next w:val="921"/>
    <w:link w:val="85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22">
    <w:name w:val="xl120"/>
    <w:basedOn w:val="858"/>
    <w:next w:val="922"/>
    <w:link w:val="85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23">
    <w:name w:val="xl121"/>
    <w:basedOn w:val="858"/>
    <w:next w:val="923"/>
    <w:link w:val="8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</w:rPr>
  </w:style>
  <w:style w:type="paragraph" w:styleId="924">
    <w:name w:val="xl122"/>
    <w:basedOn w:val="858"/>
    <w:next w:val="924"/>
    <w:link w:val="8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4" w:space="0"/>
      </w:pBdr>
    </w:pPr>
    <w:rPr>
      <w:sz w:val="24"/>
    </w:rPr>
  </w:style>
  <w:style w:type="paragraph" w:styleId="925">
    <w:name w:val="xl123"/>
    <w:basedOn w:val="858"/>
    <w:next w:val="925"/>
    <w:link w:val="858"/>
    <w:pPr>
      <w:spacing w:before="100" w:beforeAutospacing="1" w:after="100" w:afterAutospacing="1"/>
      <w:pBdr>
        <w:top w:val="single" w:color="000000" w:sz="8" w:space="0"/>
        <w:left w:val="single" w:color="000000" w:sz="4" w:space="0"/>
        <w:right w:val="single" w:color="000000" w:sz="4" w:space="0"/>
      </w:pBdr>
    </w:pPr>
    <w:rPr>
      <w:b/>
      <w:bCs/>
      <w:sz w:val="24"/>
    </w:rPr>
  </w:style>
  <w:style w:type="paragraph" w:styleId="926">
    <w:name w:val="xl124"/>
    <w:basedOn w:val="858"/>
    <w:next w:val="926"/>
    <w:link w:val="858"/>
    <w:pPr>
      <w:spacing w:before="100" w:beforeAutospacing="1" w:after="100" w:afterAutospacing="1"/>
      <w:pBdr>
        <w:top w:val="single" w:color="000000" w:sz="8" w:space="0"/>
        <w:left w:val="single" w:color="000000" w:sz="4" w:space="0"/>
      </w:pBdr>
    </w:pPr>
    <w:rPr>
      <w:sz w:val="24"/>
    </w:rPr>
  </w:style>
  <w:style w:type="paragraph" w:styleId="927">
    <w:name w:val="xl125"/>
    <w:basedOn w:val="858"/>
    <w:next w:val="927"/>
    <w:link w:val="8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</w:rPr>
  </w:style>
  <w:style w:type="paragraph" w:styleId="928">
    <w:name w:val="xl126"/>
    <w:basedOn w:val="858"/>
    <w:next w:val="928"/>
    <w:link w:val="8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</w:rPr>
  </w:style>
  <w:style w:type="paragraph" w:styleId="929">
    <w:name w:val="xl127"/>
    <w:basedOn w:val="858"/>
    <w:next w:val="929"/>
    <w:link w:val="858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</w:rPr>
  </w:style>
  <w:style w:type="paragraph" w:styleId="930">
    <w:name w:val="xl128"/>
    <w:basedOn w:val="858"/>
    <w:next w:val="930"/>
    <w:link w:val="858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</w:rPr>
  </w:style>
  <w:style w:type="paragraph" w:styleId="931">
    <w:name w:val="xl129"/>
    <w:basedOn w:val="858"/>
    <w:next w:val="931"/>
    <w:link w:val="858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4" w:space="0"/>
      </w:pBdr>
    </w:pPr>
    <w:rPr>
      <w:b/>
      <w:bCs/>
      <w:sz w:val="24"/>
    </w:rPr>
  </w:style>
  <w:style w:type="paragraph" w:styleId="932">
    <w:name w:val="xl130"/>
    <w:basedOn w:val="858"/>
    <w:next w:val="932"/>
    <w:link w:val="858"/>
    <w:pPr>
      <w:jc w:val="center"/>
      <w:spacing w:before="100" w:beforeAutospacing="1" w:after="100" w:afterAutospacing="1"/>
    </w:pPr>
    <w:rPr>
      <w:sz w:val="24"/>
    </w:rPr>
  </w:style>
  <w:style w:type="paragraph" w:styleId="933">
    <w:name w:val="xl131"/>
    <w:basedOn w:val="858"/>
    <w:next w:val="933"/>
    <w:link w:val="858"/>
    <w:pPr>
      <w:spacing w:before="100" w:beforeAutospacing="1" w:after="100" w:afterAutospacing="1"/>
    </w:pPr>
    <w:rPr>
      <w:sz w:val="24"/>
    </w:rPr>
  </w:style>
  <w:style w:type="paragraph" w:styleId="934">
    <w:name w:val="xl132"/>
    <w:basedOn w:val="858"/>
    <w:next w:val="934"/>
    <w:link w:val="85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</w:rPr>
  </w:style>
  <w:style w:type="paragraph" w:styleId="935">
    <w:name w:val="xl133"/>
    <w:basedOn w:val="858"/>
    <w:next w:val="935"/>
    <w:link w:val="85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paragraph" w:styleId="936">
    <w:name w:val="xl134"/>
    <w:basedOn w:val="858"/>
    <w:next w:val="936"/>
    <w:link w:val="85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</w:rPr>
  </w:style>
  <w:style w:type="character" w:styleId="937" w:default="1">
    <w:name w:val="Default Paragraph Font"/>
    <w:uiPriority w:val="1"/>
    <w:semiHidden/>
    <w:unhideWhenUsed/>
  </w:style>
  <w:style w:type="numbering" w:styleId="938" w:default="1">
    <w:name w:val="No List"/>
    <w:uiPriority w:val="99"/>
    <w:semiHidden/>
    <w:unhideWhenUsed/>
  </w:style>
  <w:style w:type="table" w:styleId="939" w:default="1">
    <w:name w:val="Normal Table"/>
    <w:uiPriority w:val="99"/>
    <w:semiHidden/>
    <w:unhideWhenUsed/>
    <w:tblPr/>
  </w:style>
  <w:style w:type="paragraph" w:styleId="940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rial Unicode MS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941" w:customStyle="1">
    <w:name w:val="Body Text 2"/>
    <w:link w:val="86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Mir Detstva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sharkova_og</cp:lastModifiedBy>
  <cp:revision>14</cp:revision>
  <dcterms:created xsi:type="dcterms:W3CDTF">2024-06-13T07:19:00Z</dcterms:created>
  <dcterms:modified xsi:type="dcterms:W3CDTF">2026-09-01T07:14:36Z</dcterms:modified>
  <cp:version>917504</cp:version>
</cp:coreProperties>
</file>