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rFonts w:ascii="Liberation Serif;Times New Roman" w:hAnsi="Liberation Serif;Times New Roman" w:eastAsia="Times New Roman" w:cs="Liberation Serif;Times New Roman"/>
          <w:color w:val="auto"/>
          <w:sz w:val="24"/>
          <w:szCs w:val="24"/>
          <w:lang w:eastAsia="zh-CN" w:bidi="ar-SA"/>
        </w:rPr>
      </w:pPr>
      <w:r>
        <w:rPr>
          <w:rFonts w:eastAsia="Times New Roman" w:cs="Liberation Serif;Times New Roman" w:ascii="Liberation Serif;Times New Roman" w:hAnsi="Liberation Serif;Times New Roman"/>
          <w:color w:val="auto"/>
          <w:sz w:val="24"/>
          <w:szCs w:val="24"/>
          <w:lang w:eastAsia="zh-CN" w:bidi="ar-SA"/>
        </w:rPr>
      </w:r>
    </w:p>
    <w:p>
      <w:pPr>
        <w:pStyle w:val="Normal"/>
        <w:widowControl w:val="false"/>
        <w:bidi w:val="0"/>
        <w:spacing w:lineRule="auto" w:line="240" w:before="0" w:after="0"/>
        <w:ind w:firstLine="170" w:end="0"/>
        <w:jc w:val="center"/>
        <w:rPr>
          <w:rFonts w:ascii="Liberation Serif;Times New Roman" w:hAnsi="Liberation Serif;Times New Roman" w:eastAsia="Times New Roman" w:cs="Liberation Serif;Times New Roman"/>
          <w:b/>
          <w:bCs/>
          <w:color w:val="auto"/>
          <w:sz w:val="24"/>
          <w:szCs w:val="24"/>
          <w:lang w:val="ru-RU" w:eastAsia="zh-CN" w:bidi="ar-SA"/>
        </w:rPr>
      </w:pPr>
      <w:r>
        <w:rPr>
          <w:rFonts w:eastAsia="Times New Roman" w:cs="Liberation Serif;Times New Roman" w:ascii="Liberation Serif;Times New Roman" w:hAnsi="Liberation Serif;Times New Roman"/>
          <w:b/>
          <w:bCs/>
          <w:color w:val="auto"/>
          <w:sz w:val="24"/>
          <w:szCs w:val="24"/>
          <w:lang w:val="ru-RU" w:eastAsia="zh-CN" w:bidi="ar-SA"/>
        </w:rPr>
        <w:t xml:space="preserve">Договор № </w:t>
      </w:r>
      <w:r>
        <w:rPr>
          <w:rFonts w:eastAsia="Times New Roman" w:cs="Liberation Serif;Times New Roman" w:ascii="Liberation Serif;Times New Roman" w:hAnsi="Liberation Serif;Times New Roman"/>
          <w:b/>
          <w:bCs/>
          <w:color w:val="000000"/>
          <w:sz w:val="24"/>
          <w:szCs w:val="24"/>
          <w:shd w:fill="FFFF00" w:val="clear"/>
          <w:lang w:val="ru-RU" w:eastAsia="zh-CN" w:bidi="ar-SA"/>
        </w:rPr>
        <w:t>__</w:t>
      </w:r>
    </w:p>
    <w:p>
      <w:pPr>
        <w:pStyle w:val="Normal"/>
        <w:widowControl w:val="false"/>
        <w:bidi w:val="0"/>
        <w:spacing w:lineRule="auto" w:line="240" w:before="0" w:after="0"/>
        <w:ind w:firstLine="170" w:end="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bCs/>
          <w:color w:val="auto"/>
          <w:sz w:val="24"/>
          <w:szCs w:val="24"/>
          <w:lang w:val="ru-RU" w:eastAsia="zh-CN" w:bidi="ar-SA"/>
        </w:rPr>
        <w:t>на поставку товара</w:t>
      </w:r>
    </w:p>
    <w:p>
      <w:pPr>
        <w:pStyle w:val="BodyText"/>
        <w:spacing w:lineRule="auto" w:line="240" w:before="0" w:after="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BodyText"/>
        <w:tabs>
          <w:tab w:val="clear" w:pos="449"/>
          <w:tab w:val="left" w:pos="7772" w:leader="none"/>
          <w:tab w:val="left" w:pos="8315" w:leader="none"/>
          <w:tab w:val="left" w:pos="9409" w:leader="none"/>
        </w:tabs>
        <w:spacing w:lineRule="auto" w:line="240" w:before="0" w:after="0"/>
        <w:ind w:start="277"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г. Тарко-Сале</w:t>
        <w:tab/>
        <w:t>«___» ________ 2026 г.</w:t>
      </w:r>
    </w:p>
    <w:p>
      <w:pPr>
        <w:pStyle w:val="BodyText"/>
        <w:spacing w:lineRule="auto" w:line="240" w:before="0" w:after="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BodyText"/>
        <w:spacing w:lineRule="auto" w:line="240" w:before="0" w:after="0"/>
        <w:ind w:firstLine="719" w:start="222" w:end="123"/>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 xml:space="preserve">Управление Федеральной службы судебных приставов по Ямало-Ненецкому автономному округу, именуемое в дальнейшем «Заказчик», в лице Врио руководителя Малетина Дмитрия Анатольевича, действующего на основании Положения об Управлении утвержденного приказом ФССП России от 30.04.2020 №388 и Приказа ФССП России от 01.07.2026 № 2869-лс, с одной стороны, </w:t>
      </w:r>
    </w:p>
    <w:p>
      <w:pPr>
        <w:pStyle w:val="BodyText"/>
        <w:spacing w:lineRule="auto" w:line="240" w:before="0" w:after="0"/>
        <w:ind w:firstLine="719" w:start="222" w:end="123"/>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 _______________________________________________________,  именуемый в дальнейшем «Поставщик», действующий на основании _________________________, с другой стороны, далее совместно Стороны, а по отдельности — Сторона,</w:t>
      </w:r>
    </w:p>
    <w:p>
      <w:pPr>
        <w:pStyle w:val="BodyText"/>
        <w:spacing w:lineRule="auto" w:line="240" w:before="0" w:after="0"/>
        <w:ind w:firstLine="708" w:start="216" w:end="128"/>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соответствии с п. 4 п. 1 ст. 93 федерального закона от 05.04.2013 года № 44 - 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pPr>
        <w:pStyle w:val="Heading2"/>
        <w:widowControl/>
        <w:numPr>
          <w:ilvl w:val="0"/>
          <w:numId w:val="2"/>
        </w:numPr>
        <w:tabs>
          <w:tab w:val="clear" w:pos="449"/>
          <w:tab w:val="left" w:pos="4502" w:leader="none"/>
        </w:tabs>
        <w:suppressAutoHyphens w:val="true"/>
        <w:bidi w:val="0"/>
        <w:spacing w:lineRule="auto" w:line="240" w:before="0" w:after="0"/>
        <w:ind w:hanging="0" w:start="0" w:end="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ПРЕДМЕТ ДОГОВОРА</w:t>
      </w:r>
    </w:p>
    <w:p>
      <w:pPr>
        <w:pStyle w:val="ListParagraph"/>
        <w:numPr>
          <w:ilvl w:val="1"/>
          <w:numId w:val="2"/>
        </w:numPr>
        <w:tabs>
          <w:tab w:val="clear" w:pos="449"/>
          <w:tab w:val="left" w:pos="1386" w:leader="none"/>
        </w:tabs>
        <w:spacing w:lineRule="auto" w:line="240" w:before="0" w:after="0"/>
        <w:ind w:firstLine="709" w:start="222" w:end="12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соответствии с настоящим договоров Поставщик обязуется осуществить поставку Товара, а Заказчик принять и оплатить поставленный Товар.</w:t>
      </w:r>
    </w:p>
    <w:p>
      <w:pPr>
        <w:pStyle w:val="ListParagraph"/>
        <w:numPr>
          <w:ilvl w:val="1"/>
          <w:numId w:val="2"/>
        </w:numPr>
        <w:tabs>
          <w:tab w:val="clear" w:pos="449"/>
          <w:tab w:val="left" w:pos="1392" w:leader="none"/>
        </w:tabs>
        <w:spacing w:lineRule="auto" w:line="240" w:before="0" w:after="0"/>
        <w:ind w:firstLine="717" w:start="215" w:end="112"/>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Наименование, количество Товара, его комплектация, характеристики, цена, определены в Спецификации (Приложение к Договору), которая является неотъемлемой частью настоящего договора.</w:t>
      </w:r>
    </w:p>
    <w:p>
      <w:pPr>
        <w:pStyle w:val="ListParagraph"/>
        <w:numPr>
          <w:ilvl w:val="1"/>
          <w:numId w:val="2"/>
        </w:numPr>
        <w:tabs>
          <w:tab w:val="clear" w:pos="449"/>
          <w:tab w:val="left" w:pos="1330" w:leader="none"/>
        </w:tabs>
        <w:spacing w:lineRule="auto" w:line="240" w:before="0" w:after="0"/>
        <w:ind w:firstLine="707" w:start="220" w:end="103"/>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Место поставки Товара: ЯНАО, Пуровский р-н., г. Тарко-Сале, ул. Е. Колесниковой, д. 7, секция 3. Поставка осуществляется единовременно в полном объеме.</w:t>
      </w:r>
    </w:p>
    <w:p>
      <w:pPr>
        <w:pStyle w:val="ListParagraph"/>
        <w:numPr>
          <w:ilvl w:val="1"/>
          <w:numId w:val="2"/>
        </w:numPr>
        <w:tabs>
          <w:tab w:val="clear" w:pos="449"/>
          <w:tab w:val="left" w:pos="1306" w:leader="none"/>
        </w:tabs>
        <w:spacing w:lineRule="auto" w:line="240" w:before="0" w:after="0"/>
        <w:ind w:hanging="379" w:start="1306"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Срок поставки: в течении 7 календарных дней, с момента заключения договора.</w:t>
      </w:r>
    </w:p>
    <w:p>
      <w:pPr>
        <w:pStyle w:val="ListParagraph"/>
        <w:numPr>
          <w:ilvl w:val="1"/>
          <w:numId w:val="2"/>
        </w:numPr>
        <w:tabs>
          <w:tab w:val="clear" w:pos="449"/>
          <w:tab w:val="left" w:pos="1301" w:leader="none"/>
        </w:tabs>
        <w:spacing w:lineRule="auto" w:line="240" w:before="0" w:after="0"/>
        <w:ind w:hanging="374" w:start="1301"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Источник финансирования: федеральный бюджет на 2026 год.</w:t>
      </w:r>
    </w:p>
    <w:p>
      <w:pPr>
        <w:pStyle w:val="ListParagraph"/>
        <w:numPr>
          <w:ilvl w:val="1"/>
          <w:numId w:val="2"/>
        </w:numPr>
        <w:tabs>
          <w:tab w:val="clear" w:pos="449"/>
          <w:tab w:val="left" w:pos="1301" w:leader="none"/>
        </w:tabs>
        <w:spacing w:lineRule="auto" w:line="240" w:before="0" w:after="0"/>
        <w:ind w:hanging="374" w:start="1301"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ИКЗ 261890101609689010100100240000000244.</w:t>
      </w:r>
    </w:p>
    <w:p>
      <w:pPr>
        <w:pStyle w:val="ListParagraph"/>
        <w:numPr>
          <w:ilvl w:val="0"/>
          <w:numId w:val="0"/>
        </w:numPr>
        <w:tabs>
          <w:tab w:val="clear" w:pos="449"/>
          <w:tab w:val="left" w:pos="1301" w:leader="none"/>
        </w:tabs>
        <w:spacing w:lineRule="auto" w:line="240" w:before="0" w:after="0"/>
        <w:ind w:hanging="0" w:start="1134"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1"/>
        <w:numPr>
          <w:ilvl w:val="0"/>
          <w:numId w:val="2"/>
        </w:numPr>
        <w:tabs>
          <w:tab w:val="clear" w:pos="449"/>
          <w:tab w:val="left" w:pos="3395" w:leader="none"/>
        </w:tabs>
        <w:spacing w:lineRule="auto" w:line="240" w:before="0" w:after="0"/>
        <w:ind w:hanging="244" w:start="3395" w:end="0"/>
        <w:jc w:val="start"/>
        <w:rPr>
          <w:rFonts w:ascii="Liberation Serif;Times New Roman" w:hAnsi="Liberation Serif;Times New Roman" w:eastAsia="Liberation Serif;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ЦЕНА ДОГОВОРА И ПОРЯДОК РАСЧЕТОВ</w:t>
      </w:r>
    </w:p>
    <w:p>
      <w:pPr>
        <w:pStyle w:val="ListParagraph"/>
        <w:numPr>
          <w:ilvl w:val="1"/>
          <w:numId w:val="2"/>
        </w:numPr>
        <w:tabs>
          <w:tab w:val="clear" w:pos="449"/>
          <w:tab w:val="left" w:pos="1354" w:leader="none"/>
        </w:tabs>
        <w:spacing w:lineRule="auto" w:line="240" w:before="0" w:after="0"/>
        <w:ind w:firstLine="722" w:start="215" w:end="9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Liberation Serif;Times New Roman" w:cs="Liberation Serif;Times New Roman" w:ascii="Liberation Serif;Times New Roman" w:hAnsi="Liberation Serif;Times New Roman"/>
          <w:b w:val="false"/>
          <w:bCs w:val="false"/>
          <w:color w:val="auto"/>
          <w:sz w:val="24"/>
          <w:szCs w:val="24"/>
          <w:lang w:val="ru-RU" w:eastAsia="zh-CN" w:bidi="ar-SA"/>
        </w:rPr>
        <w:t xml:space="preserve"> </w:t>
      </w:r>
      <w:r>
        <w:rPr>
          <w:rFonts w:eastAsia="Times New Roman" w:cs="Liberation Serif;Times New Roman" w:ascii="Liberation Serif;Times New Roman" w:hAnsi="Liberation Serif;Times New Roman"/>
          <w:b w:val="false"/>
          <w:bCs w:val="false"/>
          <w:color w:val="auto"/>
          <w:sz w:val="24"/>
          <w:szCs w:val="24"/>
          <w:lang w:val="ru-RU" w:eastAsia="zh-CN" w:bidi="ar-SA"/>
        </w:rPr>
        <w:t>Цена Договора является твердой и определяется на весь срок исполнения Договора и составляет 18 530 (восемнадцать тысяч пятьсот тридцать) рублей 00 копеек, в том числе НДС __ %.</w:t>
      </w:r>
    </w:p>
    <w:p>
      <w:pPr>
        <w:pStyle w:val="ListParagraph"/>
        <w:numPr>
          <w:ilvl w:val="1"/>
          <w:numId w:val="2"/>
        </w:numPr>
        <w:tabs>
          <w:tab w:val="clear" w:pos="449"/>
          <w:tab w:val="left" w:pos="1386" w:leader="none"/>
        </w:tabs>
        <w:spacing w:lineRule="auto" w:line="240" w:before="0" w:after="0"/>
        <w:ind w:firstLine="709" w:start="213" w:end="126"/>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Расчет с Поставщиком за поставленный Товар осуществляется в безналичной форме Заказчиком в рублях Российской Федерации путем перечисления денежных средств на расчетный счет Поставщика в течение 10 (десяти) дней с даты подписания Сторонами документа о приемке.</w:t>
      </w:r>
    </w:p>
    <w:p>
      <w:pPr>
        <w:pStyle w:val="ListParagraph"/>
        <w:numPr>
          <w:ilvl w:val="1"/>
          <w:numId w:val="2"/>
        </w:numPr>
        <w:tabs>
          <w:tab w:val="clear" w:pos="449"/>
          <w:tab w:val="left" w:pos="1386" w:leader="none"/>
        </w:tabs>
        <w:spacing w:lineRule="auto" w:line="240" w:before="0" w:after="0"/>
        <w:ind w:firstLine="709" w:start="213" w:end="126"/>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Цена Договора включает в себя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стоимость погрузочно-разгрузочных работ, и другие расходы, связанные с поставкой Товара.</w:t>
      </w:r>
    </w:p>
    <w:p>
      <w:pPr>
        <w:pStyle w:val="ListParagraph"/>
        <w:widowControl/>
        <w:numPr>
          <w:ilvl w:val="0"/>
          <w:numId w:val="2"/>
        </w:numPr>
        <w:tabs>
          <w:tab w:val="clear" w:pos="449"/>
          <w:tab w:val="left" w:pos="1162" w:leader="none"/>
        </w:tabs>
        <w:suppressAutoHyphens w:val="true"/>
        <w:bidi w:val="0"/>
        <w:spacing w:lineRule="auto" w:line="240" w:before="0" w:after="0"/>
        <w:ind w:hanging="0" w:start="0" w:end="0"/>
        <w:contextualSpacing w:val="false"/>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КАЧЕСТВО ТОВАРА</w:t>
      </w:r>
    </w:p>
    <w:p>
      <w:pPr>
        <w:pStyle w:val="ListParagraph"/>
        <w:numPr>
          <w:ilvl w:val="1"/>
          <w:numId w:val="2"/>
        </w:numPr>
        <w:tabs>
          <w:tab w:val="clear" w:pos="449"/>
          <w:tab w:val="left" w:pos="1410" w:leader="none"/>
        </w:tabs>
        <w:spacing w:lineRule="auto" w:line="240" w:before="0" w:after="0"/>
        <w:ind w:firstLine="707" w:start="209" w:end="132"/>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 при этом Заказчик обязан обеспечить приемку поставленного Товара.</w:t>
      </w:r>
    </w:p>
    <w:p>
      <w:pPr>
        <w:pStyle w:val="ListParagraph"/>
        <w:numPr>
          <w:ilvl w:val="1"/>
          <w:numId w:val="2"/>
        </w:numPr>
        <w:tabs>
          <w:tab w:val="clear" w:pos="449"/>
          <w:tab w:val="left" w:pos="1305" w:leader="none"/>
        </w:tabs>
        <w:spacing w:lineRule="auto" w:line="240" w:before="0" w:after="0"/>
        <w:ind w:firstLine="706" w:start="209" w:end="115"/>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Приемка поставленного товара осуществляется по акту приема-передачи Товара: При передаче Товара Поставщик предоставляет Заказчику счет (счет-фактуру), товарную накладную в 2 (двух) экземплярах по одному для каждой из Сторон.</w:t>
      </w:r>
    </w:p>
    <w:p>
      <w:pPr>
        <w:pStyle w:val="ListParagraph"/>
        <w:numPr>
          <w:ilvl w:val="1"/>
          <w:numId w:val="2"/>
        </w:numPr>
        <w:tabs>
          <w:tab w:val="clear" w:pos="449"/>
          <w:tab w:val="left" w:pos="1319" w:leader="none"/>
        </w:tabs>
        <w:spacing w:lineRule="auto" w:line="240" w:before="0" w:after="0"/>
        <w:ind w:firstLine="711" w:start="205" w:end="121"/>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 проверке предоставленного Поставщиком Товара, предусмотренного договором, в части его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pPr>
        <w:pStyle w:val="ListParagraph"/>
        <w:numPr>
          <w:ilvl w:val="1"/>
          <w:numId w:val="2"/>
        </w:numPr>
        <w:tabs>
          <w:tab w:val="clear" w:pos="449"/>
          <w:tab w:val="left" w:pos="1291" w:leader="none"/>
        </w:tabs>
        <w:spacing w:lineRule="auto" w:line="240" w:before="0" w:after="0"/>
        <w:ind w:firstLine="710" w:start="201" w:end="11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Качество Товара должно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При передаче Товара Поставщик представляет Заказчику соответствующие документы на Товар, установленного законодательством Российской Федерации образца, с областью действия на всей территории Российской Федерации.</w:t>
      </w:r>
    </w:p>
    <w:p>
      <w:pPr>
        <w:pStyle w:val="BodyText"/>
        <w:spacing w:lineRule="auto" w:line="240" w:before="0" w:after="0"/>
        <w:ind w:firstLine="706" w:start="203" w:end="109"/>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несоблюдения требований Поставщиком условий о качестве Товара и непредставления документов, Заказчик вправе отказаться от Товара и осуществить его возврат за счет Поставщика.</w:t>
      </w:r>
    </w:p>
    <w:p>
      <w:pPr>
        <w:pStyle w:val="ListParagraph"/>
        <w:numPr>
          <w:ilvl w:val="1"/>
          <w:numId w:val="2"/>
        </w:numPr>
        <w:tabs>
          <w:tab w:val="clear" w:pos="449"/>
          <w:tab w:val="left" w:pos="1368" w:leader="none"/>
        </w:tabs>
        <w:spacing w:lineRule="auto" w:line="240" w:before="0" w:after="0"/>
        <w:ind w:firstLine="711" w:start="238" w:end="76"/>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Товар должен быть упакован в надлежащую упаковку, обеспечивающую его сохранность от повреждений при перевозке всеми видами транспорта с учетом нескольких перегрузок в пути и хранении.</w:t>
      </w:r>
    </w:p>
    <w:p>
      <w:pPr>
        <w:pStyle w:val="ListParagraph"/>
        <w:numPr>
          <w:ilvl w:val="1"/>
          <w:numId w:val="2"/>
        </w:numPr>
        <w:tabs>
          <w:tab w:val="clear" w:pos="449"/>
          <w:tab w:val="left" w:pos="1357" w:leader="none"/>
        </w:tabs>
        <w:spacing w:lineRule="auto" w:line="240" w:before="0" w:after="0"/>
        <w:ind w:firstLine="708" w:start="241" w:end="87"/>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Гарантийный срок на Товар с момента поставки Заказчику составляет не менее 6 месяцев с даты заключения Договора.</w:t>
      </w:r>
    </w:p>
    <w:p>
      <w:pPr>
        <w:pStyle w:val="Heading1"/>
        <w:numPr>
          <w:ilvl w:val="0"/>
          <w:numId w:val="2"/>
        </w:numPr>
        <w:tabs>
          <w:tab w:val="clear" w:pos="449"/>
          <w:tab w:val="left" w:pos="3784" w:leader="none"/>
        </w:tabs>
        <w:spacing w:lineRule="auto" w:line="240" w:before="0" w:after="0"/>
        <w:ind w:hanging="355" w:start="3784"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ПРАВА И ОБЯЗАННОСТИ СТОРОН</w:t>
      </w:r>
    </w:p>
    <w:p>
      <w:pPr>
        <w:pStyle w:val="ListParagraph"/>
        <w:numPr>
          <w:ilvl w:val="1"/>
          <w:numId w:val="2"/>
        </w:numPr>
        <w:tabs>
          <w:tab w:val="clear" w:pos="449"/>
          <w:tab w:val="left" w:pos="1325" w:leader="none"/>
        </w:tabs>
        <w:spacing w:lineRule="auto" w:line="240" w:before="0" w:after="0"/>
        <w:ind w:hanging="378" w:start="1325"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Заказчик обязан:</w:t>
      </w:r>
    </w:p>
    <w:p>
      <w:pPr>
        <w:pStyle w:val="ListParagraph"/>
        <w:numPr>
          <w:ilvl w:val="2"/>
          <w:numId w:val="2"/>
        </w:numPr>
        <w:tabs>
          <w:tab w:val="clear" w:pos="449"/>
          <w:tab w:val="left" w:pos="1483" w:leader="none"/>
        </w:tabs>
        <w:spacing w:lineRule="auto" w:line="240" w:before="0" w:after="0"/>
        <w:ind w:firstLine="708" w:start="238" w:end="83"/>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 надлежащем извещении Поставщиком о результате поставки Товара организовать и произвести приемку поставленного товара, либо направить Поставщику в письменной форме мотивированный отказ от подписания документа о приемке.</w:t>
      </w:r>
    </w:p>
    <w:p>
      <w:pPr>
        <w:pStyle w:val="ListParagraph"/>
        <w:numPr>
          <w:ilvl w:val="2"/>
          <w:numId w:val="2"/>
        </w:numPr>
        <w:tabs>
          <w:tab w:val="clear" w:pos="449"/>
          <w:tab w:val="left" w:pos="1484" w:leader="none"/>
        </w:tabs>
        <w:spacing w:lineRule="auto" w:line="240" w:before="0" w:after="0"/>
        <w:ind w:hanging="537" w:start="1484"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Провести экспертизу в соответствии условиями настоящего договора.</w:t>
      </w:r>
    </w:p>
    <w:p>
      <w:pPr>
        <w:pStyle w:val="ListParagraph"/>
        <w:numPr>
          <w:ilvl w:val="2"/>
          <w:numId w:val="2"/>
        </w:numPr>
        <w:tabs>
          <w:tab w:val="clear" w:pos="449"/>
          <w:tab w:val="left" w:pos="1489" w:leader="none"/>
        </w:tabs>
        <w:spacing w:lineRule="auto" w:line="240" w:before="0" w:after="0"/>
        <w:ind w:hanging="542" w:start="1489"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Оплатить Товар в соответствии с условиями настоящего договора.</w:t>
      </w:r>
    </w:p>
    <w:p>
      <w:pPr>
        <w:pStyle w:val="ListParagraph"/>
        <w:numPr>
          <w:ilvl w:val="2"/>
          <w:numId w:val="2"/>
        </w:numPr>
        <w:tabs>
          <w:tab w:val="clear" w:pos="449"/>
          <w:tab w:val="left" w:pos="1484" w:leader="none"/>
        </w:tabs>
        <w:spacing w:lineRule="auto" w:line="240" w:before="0" w:after="0"/>
        <w:ind w:hanging="537" w:start="1484"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Надлежащим образом исполнять иные условия настоящего договора.</w:t>
      </w:r>
    </w:p>
    <w:p>
      <w:pPr>
        <w:pStyle w:val="ListParagraph"/>
        <w:numPr>
          <w:ilvl w:val="1"/>
          <w:numId w:val="2"/>
        </w:numPr>
        <w:tabs>
          <w:tab w:val="clear" w:pos="449"/>
          <w:tab w:val="left" w:pos="1319" w:leader="none"/>
        </w:tabs>
        <w:spacing w:lineRule="auto" w:line="240" w:before="0" w:after="0"/>
        <w:ind w:hanging="377" w:start="1319" w:end="0"/>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Поставщик обязан:</w:t>
      </w:r>
    </w:p>
    <w:p>
      <w:pPr>
        <w:pStyle w:val="ListParagraph"/>
        <w:numPr>
          <w:ilvl w:val="2"/>
          <w:numId w:val="2"/>
        </w:numPr>
        <w:tabs>
          <w:tab w:val="clear" w:pos="449"/>
          <w:tab w:val="left" w:pos="1536" w:leader="none"/>
        </w:tabs>
        <w:spacing w:lineRule="auto" w:line="240" w:before="0" w:after="0"/>
        <w:ind w:firstLine="710" w:start="236" w:end="87"/>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Поставить Товар в сроки, указанные в пункте 1.4. настоящего Договора, в комплекте с документацией, указанной в пункте 3.2. настоящего Договора.</w:t>
      </w:r>
    </w:p>
    <w:p>
      <w:pPr>
        <w:pStyle w:val="ListParagraph"/>
        <w:numPr>
          <w:ilvl w:val="2"/>
          <w:numId w:val="2"/>
        </w:numPr>
        <w:tabs>
          <w:tab w:val="clear" w:pos="449"/>
          <w:tab w:val="left" w:pos="1504" w:leader="none"/>
        </w:tabs>
        <w:spacing w:lineRule="auto" w:line="240" w:before="0" w:after="0"/>
        <w:ind w:firstLine="708" w:start="234" w:end="92"/>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соответствии с условиями настоящего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договора.</w:t>
      </w:r>
    </w:p>
    <w:p>
      <w:pPr>
        <w:pStyle w:val="ListParagraph"/>
        <w:numPr>
          <w:ilvl w:val="2"/>
          <w:numId w:val="2"/>
        </w:numPr>
        <w:tabs>
          <w:tab w:val="clear" w:pos="449"/>
          <w:tab w:val="left" w:pos="1604" w:leader="none"/>
        </w:tabs>
        <w:spacing w:lineRule="auto" w:line="240" w:before="0" w:after="0"/>
        <w:ind w:firstLine="708" w:start="234" w:end="103"/>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Выполнять требования настоящего договора о количестве поставки Товара,а также требования в отношении качества поставляемого Товара, гарантийного срока на Товар, цены договора.</w:t>
      </w:r>
    </w:p>
    <w:p>
      <w:pPr>
        <w:pStyle w:val="ListParagraph"/>
        <w:numPr>
          <w:ilvl w:val="2"/>
          <w:numId w:val="2"/>
        </w:numPr>
        <w:tabs>
          <w:tab w:val="clear" w:pos="449"/>
          <w:tab w:val="left" w:pos="1484" w:leader="none"/>
        </w:tabs>
        <w:spacing w:lineRule="auto" w:line="240" w:before="0" w:after="0"/>
        <w:ind w:hanging="542" w:start="1484" w:end="0"/>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Надлежащим образом исполнять условия настоящего договора.</w:t>
      </w:r>
    </w:p>
    <w:p>
      <w:pPr>
        <w:pStyle w:val="ListParagraph"/>
        <w:numPr>
          <w:ilvl w:val="2"/>
          <w:numId w:val="2"/>
        </w:numPr>
        <w:tabs>
          <w:tab w:val="clear" w:pos="449"/>
          <w:tab w:val="left" w:pos="1498" w:leader="none"/>
        </w:tabs>
        <w:spacing w:lineRule="auto" w:line="240" w:before="0" w:after="0"/>
        <w:ind w:firstLine="708" w:start="234" w:end="10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Устранить за свой счет все выявленные недостатки, в том числе скрытые, выявленные в ходе приемки Товара.</w:t>
      </w:r>
    </w:p>
    <w:p>
      <w:pPr>
        <w:pStyle w:val="ListParagraph"/>
        <w:widowControl/>
        <w:numPr>
          <w:ilvl w:val="2"/>
          <w:numId w:val="2"/>
        </w:numPr>
        <w:tabs>
          <w:tab w:val="clear" w:pos="449"/>
          <w:tab w:val="left" w:pos="967" w:leader="none"/>
        </w:tabs>
        <w:suppressAutoHyphens w:val="true"/>
        <w:bidi w:val="0"/>
        <w:spacing w:lineRule="auto" w:line="240" w:before="0" w:after="0"/>
        <w:ind w:firstLine="680" w:start="283" w:end="0"/>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Соответствовать единым требованиям п. 1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pPr>
        <w:pStyle w:val="BodyText"/>
        <w:spacing w:lineRule="auto" w:line="240" w:before="0" w:after="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1"/>
        <w:numPr>
          <w:ilvl w:val="0"/>
          <w:numId w:val="2"/>
        </w:numPr>
        <w:tabs>
          <w:tab w:val="clear" w:pos="449"/>
          <w:tab w:val="left" w:pos="3728" w:leader="none"/>
        </w:tabs>
        <w:spacing w:lineRule="auto" w:line="240" w:before="0" w:after="0"/>
        <w:ind w:hanging="248" w:start="3728"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ПОРЯДОК ЗАЯВЛЕНИЯ ПРЕТЕНЗИЙ</w:t>
      </w:r>
    </w:p>
    <w:p>
      <w:pPr>
        <w:pStyle w:val="ListParagraph"/>
        <w:numPr>
          <w:ilvl w:val="1"/>
          <w:numId w:val="2"/>
        </w:numPr>
        <w:tabs>
          <w:tab w:val="clear" w:pos="449"/>
          <w:tab w:val="left" w:pos="1215" w:leader="none"/>
        </w:tabs>
        <w:spacing w:lineRule="auto" w:line="240" w:before="0" w:after="0"/>
        <w:ind w:hanging="419" w:start="1215" w:end="0"/>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Претензии могут быть заявлены Заказчиком:</w:t>
      </w:r>
    </w:p>
    <w:p>
      <w:pPr>
        <w:pStyle w:val="ListParagraph"/>
        <w:numPr>
          <w:ilvl w:val="0"/>
          <w:numId w:val="3"/>
        </w:numPr>
        <w:tabs>
          <w:tab w:val="clear" w:pos="449"/>
          <w:tab w:val="left" w:pos="1215" w:leader="none"/>
        </w:tabs>
        <w:spacing w:lineRule="auto" w:line="240" w:before="0" w:after="0"/>
        <w:ind w:firstLine="558" w:start="229" w:end="90"/>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 количеству, ассортименту, комплектности, внешнему виду и качеству Товара, за исключением скрытых недостатков — в момент передачи Товара;</w:t>
      </w:r>
    </w:p>
    <w:p>
      <w:pPr>
        <w:pStyle w:val="ListParagraph"/>
        <w:numPr>
          <w:ilvl w:val="0"/>
          <w:numId w:val="3"/>
        </w:numPr>
        <w:tabs>
          <w:tab w:val="clear" w:pos="449"/>
          <w:tab w:val="left" w:pos="1220" w:leader="none"/>
        </w:tabs>
        <w:spacing w:lineRule="auto" w:line="240" w:before="0" w:after="0"/>
        <w:ind w:firstLine="558" w:start="229" w:end="9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 скрытым недостаткам Товара — в течение 30 (тридцати) дней с момента передачи Товара, а по скрытым недостаткам Товара, имеющего заводскую гарантию, в течение срока гарантии, установленного изготовителем.</w:t>
      </w:r>
    </w:p>
    <w:p>
      <w:pPr>
        <w:pStyle w:val="ListParagraph"/>
        <w:numPr>
          <w:ilvl w:val="1"/>
          <w:numId w:val="2"/>
        </w:numPr>
        <w:tabs>
          <w:tab w:val="clear" w:pos="449"/>
          <w:tab w:val="left" w:pos="1191" w:leader="none"/>
        </w:tabs>
        <w:spacing w:lineRule="auto" w:line="240" w:before="0" w:after="0"/>
        <w:ind w:firstLine="572" w:start="224" w:end="91"/>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выявления недостатки, несоответствия ассортимента, дефектов, повреждений или иных несоответствий Товара Заказчиком, он обязан в момент приемки Товара совместно с доставившим его лично, составить двусторонний акт с указанием на наличие и целостность опечатывающих Товар пломб и приложить фотографии, подтверждающие изложенные в акте обстоятельства. Акт с приложениями направляется Заказчиком Поставщику немедленно по почте или курьером, а их копии — посредством электронной почты или факсимильной связи, в течение одних суток с момента выявления недостачи, дефектов, повреждений или иных несоответствий Товара.</w:t>
      </w:r>
    </w:p>
    <w:p>
      <w:pPr>
        <w:pStyle w:val="ListParagraph"/>
        <w:numPr>
          <w:ilvl w:val="1"/>
          <w:numId w:val="2"/>
        </w:numPr>
        <w:tabs>
          <w:tab w:val="clear" w:pos="449"/>
          <w:tab w:val="left" w:pos="1125" w:leader="none"/>
        </w:tabs>
        <w:spacing w:lineRule="auto" w:line="240" w:before="0" w:after="0"/>
        <w:ind w:firstLine="567" w:start="224" w:end="9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каждой претензии (акте) должны быть указаны наименование и количество несоответствующего условиям Договора Товара, номер и дата документа, по которому поставлен Товар, суть претензии и ее обоснование, а также конкретные требования Заказчика. К претензии (акту) прилагаются подтверждающие ее документы и, в частности, акты специализированных организаций или акты, составленные с участием представителя Поставщика или независимой организации.</w:t>
      </w:r>
    </w:p>
    <w:p>
      <w:pPr>
        <w:pStyle w:val="ListParagraph"/>
        <w:numPr>
          <w:ilvl w:val="1"/>
          <w:numId w:val="2"/>
        </w:numPr>
        <w:tabs>
          <w:tab w:val="clear" w:pos="449"/>
          <w:tab w:val="left" w:pos="1121" w:leader="none"/>
        </w:tabs>
        <w:spacing w:lineRule="auto" w:line="240" w:before="0" w:after="0"/>
        <w:ind w:firstLine="567" w:start="224" w:end="106"/>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согласия с претензией (актом) Поставщик обязуется в течение 10 (десяти) рабочих дней принять бракованную продукцию, обменять или отремонтировать некачественный Товар.</w:t>
      </w:r>
    </w:p>
    <w:p>
      <w:pPr>
        <w:pStyle w:val="BodyText"/>
        <w:spacing w:lineRule="auto" w:line="240" w:before="0" w:after="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1"/>
        <w:numPr>
          <w:ilvl w:val="0"/>
          <w:numId w:val="2"/>
        </w:numPr>
        <w:tabs>
          <w:tab w:val="clear" w:pos="449"/>
          <w:tab w:val="left" w:pos="4060" w:leader="none"/>
        </w:tabs>
        <w:spacing w:lineRule="auto" w:line="240" w:before="0" w:after="0"/>
        <w:ind w:hanging="251" w:start="4060"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ОТВЕТСТВЕННОСТЬ СТОРОН</w:t>
      </w:r>
    </w:p>
    <w:p>
      <w:pPr>
        <w:pStyle w:val="ListParagraph"/>
        <w:numPr>
          <w:ilvl w:val="1"/>
          <w:numId w:val="2"/>
        </w:numPr>
        <w:tabs>
          <w:tab w:val="clear" w:pos="449"/>
          <w:tab w:val="left" w:pos="1310" w:leader="none"/>
        </w:tabs>
        <w:spacing w:lineRule="auto" w:line="240" w:before="0" w:after="0"/>
        <w:ind w:firstLine="712" w:start="219" w:end="105"/>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ListParagraph"/>
        <w:numPr>
          <w:ilvl w:val="1"/>
          <w:numId w:val="2"/>
        </w:numPr>
        <w:tabs>
          <w:tab w:val="clear" w:pos="449"/>
          <w:tab w:val="left" w:pos="1381" w:leader="none"/>
        </w:tabs>
        <w:spacing w:lineRule="auto" w:line="240" w:before="0" w:after="0"/>
        <w:ind w:firstLine="712" w:start="219" w:end="102"/>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если неисполнение или ненадлежащее исполнение обязательств по настоящему договору одной из Сторон причинило убытки другой Стороне, виновная Сторона обязана возместить их в полном объеме.</w:t>
      </w:r>
    </w:p>
    <w:p>
      <w:pPr>
        <w:pStyle w:val="ListParagraph"/>
        <w:numPr>
          <w:ilvl w:val="1"/>
          <w:numId w:val="2"/>
        </w:numPr>
        <w:tabs>
          <w:tab w:val="clear" w:pos="449"/>
          <w:tab w:val="left" w:pos="1333" w:leader="none"/>
        </w:tabs>
        <w:spacing w:lineRule="auto" w:line="240" w:before="0" w:after="0"/>
        <w:ind w:firstLine="702" w:start="224" w:end="116"/>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неисполнения обязательств, просрочки исполнения или ненадлежащего исполнения обязательств по поставке товара в срок, установленный настоящим Договором, Поставщик уплачивает Заказчику пени в размере одной трехсотой действующей на дату уплаты пеней ключевой ставки Центрального банка Российской Федерации от цены настоящего Договора, за каждый день просрочки, неисполнения или ненадлежащего исполнения обязательств до дня надлежащего исполнения Поставщиком соответствующих обязательств.</w:t>
      </w:r>
    </w:p>
    <w:p>
      <w:pPr>
        <w:pStyle w:val="ListParagraph"/>
        <w:widowControl/>
        <w:numPr>
          <w:ilvl w:val="1"/>
          <w:numId w:val="2"/>
        </w:numPr>
        <w:tabs>
          <w:tab w:val="clear" w:pos="449"/>
          <w:tab w:val="left" w:pos="1347" w:leader="none"/>
        </w:tabs>
        <w:suppressAutoHyphens w:val="true"/>
        <w:bidi w:val="0"/>
        <w:spacing w:lineRule="auto" w:line="240" w:before="0" w:after="0"/>
        <w:ind w:firstLine="567" w:start="227" w:end="0"/>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Указанная в п. 6.3 настоящего договора неустойка носит штрафной характер и взыскивается сверх суммы убытков. Данная неустойка подлежит уплате Поставщиком в течение 10 (десяти) рабочих дней с момента получения письменного требования от Заказчика.</w:t>
      </w:r>
    </w:p>
    <w:p>
      <w:pPr>
        <w:pStyle w:val="ListParagraph"/>
        <w:numPr>
          <w:ilvl w:val="1"/>
          <w:numId w:val="2"/>
        </w:numPr>
        <w:tabs>
          <w:tab w:val="clear" w:pos="449"/>
          <w:tab w:val="left" w:pos="1395" w:leader="none"/>
        </w:tabs>
        <w:spacing w:lineRule="auto" w:line="240" w:before="0" w:after="0"/>
        <w:ind w:firstLine="707" w:start="219" w:end="10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Уплата неустойки, а также возмещение убытков не освобождает виновную Сторону от выполнения обязательств и устранения нарушений прав другой Стороны по настоящему договору.</w:t>
      </w:r>
    </w:p>
    <w:p>
      <w:pPr>
        <w:pStyle w:val="ListParagraph"/>
        <w:numPr>
          <w:ilvl w:val="1"/>
          <w:numId w:val="2"/>
        </w:numPr>
        <w:tabs>
          <w:tab w:val="clear" w:pos="449"/>
          <w:tab w:val="left" w:pos="1325" w:leader="none"/>
        </w:tabs>
        <w:spacing w:lineRule="auto" w:line="240" w:before="0" w:after="0"/>
        <w:ind w:firstLine="709" w:start="223" w:end="106"/>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 нарушении Заказчиком условий оплаты по настоящему договору Поставщик имеет право потребовать уплаты неустойки. Неустойка начисляется за каждый день просрочки исполнения обязательства по оплате, начиная со дня, следующего после дня истечения срока исполнения обязательства. Неустойка начисляется в размере одной трехсотой, действующей на день уплаты неустойки ключевой ставки Центрального банка Российской Федерации.</w:t>
      </w:r>
    </w:p>
    <w:p>
      <w:pPr>
        <w:pStyle w:val="Heading2"/>
        <w:numPr>
          <w:ilvl w:val="0"/>
          <w:numId w:val="0"/>
        </w:numPr>
        <w:tabs>
          <w:tab w:val="clear" w:pos="449"/>
          <w:tab w:val="left" w:pos="3825" w:leader="none"/>
        </w:tabs>
        <w:spacing w:lineRule="auto" w:line="240" w:before="0" w:after="0"/>
        <w:ind w:hanging="0" w:start="3824"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2"/>
        <w:numPr>
          <w:ilvl w:val="0"/>
          <w:numId w:val="2"/>
        </w:numPr>
        <w:tabs>
          <w:tab w:val="clear" w:pos="449"/>
          <w:tab w:val="left" w:pos="3825" w:leader="none"/>
        </w:tabs>
        <w:spacing w:lineRule="auto" w:line="240" w:before="0" w:after="0"/>
        <w:ind w:hanging="239" w:start="3825"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ПОРЯДОК РАЗРЕШЕНИЯ СПОРОВ</w:t>
      </w:r>
    </w:p>
    <w:p>
      <w:pPr>
        <w:pStyle w:val="ListParagraph"/>
        <w:numPr>
          <w:ilvl w:val="1"/>
          <w:numId w:val="2"/>
        </w:numPr>
        <w:tabs>
          <w:tab w:val="clear" w:pos="449"/>
          <w:tab w:val="left" w:pos="1111" w:leader="none"/>
        </w:tabs>
        <w:spacing w:lineRule="auto" w:line="240" w:before="0" w:after="0"/>
        <w:ind w:firstLine="572" w:start="215" w:end="10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путем переговоров. При не достижении согласия, в ходе переговоров, сторона направляет другой стороне претензию. Срок ответа на претензию — не более 5 рабочих дня со дня ее получения.</w:t>
      </w:r>
    </w:p>
    <w:p>
      <w:pPr>
        <w:pStyle w:val="ListParagraph"/>
        <w:numPr>
          <w:ilvl w:val="1"/>
          <w:numId w:val="2"/>
        </w:numPr>
        <w:tabs>
          <w:tab w:val="clear" w:pos="449"/>
          <w:tab w:val="left" w:pos="1111" w:leader="none"/>
        </w:tabs>
        <w:spacing w:lineRule="auto" w:line="240" w:before="0" w:after="0"/>
        <w:ind w:firstLine="572" w:start="215" w:end="10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невозможности урегулировать спор путем переговоров, все споры, разногласия и требования, возникающие из настоящего Договора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Арбитражном суде ЯНАО в соответствии с его правилами, действующими на дату подачи искового заявления.</w:t>
      </w:r>
    </w:p>
    <w:p>
      <w:pPr>
        <w:pStyle w:val="Heading1"/>
        <w:numPr>
          <w:ilvl w:val="0"/>
          <w:numId w:val="0"/>
        </w:numPr>
        <w:tabs>
          <w:tab w:val="clear" w:pos="449"/>
          <w:tab w:val="left" w:pos="3389" w:leader="none"/>
        </w:tabs>
        <w:spacing w:lineRule="auto" w:line="240" w:before="0" w:after="0"/>
        <w:ind w:hanging="0" w:start="3376"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1"/>
        <w:numPr>
          <w:ilvl w:val="0"/>
          <w:numId w:val="2"/>
        </w:numPr>
        <w:tabs>
          <w:tab w:val="clear" w:pos="449"/>
          <w:tab w:val="left" w:pos="3389" w:leader="none"/>
        </w:tabs>
        <w:spacing w:lineRule="auto" w:line="240" w:before="0" w:after="0"/>
        <w:ind w:hanging="220" w:start="3389"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АНТИКОРРУПЦИОННАЯ ОГОВОРКА</w:t>
      </w:r>
    </w:p>
    <w:p>
      <w:pPr>
        <w:pStyle w:val="ListParagraph"/>
        <w:numPr>
          <w:ilvl w:val="1"/>
          <w:numId w:val="2"/>
        </w:numPr>
        <w:tabs>
          <w:tab w:val="clear" w:pos="449"/>
          <w:tab w:val="left" w:pos="1208" w:leader="none"/>
        </w:tabs>
        <w:spacing w:lineRule="auto" w:line="240" w:before="0" w:after="0"/>
        <w:ind w:firstLine="535" w:start="221" w:end="102"/>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 исполнении своих обязательств по договору Стороны, их работники, представители и аффилированные лица не выплачивают, не предлагают выплатить им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 Так 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 и полномочиям и, незаконное вознаграждение от имени юридического лица.</w:t>
      </w:r>
    </w:p>
    <w:p>
      <w:pPr>
        <w:pStyle w:val="ListParagraph"/>
        <w:numPr>
          <w:ilvl w:val="1"/>
          <w:numId w:val="2"/>
        </w:numPr>
        <w:tabs>
          <w:tab w:val="clear" w:pos="449"/>
          <w:tab w:val="left" w:pos="1146" w:leader="none"/>
        </w:tabs>
        <w:spacing w:lineRule="auto" w:line="240" w:before="0" w:after="0"/>
        <w:ind w:firstLine="539" w:start="212" w:end="11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В случае возникновения у стороны подозрении, что произошло или может произойти нарушение п. 8.1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pPr>
        <w:pStyle w:val="ListParagraph"/>
        <w:numPr>
          <w:ilvl w:val="1"/>
          <w:numId w:val="2"/>
        </w:numPr>
        <w:tabs>
          <w:tab w:val="clear" w:pos="449"/>
          <w:tab w:val="left" w:pos="1198" w:leader="none"/>
        </w:tabs>
        <w:spacing w:lineRule="auto" w:line="240" w:before="0" w:after="0"/>
        <w:ind w:firstLine="541" w:start="210" w:end="11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Исполнение обязательств по договору приостанавливается с момента направления стороной уведомления, указанного в п. 8.2 договора, до момента получения ею ответа. Если подтвердилось нарушение другой стороной обязательств, указанных в п.8.1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pPr>
        <w:pStyle w:val="BodyText"/>
        <w:spacing w:lineRule="auto" w:line="240" w:before="0" w:after="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2"/>
        <w:numPr>
          <w:ilvl w:val="0"/>
          <w:numId w:val="2"/>
        </w:numPr>
        <w:tabs>
          <w:tab w:val="clear" w:pos="449"/>
          <w:tab w:val="left" w:pos="4042" w:leader="none"/>
        </w:tabs>
        <w:spacing w:lineRule="auto" w:line="240" w:before="0" w:after="0"/>
        <w:ind w:hanging="365" w:start="4042"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СРОК  ДЕЙСТВИЯ ДОГОВОРА</w:t>
      </w:r>
    </w:p>
    <w:p>
      <w:pPr>
        <w:pStyle w:val="BodyText"/>
        <w:spacing w:lineRule="auto" w:line="240" w:before="0" w:after="0"/>
        <w:ind w:firstLine="706" w:start="205" w:end="127"/>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9.1 Настоящий договор вступает в силу с момента заключения и действует по 30 декабря 2026 года, в части оплаты до полного исполнения обязательств.</w:t>
      </w:r>
    </w:p>
    <w:p>
      <w:pPr>
        <w:pStyle w:val="BodyText"/>
        <w:spacing w:lineRule="auto" w:line="240" w:before="0" w:after="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Heading2"/>
        <w:numPr>
          <w:ilvl w:val="0"/>
          <w:numId w:val="2"/>
        </w:numPr>
        <w:tabs>
          <w:tab w:val="clear" w:pos="449"/>
          <w:tab w:val="left" w:pos="4670" w:leader="none"/>
        </w:tabs>
        <w:spacing w:lineRule="auto" w:line="240" w:before="0" w:after="0"/>
        <w:ind w:hanging="737" w:start="4670" w:end="0"/>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ПРОЧИЕ УСЛОВИЯ</w:t>
      </w:r>
    </w:p>
    <w:p>
      <w:pPr>
        <w:pStyle w:val="ListParagraph"/>
        <w:numPr>
          <w:ilvl w:val="1"/>
          <w:numId w:val="2"/>
        </w:numPr>
        <w:tabs>
          <w:tab w:val="clear" w:pos="449"/>
          <w:tab w:val="left" w:pos="1204" w:leader="none"/>
        </w:tabs>
        <w:spacing w:lineRule="auto" w:line="240" w:before="0" w:after="0"/>
        <w:ind w:firstLine="556" w:start="207" w:end="13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Документы, переданные по факсимильной и/или электронной связи, считаются имеющими юридическую силу при условии последующего предоставления оригинала документа.</w:t>
      </w:r>
    </w:p>
    <w:p>
      <w:pPr>
        <w:pStyle w:val="ListParagraph"/>
        <w:numPr>
          <w:ilvl w:val="1"/>
          <w:numId w:val="2"/>
        </w:numPr>
        <w:tabs>
          <w:tab w:val="clear" w:pos="449"/>
          <w:tab w:val="left" w:pos="1204" w:leader="none"/>
        </w:tabs>
        <w:spacing w:lineRule="auto" w:line="240" w:before="0" w:after="0"/>
        <w:ind w:firstLine="556" w:start="207" w:end="134"/>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Настоящий Договор составлен в двух экземплярах по одному для каждой из сторон. Оба экземпляра имеют равную юридическую силу.</w:t>
      </w:r>
    </w:p>
    <w:p>
      <w:pPr>
        <w:pStyle w:val="ListParagraph"/>
        <w:numPr>
          <w:ilvl w:val="1"/>
          <w:numId w:val="2"/>
        </w:numPr>
        <w:tabs>
          <w:tab w:val="clear" w:pos="449"/>
          <w:tab w:val="left" w:pos="1208" w:leader="none"/>
        </w:tabs>
        <w:spacing w:lineRule="auto" w:line="240" w:before="0" w:after="0"/>
        <w:ind w:firstLine="560" w:start="221" w:end="10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Любые изменения условий Договора оформляются соглашением сторон в письменном виде. Изменение существенных условий Договора возможно в случаях, предусмотренных ст. 95 Закона о контрактной системе.</w:t>
      </w:r>
    </w:p>
    <w:p>
      <w:pPr>
        <w:pStyle w:val="ListParagraph"/>
        <w:numPr>
          <w:ilvl w:val="1"/>
          <w:numId w:val="2"/>
        </w:numPr>
        <w:tabs>
          <w:tab w:val="clear" w:pos="449"/>
          <w:tab w:val="left" w:pos="1208" w:leader="none"/>
        </w:tabs>
        <w:spacing w:lineRule="auto" w:line="240" w:before="0" w:after="0"/>
        <w:ind w:firstLine="560" w:start="221" w:end="109"/>
        <w:contextualSpacing w:val="false"/>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Настоящий Договор может быть расторгнут по соглашению сторон или решению суда по основаниям, предусмотренным гражданским законодательством.</w:t>
      </w:r>
    </w:p>
    <w:p>
      <w:pPr>
        <w:pStyle w:val="ListParagraph"/>
        <w:numPr>
          <w:ilvl w:val="1"/>
          <w:numId w:val="2"/>
        </w:numPr>
        <w:tabs>
          <w:tab w:val="clear" w:pos="449"/>
          <w:tab w:val="left" w:pos="973" w:leader="none"/>
          <w:tab w:val="left" w:pos="1209" w:leader="none"/>
        </w:tabs>
        <w:spacing w:lineRule="auto" w:line="240" w:before="0" w:after="0"/>
        <w:ind w:hanging="196" w:start="973" w:end="879"/>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Договор составлен в 2-х экземплярах по одному для каждой из сторон.</w:t>
      </w:r>
    </w:p>
    <w:p>
      <w:pPr>
        <w:pStyle w:val="ListParagraph"/>
        <w:numPr>
          <w:ilvl w:val="0"/>
          <w:numId w:val="0"/>
        </w:numPr>
        <w:tabs>
          <w:tab w:val="clear" w:pos="449"/>
          <w:tab w:val="left" w:pos="973" w:leader="none"/>
          <w:tab w:val="left" w:pos="1209" w:leader="none"/>
        </w:tabs>
        <w:spacing w:lineRule="auto" w:line="240" w:before="0" w:after="0"/>
        <w:ind w:hanging="0" w:start="984" w:end="879"/>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ListParagraph"/>
        <w:numPr>
          <w:ilvl w:val="0"/>
          <w:numId w:val="0"/>
        </w:numPr>
        <w:tabs>
          <w:tab w:val="clear" w:pos="449"/>
          <w:tab w:val="left" w:pos="973" w:leader="none"/>
          <w:tab w:val="left" w:pos="1209" w:leader="none"/>
        </w:tabs>
        <w:spacing w:lineRule="auto" w:line="240" w:before="0" w:after="0"/>
        <w:ind w:hanging="0" w:start="984" w:end="879"/>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Liberation Serif;Times New Roman" w:cs="Liberation Serif;Times New Roman" w:ascii="Liberation Serif;Times New Roman" w:hAnsi="Liberation Serif;Times New Roman"/>
          <w:b w:val="false"/>
          <w:bCs w:val="false"/>
          <w:color w:val="auto"/>
          <w:sz w:val="24"/>
          <w:szCs w:val="24"/>
          <w:lang w:val="ru-RU" w:eastAsia="zh-CN" w:bidi="ar-SA"/>
        </w:rPr>
        <w:t xml:space="preserve"> </w:t>
      </w:r>
      <w:r>
        <w:rPr>
          <w:rFonts w:eastAsia="Times New Roman" w:cs="Liberation Serif;Times New Roman" w:ascii="Liberation Serif;Times New Roman" w:hAnsi="Liberation Serif;Times New Roman"/>
          <w:b w:val="false"/>
          <w:bCs w:val="false"/>
          <w:color w:val="auto"/>
          <w:sz w:val="24"/>
          <w:szCs w:val="24"/>
          <w:lang w:val="ru-RU" w:eastAsia="zh-CN" w:bidi="ar-SA"/>
        </w:rPr>
        <w:t xml:space="preserve">11. ЮРИДИЧЕСКИЕ АДРЕСА, БАНКОВСКИЕ РЕКВИЗИТЫ И ПОДПИСИ </w:t>
      </w:r>
    </w:p>
    <w:p>
      <w:pPr>
        <w:pStyle w:val="ListParagraph"/>
        <w:tabs>
          <w:tab w:val="clear" w:pos="449"/>
          <w:tab w:val="left" w:pos="973" w:leader="none"/>
          <w:tab w:val="left" w:pos="1209" w:leader="none"/>
        </w:tabs>
        <w:spacing w:lineRule="auto" w:line="240" w:before="0" w:after="0"/>
        <w:ind w:hanging="196" w:start="973" w:end="879"/>
        <w:contextualSpacing w:val="false"/>
        <w:jc w:val="start"/>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tbl>
      <w:tblPr>
        <w:tblW w:w="9690" w:type="dxa"/>
        <w:jc w:val="start"/>
        <w:tblInd w:w="108" w:type="dxa"/>
        <w:tblLayout w:type="fixed"/>
        <w:tblCellMar>
          <w:top w:w="0" w:type="dxa"/>
          <w:start w:w="108" w:type="dxa"/>
          <w:bottom w:w="0" w:type="dxa"/>
          <w:end w:w="108" w:type="dxa"/>
        </w:tblCellMar>
      </w:tblPr>
      <w:tblGrid>
        <w:gridCol w:w="4710"/>
        <w:gridCol w:w="4980"/>
      </w:tblGrid>
      <w:tr>
        <w:trPr/>
        <w:tc>
          <w:tcPr>
            <w:tcW w:w="4710" w:type="dxa"/>
            <w:tcBorders/>
          </w:tcPr>
          <w:p>
            <w:pPr>
              <w:pStyle w:val="Normal"/>
              <w:spacing w:lineRule="auto" w:line="240" w:before="0" w:after="0"/>
              <w:contextualSpacing/>
              <w:rPr>
                <w:rFonts w:ascii="Liberation Serif;Times New Roman" w:hAnsi="Liberation Serif;Times New Roman" w:cs="Liberation Serif;Times New Roman"/>
                <w:b/>
                <w:sz w:val="24"/>
                <w:szCs w:val="24"/>
              </w:rPr>
            </w:pPr>
            <w:r>
              <w:rPr>
                <w:rFonts w:cs="Liberation Serif;Times New Roman" w:ascii="Liberation Serif;Times New Roman" w:hAnsi="Liberation Serif;Times New Roman"/>
                <w:b/>
                <w:sz w:val="24"/>
                <w:szCs w:val="24"/>
              </w:rPr>
              <w:t>ЗАКАЗЧИК:</w:t>
            </w:r>
          </w:p>
        </w:tc>
        <w:tc>
          <w:tcPr>
            <w:tcW w:w="4980" w:type="dxa"/>
            <w:tcBorders/>
          </w:tcPr>
          <w:p>
            <w:pPr>
              <w:pStyle w:val="Normal"/>
              <w:spacing w:lineRule="auto" w:line="240" w:before="0" w:after="0"/>
              <w:contextualSpacing/>
              <w:rPr>
                <w:rFonts w:ascii="Liberation Serif;Times New Roman" w:hAnsi="Liberation Serif;Times New Roman" w:cs="Liberation Serif;Times New Roman"/>
                <w:b/>
                <w:sz w:val="24"/>
                <w:szCs w:val="24"/>
              </w:rPr>
            </w:pPr>
            <w:r>
              <w:rPr>
                <w:rFonts w:cs="Liberation Serif;Times New Roman" w:ascii="Liberation Serif;Times New Roman" w:hAnsi="Liberation Serif;Times New Roman"/>
                <w:b/>
                <w:sz w:val="24"/>
                <w:szCs w:val="24"/>
              </w:rPr>
              <w:t>ИСПОЛНИТЕЛЬ:</w:t>
            </w:r>
          </w:p>
        </w:tc>
      </w:tr>
      <w:tr>
        <w:trPr/>
        <w:tc>
          <w:tcPr>
            <w:tcW w:w="4710" w:type="dxa"/>
            <w:tcBorders/>
          </w:tcPr>
          <w:p>
            <w:pPr>
              <w:pStyle w:val="ConsPlusNormal"/>
              <w:spacing w:lineRule="auto" w:line="240" w:before="0" w:after="0"/>
              <w:ind w:hanging="0" w:end="0"/>
              <w:contextualSpacing/>
              <w:rPr>
                <w:rFonts w:ascii="Liberation Serif;Times New Roman" w:hAnsi="Liberation Serif;Times New Roman" w:cs="Liberation Serif;Times New Roman"/>
                <w:b/>
                <w:sz w:val="24"/>
                <w:szCs w:val="24"/>
              </w:rPr>
            </w:pPr>
            <w:r>
              <w:rPr>
                <w:rFonts w:cs="Liberation Serif;Times New Roman" w:ascii="Liberation Serif;Times New Roman" w:hAnsi="Liberation Serif;Times New Roman"/>
                <w:b/>
                <w:sz w:val="24"/>
                <w:szCs w:val="24"/>
              </w:rPr>
              <w:t>Управление Федеральной службы судебных приставов по Ямало-Ненецкому автономному округу</w:t>
            </w:r>
          </w:p>
          <w:p>
            <w:pPr>
              <w:pStyle w:val="ConsPlusNormal"/>
              <w:spacing w:lineRule="auto" w:line="240" w:before="0" w:after="0"/>
              <w:ind w:hanging="0" w:end="0"/>
              <w:contextualSpacing/>
              <w:rPr>
                <w:rFonts w:ascii="Liberation Serif;Times New Roman" w:hAnsi="Liberation Serif;Times New Roman" w:cs="Liberation Serif;Times New Roman"/>
                <w:b/>
                <w:sz w:val="24"/>
                <w:szCs w:val="24"/>
              </w:rPr>
            </w:pPr>
            <w:r>
              <w:rPr>
                <w:rFonts w:cs="Liberation Serif;Times New Roman" w:ascii="Liberation Serif;Times New Roman" w:hAnsi="Liberation Serif;Times New Roman"/>
                <w:b/>
                <w:sz w:val="24"/>
                <w:szCs w:val="24"/>
              </w:rPr>
              <w:t>(УФССП России по Ямало-Ненецкому автономному округу)</w:t>
            </w:r>
          </w:p>
        </w:tc>
        <w:tc>
          <w:tcPr>
            <w:tcW w:w="4980" w:type="dxa"/>
            <w:tcBorders/>
          </w:tcPr>
          <w:p>
            <w:pPr>
              <w:pStyle w:val="Normal"/>
              <w:snapToGrid w:val="false"/>
              <w:spacing w:lineRule="auto" w:line="240" w:before="0" w:after="0"/>
              <w:ind w:end="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4710" w:type="dxa"/>
            <w:tcBorders/>
          </w:tcPr>
          <w:p>
            <w:pPr>
              <w:pStyle w:val="ConsPlusNormal"/>
              <w:spacing w:lineRule="auto" w:line="240" w:before="0" w:after="0"/>
              <w:ind w:hanging="0" w:end="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color w:val="00000A"/>
                <w:sz w:val="24"/>
                <w:szCs w:val="24"/>
              </w:rPr>
              <w:t>Юридический адрес:</w:t>
            </w:r>
            <w:r>
              <w:rPr>
                <w:rFonts w:cs="Liberation Serif;Times New Roman" w:ascii="Liberation Serif;Times New Roman" w:hAnsi="Liberation Serif;Times New Roman"/>
                <w:sz w:val="24"/>
                <w:szCs w:val="24"/>
              </w:rPr>
              <w:t xml:space="preserve"> 629007, ЯНАО, Салехард г, ул. Свердлова, д.43А, этаж 4, 5, 6</w:t>
            </w:r>
          </w:p>
          <w:p>
            <w:pPr>
              <w:pStyle w:val="ConsPlusNormal"/>
              <w:spacing w:lineRule="auto" w:line="240" w:before="0" w:after="0"/>
              <w:ind w:hanging="0" w:end="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Почтовый адрес: 629007, ЯНАО, Салехард г, ул. Свердлова, д.43А, этаж 4, 5, 6</w:t>
            </w:r>
          </w:p>
          <w:p>
            <w:pPr>
              <w:pStyle w:val="ConsPlusNormal"/>
              <w:spacing w:lineRule="auto" w:line="240" w:before="0" w:after="0"/>
              <w:ind w:hanging="0" w:end="0"/>
              <w:contextualSpacing/>
              <w:rPr>
                <w:rFonts w:ascii="Liberation Serif;Times New Roman" w:hAnsi="Liberation Serif;Times New Roman" w:cs="Liberation Serif;Times New Roman"/>
                <w:sz w:val="24"/>
                <w:szCs w:val="24"/>
                <w:lang w:val="en-US"/>
              </w:rPr>
            </w:pPr>
            <w:r>
              <w:rPr>
                <w:rFonts w:cs="Liberation Serif;Times New Roman" w:ascii="Liberation Serif;Times New Roman" w:hAnsi="Liberation Serif;Times New Roman"/>
                <w:sz w:val="24"/>
                <w:szCs w:val="24"/>
              </w:rPr>
              <w:t>Телефон: 8(34922) 44369</w:t>
            </w:r>
          </w:p>
          <w:p>
            <w:pPr>
              <w:pStyle w:val="ConsPlusNormal"/>
              <w:spacing w:lineRule="auto" w:line="240" w:before="0" w:after="0"/>
              <w:ind w:hanging="0" w:end="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lang w:val="en-US"/>
              </w:rPr>
              <w:t xml:space="preserve">Email: </w:t>
            </w:r>
            <w:hyperlink r:id="rId2">
              <w:r>
                <w:rPr>
                  <w:rStyle w:val="Hyperlink"/>
                  <w:rFonts w:cs="Liberation Serif;Times New Roman" w:ascii="Liberation Serif;Times New Roman" w:hAnsi="Liberation Serif;Times New Roman"/>
                  <w:sz w:val="24"/>
                  <w:szCs w:val="24"/>
                  <w:lang w:val="en-US"/>
                </w:rPr>
                <w:t>feo-mto@r89.fssp.gov.ru</w:t>
              </w:r>
            </w:hyperlink>
          </w:p>
          <w:p>
            <w:pPr>
              <w:pStyle w:val="ConsPlusNormal"/>
              <w:spacing w:lineRule="auto" w:line="240" w:before="0" w:after="0"/>
              <w:ind w:hanging="0" w:end="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ИНН: 8901016096 КПП: 890101001</w:t>
            </w:r>
          </w:p>
          <w:p>
            <w:pPr>
              <w:pStyle w:val="ConsPlusNormal"/>
              <w:spacing w:lineRule="auto" w:line="240" w:before="0" w:after="0"/>
              <w:ind w:hanging="0" w:end="0"/>
              <w:contextualSpacing/>
              <w:rPr>
                <w:rFonts w:ascii="Liberation Serif;Times New Roman" w:hAnsi="Liberation Serif;Times New Roman" w:cs="Liberation Serif;Times New Roman"/>
                <w:b/>
                <w:sz w:val="24"/>
                <w:szCs w:val="24"/>
              </w:rPr>
            </w:pPr>
            <w:r>
              <w:rPr>
                <w:rFonts w:cs="Liberation Serif;Times New Roman" w:ascii="Liberation Serif;Times New Roman" w:hAnsi="Liberation Serif;Times New Roman"/>
                <w:sz w:val="24"/>
                <w:szCs w:val="24"/>
              </w:rPr>
              <w:t>ОГРН: 1048900006022</w:t>
            </w:r>
          </w:p>
          <w:p>
            <w:pPr>
              <w:pStyle w:val="Normal"/>
              <w:tabs>
                <w:tab w:val="clear" w:pos="449"/>
                <w:tab w:val="left" w:pos="1843" w:leader="none"/>
              </w:tabs>
              <w:spacing w:lineRule="auto" w:line="240" w:before="0" w:after="0"/>
              <w:ind w:end="317"/>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b/>
                <w:sz w:val="24"/>
                <w:szCs w:val="24"/>
              </w:rPr>
              <w:t>Банковские реквизиты:</w:t>
            </w:r>
          </w:p>
          <w:p>
            <w:pPr>
              <w:pStyle w:val="Normal"/>
              <w:spacing w:lineRule="auto" w:line="240" w:before="0" w:after="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БИК 015004950</w:t>
            </w:r>
          </w:p>
          <w:p>
            <w:pPr>
              <w:pStyle w:val="Normal"/>
              <w:spacing w:lineRule="auto" w:line="240" w:before="0" w:after="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ЕКС (к/с) 40102810445370000043</w:t>
            </w:r>
          </w:p>
          <w:p>
            <w:pPr>
              <w:pStyle w:val="Normal"/>
              <w:spacing w:lineRule="auto" w:line="240" w:before="0" w:after="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ОКЦ №1 СибГУ Банка России//УФК ПО НОВОСИБИРСКОЙ ОБЛАСТИ, г. Новосибирск</w:t>
            </w:r>
          </w:p>
          <w:p>
            <w:pPr>
              <w:pStyle w:val="Normal"/>
              <w:spacing w:lineRule="auto" w:line="240" w:before="0" w:after="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Казначейский счет (р/с) 03211643000000015117</w:t>
            </w:r>
          </w:p>
          <w:p>
            <w:pPr>
              <w:pStyle w:val="Normal"/>
              <w:spacing w:lineRule="auto" w:line="240" w:before="0" w:after="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Получатель: УФК ПО НОВОСИБИРСКОЙ ОБЛАСТИ (УФССП РОССИИ ПО ЯМАЛО-НЕНЕЦКОМУ АВТОНОМНОМУ ОКРУГУ) л/с 03901785830</w:t>
            </w:r>
          </w:p>
          <w:p>
            <w:pPr>
              <w:pStyle w:val="Style22"/>
              <w:spacing w:lineRule="auto" w:line="240" w:before="0" w:after="0"/>
              <w:ind w:end="51"/>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Style22"/>
              <w:spacing w:lineRule="auto" w:line="240" w:before="0" w:after="0"/>
              <w:ind w:end="51"/>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Style22"/>
              <w:spacing w:lineRule="auto" w:line="240" w:before="0" w:after="0"/>
              <w:ind w:end="51"/>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c>
          <w:tcPr>
            <w:tcW w:w="4980" w:type="dxa"/>
            <w:tcBorders/>
          </w:tcPr>
          <w:p>
            <w:pPr>
              <w:pStyle w:val="Normal"/>
              <w:snapToGrid w:val="false"/>
              <w:spacing w:lineRule="auto" w:line="240" w:before="0" w:after="0"/>
              <w:ind w:end="0"/>
              <w:contextualSpacing/>
              <w:jc w:val="both"/>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4710" w:type="dxa"/>
            <w:tcBorders/>
          </w:tcPr>
          <w:p>
            <w:pPr>
              <w:pStyle w:val="Normal"/>
              <w:spacing w:lineRule="auto" w:line="240" w:before="0" w:after="0"/>
              <w:contextualSpacing/>
              <w:rPr>
                <w:rFonts w:ascii="Liberation Serif;Times New Roman" w:hAnsi="Liberation Serif;Times New Roman" w:cs="Liberation Serif;Times New Roman"/>
                <w:b/>
                <w:bCs/>
                <w:sz w:val="24"/>
                <w:szCs w:val="24"/>
              </w:rPr>
            </w:pPr>
            <w:r>
              <w:rPr>
                <w:rFonts w:cs="Liberation Serif;Times New Roman" w:ascii="Liberation Serif;Times New Roman" w:hAnsi="Liberation Serif;Times New Roman"/>
                <w:b/>
                <w:bCs/>
                <w:sz w:val="24"/>
                <w:szCs w:val="24"/>
              </w:rPr>
              <w:t>Врио руководителя</w:t>
            </w:r>
          </w:p>
        </w:tc>
        <w:tc>
          <w:tcPr>
            <w:tcW w:w="4980" w:type="dxa"/>
            <w:tcBorders/>
          </w:tcPr>
          <w:p>
            <w:pPr>
              <w:pStyle w:val="Normal"/>
              <w:snapToGrid w:val="false"/>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tc>
      </w:tr>
      <w:tr>
        <w:trPr/>
        <w:tc>
          <w:tcPr>
            <w:tcW w:w="4710" w:type="dxa"/>
            <w:tcBorders/>
          </w:tcPr>
          <w:p>
            <w:pPr>
              <w:pStyle w:val="Normal"/>
              <w:snapToGrid w:val="false"/>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_________________/Д.А. Малетин/</w:t>
            </w:r>
          </w:p>
        </w:tc>
        <w:tc>
          <w:tcPr>
            <w:tcW w:w="4980" w:type="dxa"/>
            <w:tcBorders/>
          </w:tcPr>
          <w:p>
            <w:pPr>
              <w:pStyle w:val="Normal"/>
              <w:snapToGrid w:val="false"/>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r>
          </w:p>
          <w:p>
            <w:pPr>
              <w:pStyle w:val="Normal"/>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__________________/________________/</w:t>
            </w:r>
          </w:p>
        </w:tc>
      </w:tr>
      <w:tr>
        <w:trPr>
          <w:trHeight w:val="420" w:hRule="atLeast"/>
        </w:trPr>
        <w:tc>
          <w:tcPr>
            <w:tcW w:w="4710" w:type="dxa"/>
            <w:tcBorders/>
          </w:tcPr>
          <w:p>
            <w:pPr>
              <w:pStyle w:val="Normal"/>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ЭП</w:t>
            </w:r>
          </w:p>
        </w:tc>
        <w:tc>
          <w:tcPr>
            <w:tcW w:w="4980" w:type="dxa"/>
            <w:tcBorders/>
          </w:tcPr>
          <w:p>
            <w:pPr>
              <w:pStyle w:val="Normal"/>
              <w:spacing w:lineRule="auto" w:line="240" w:before="0" w:after="0"/>
              <w:contextualSpacing/>
              <w:rPr>
                <w:rFonts w:ascii="Liberation Serif;Times New Roman" w:hAnsi="Liberation Serif;Times New Roman" w:cs="Liberation Serif;Times New Roman"/>
                <w:sz w:val="24"/>
                <w:szCs w:val="24"/>
              </w:rPr>
            </w:pPr>
            <w:r>
              <w:rPr>
                <w:rFonts w:cs="Liberation Serif;Times New Roman" w:ascii="Liberation Serif;Times New Roman" w:hAnsi="Liberation Serif;Times New Roman"/>
                <w:sz w:val="24"/>
                <w:szCs w:val="24"/>
              </w:rPr>
              <w:t>ЭП</w:t>
            </w:r>
          </w:p>
        </w:tc>
      </w:tr>
    </w:tbl>
    <w:p>
      <w:pPr>
        <w:sectPr>
          <w:type w:val="nextPage"/>
          <w:pgSz w:w="11906" w:h="16838"/>
          <w:pgMar w:left="1134" w:right="567" w:gutter="0" w:header="0" w:top="567" w:footer="0" w:bottom="567"/>
          <w:pgNumType w:fmt="decimal"/>
          <w:formProt w:val="false"/>
          <w:titlePg/>
          <w:textDirection w:val="lrTb"/>
          <w:docGrid w:type="default" w:linePitch="360" w:charSpace="0"/>
        </w:sectPr>
      </w:pPr>
    </w:p>
    <w:p>
      <w:pPr>
        <w:pStyle w:val="BodyText"/>
        <w:spacing w:lineRule="auto" w:line="240" w:before="0" w:after="0"/>
        <w:ind w:hanging="1" w:start="375" w:end="5075"/>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BodyText"/>
        <w:spacing w:lineRule="auto" w:line="240" w:before="0" w:after="0"/>
        <w:ind w:hanging="1" w:start="375" w:end="5075"/>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BodyText"/>
        <w:spacing w:lineRule="auto" w:line="240" w:before="0" w:after="0"/>
        <w:ind w:hanging="1" w:start="375" w:end="5075"/>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BodyText"/>
        <w:spacing w:lineRule="auto" w:line="240" w:before="0" w:after="0"/>
        <w:ind w:hanging="1" w:start="375" w:end="5075"/>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sectPr>
          <w:type w:val="continuous"/>
          <w:pgSz w:w="11906" w:h="16838"/>
          <w:pgMar w:left="1134" w:right="567" w:gutter="0" w:header="0" w:top="567" w:footer="0" w:bottom="567"/>
          <w:formProt w:val="false"/>
          <w:titlePg/>
          <w:textDirection w:val="lrTb"/>
          <w:docGrid w:type="default" w:linePitch="360" w:charSpace="0"/>
        </w:sectPr>
      </w:pP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numPr>
          <w:ilvl w:val="0"/>
          <w:numId w:val="0"/>
        </w:numPr>
        <w:ind w:hanging="0" w:start="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sectPr>
          <w:type w:val="continuous"/>
          <w:pgSz w:w="11906" w:h="16838"/>
          <w:pgMar w:left="1134" w:right="567" w:gutter="0" w:header="0" w:top="567" w:footer="0" w:bottom="567"/>
          <w:formProt w:val="false"/>
          <w:titlePg/>
          <w:textDirection w:val="lrTb"/>
          <w:docGrid w:type="default" w:linePitch="360" w:charSpace="0"/>
        </w:sectPr>
      </w:pPr>
    </w:p>
    <w:tbl>
      <w:tblPr>
        <w:tblW w:w="3639" w:type="dxa"/>
        <w:jc w:val="end"/>
        <w:tblInd w:w="0" w:type="dxa"/>
        <w:tblLayout w:type="fixed"/>
        <w:tblCellMar>
          <w:top w:w="55" w:type="dxa"/>
          <w:start w:w="55" w:type="dxa"/>
          <w:bottom w:w="55" w:type="dxa"/>
          <w:end w:w="55" w:type="dxa"/>
        </w:tblCellMar>
      </w:tblPr>
      <w:tblGrid>
        <w:gridCol w:w="3639"/>
      </w:tblGrid>
      <w:tr>
        <w:trPr/>
        <w:tc>
          <w:tcPr>
            <w:tcW w:w="3639" w:type="dxa"/>
            <w:tcBorders/>
          </w:tcPr>
          <w:p>
            <w:pPr>
              <w:pStyle w:val="Normal"/>
              <w:widowControl w:val="false"/>
              <w:spacing w:lineRule="auto" w:line="240" w:before="0" w:after="0"/>
              <w:ind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Приложение № 1</w:t>
            </w:r>
          </w:p>
          <w:p>
            <w:pPr>
              <w:pStyle w:val="Normal"/>
              <w:widowControl w:val="false"/>
              <w:spacing w:lineRule="auto" w:line="240" w:before="0" w:after="0"/>
              <w:ind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к Договору № ____</w:t>
            </w:r>
          </w:p>
          <w:p>
            <w:pPr>
              <w:pStyle w:val="Normal"/>
              <w:widowControl w:val="false"/>
              <w:spacing w:lineRule="auto" w:line="240" w:before="0" w:after="0"/>
              <w:ind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от «_____» _________ 2026 года</w:t>
            </w:r>
          </w:p>
        </w:tc>
      </w:tr>
    </w:tbl>
    <w:p>
      <w:pPr>
        <w:pStyle w:val="Normal"/>
        <w:widowControl w:val="false"/>
        <w:spacing w:lineRule="auto" w:line="240" w:before="0" w:after="0"/>
        <w:ind w:firstLine="720" w:start="5040"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end"/>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end"/>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СПЕЦИФИКАЦИЯ № 1</w:t>
      </w:r>
    </w:p>
    <w:p>
      <w:pPr>
        <w:pStyle w:val="Standard"/>
        <w:spacing w:lineRule="auto" w:line="240" w:before="0" w:after="0"/>
        <w:ind w:firstLine="360" w:end="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 xml:space="preserve">Наименование услуг и стоимость единицы  услуг </w:t>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tbl>
      <w:tblPr>
        <w:tblW w:w="10103" w:type="dxa"/>
        <w:jc w:val="start"/>
        <w:tblInd w:w="-89" w:type="dxa"/>
        <w:tblLayout w:type="fixed"/>
        <w:tblCellMar>
          <w:top w:w="0" w:type="dxa"/>
          <w:start w:w="108" w:type="dxa"/>
          <w:bottom w:w="0" w:type="dxa"/>
          <w:end w:w="108" w:type="dxa"/>
        </w:tblCellMar>
      </w:tblPr>
      <w:tblGrid>
        <w:gridCol w:w="717"/>
        <w:gridCol w:w="4120"/>
        <w:gridCol w:w="874"/>
        <w:gridCol w:w="751"/>
        <w:gridCol w:w="1821"/>
        <w:gridCol w:w="1820"/>
      </w:tblGrid>
      <w:tr>
        <w:trPr/>
        <w:tc>
          <w:tcPr>
            <w:tcW w:w="717"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pPr>
            <w:r>
              <w:rPr>
                <w:rFonts w:eastAsia="Times New Roman" w:cs="Liberation Serif;Times New Roman" w:ascii="Liberation Serif;Times New Roman" w:hAnsi="Liberation Serif;Times New Roman"/>
                <w:b w:val="false"/>
                <w:bCs w:val="false"/>
                <w:color w:val="auto"/>
                <w:sz w:val="24"/>
                <w:szCs w:val="24"/>
                <w:lang w:val="ru-RU" w:eastAsia="zh-CN" w:bidi="ar-SA"/>
              </w:rPr>
              <w:t>№</w:t>
            </w:r>
            <w:r>
              <w:rPr>
                <w:rFonts w:eastAsia="Liberation Serif;Times New Roman" w:cs="Liberation Serif;Times New Roman" w:ascii="Liberation Serif;Times New Roman" w:hAnsi="Liberation Serif;Times New Roman"/>
                <w:b w:val="false"/>
                <w:bCs w:val="false"/>
                <w:color w:val="auto"/>
                <w:sz w:val="24"/>
                <w:szCs w:val="24"/>
                <w:lang w:val="ru-RU" w:eastAsia="zh-CN" w:bidi="ar-SA"/>
              </w:rPr>
              <w:t xml:space="preserve"> </w:t>
            </w:r>
            <w:r>
              <w:rPr>
                <w:rFonts w:eastAsia="Times New Roman" w:cs="Liberation Serif;Times New Roman" w:ascii="Liberation Serif;Times New Roman" w:hAnsi="Liberation Serif;Times New Roman"/>
                <w:b w:val="false"/>
                <w:bCs w:val="false"/>
                <w:color w:val="auto"/>
                <w:sz w:val="24"/>
                <w:szCs w:val="24"/>
                <w:lang w:val="ru-RU" w:eastAsia="zh-CN" w:bidi="ar-SA"/>
              </w:rPr>
              <w:t>п/п</w:t>
            </w:r>
          </w:p>
        </w:tc>
        <w:tc>
          <w:tcPr>
            <w:tcW w:w="4120"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Наименование услуг</w:t>
            </w:r>
          </w:p>
        </w:tc>
        <w:tc>
          <w:tcPr>
            <w:tcW w:w="874"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Ед. изм.</w:t>
            </w:r>
          </w:p>
        </w:tc>
        <w:tc>
          <w:tcPr>
            <w:tcW w:w="751"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Кол-во</w:t>
            </w:r>
          </w:p>
        </w:tc>
        <w:tc>
          <w:tcPr>
            <w:tcW w:w="1821" w:type="dxa"/>
            <w:tcBorders>
              <w:top w:val="single" w:sz="4" w:space="0" w:color="000000"/>
              <w:start w:val="single" w:sz="4" w:space="0" w:color="000000"/>
              <w:bottom w:val="single" w:sz="4" w:space="0" w:color="000000"/>
            </w:tcBorders>
          </w:tcPr>
          <w:p>
            <w:pPr>
              <w:pStyle w:val="Normal"/>
              <w:suppressAutoHyphens w:val="false"/>
              <w:spacing w:lineRule="auto" w:line="240" w:before="0" w:after="0"/>
              <w:jc w:val="center"/>
              <w:textAlignment w:val="auto"/>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Цена</w:t>
            </w:r>
          </w:p>
        </w:tc>
        <w:tc>
          <w:tcPr>
            <w:tcW w:w="1820"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before="0" w:after="0"/>
              <w:jc w:val="center"/>
              <w:textAlignment w:val="auto"/>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Сумма</w:t>
            </w:r>
          </w:p>
        </w:tc>
      </w:tr>
      <w:tr>
        <w:trPr>
          <w:trHeight w:val="338" w:hRule="atLeast"/>
        </w:trPr>
        <w:tc>
          <w:tcPr>
            <w:tcW w:w="717" w:type="dxa"/>
            <w:tcBorders>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4120" w:type="dxa"/>
            <w:tcBorders>
              <w:start w:val="single" w:sz="4" w:space="0" w:color="000000"/>
              <w:bottom w:val="single" w:sz="4" w:space="0" w:color="000000"/>
            </w:tcBorders>
          </w:tcPr>
          <w:p>
            <w:pPr>
              <w:pStyle w:val="Normal"/>
              <w:tabs>
                <w:tab w:val="clear" w:pos="449"/>
                <w:tab w:val="left" w:pos="6549" w:leader="none"/>
              </w:tabs>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Фильтр масляный 406дв оригинал в уп. ГАЗ/УАЗ</w:t>
            </w:r>
          </w:p>
        </w:tc>
        <w:tc>
          <w:tcPr>
            <w:tcW w:w="874"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шт.</w:t>
            </w:r>
          </w:p>
        </w:tc>
        <w:tc>
          <w:tcPr>
            <w:tcW w:w="751" w:type="dxa"/>
            <w:tcBorders>
              <w:start w:val="single" w:sz="4" w:space="0" w:color="000000"/>
              <w:bottom w:val="single" w:sz="4" w:space="0" w:color="000000"/>
            </w:tcBorders>
            <w:vAlign w:val="center"/>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1821"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950,00</w:t>
            </w:r>
          </w:p>
        </w:tc>
        <w:tc>
          <w:tcPr>
            <w:tcW w:w="1820" w:type="dxa"/>
            <w:tcBorders>
              <w:start w:val="single" w:sz="4" w:space="0" w:color="000000"/>
              <w:bottom w:val="single" w:sz="4" w:space="0" w:color="000000"/>
              <w:end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950,00</w:t>
            </w:r>
          </w:p>
        </w:tc>
      </w:tr>
      <w:tr>
        <w:trPr/>
        <w:tc>
          <w:tcPr>
            <w:tcW w:w="717" w:type="dxa"/>
            <w:tcBorders>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2</w:t>
            </w:r>
          </w:p>
        </w:tc>
        <w:tc>
          <w:tcPr>
            <w:tcW w:w="4120" w:type="dxa"/>
            <w:tcBorders>
              <w:start w:val="single" w:sz="4" w:space="0" w:color="000000"/>
              <w:bottom w:val="single" w:sz="4" w:space="0" w:color="000000"/>
            </w:tcBorders>
          </w:tcPr>
          <w:p>
            <w:pPr>
              <w:pStyle w:val="Normal"/>
              <w:tabs>
                <w:tab w:val="clear" w:pos="449"/>
                <w:tab w:val="left" w:pos="6549" w:leader="none"/>
              </w:tabs>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Датчик тормозной ВК12Б</w:t>
            </w:r>
          </w:p>
        </w:tc>
        <w:tc>
          <w:tcPr>
            <w:tcW w:w="874"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шт.</w:t>
            </w:r>
          </w:p>
        </w:tc>
        <w:tc>
          <w:tcPr>
            <w:tcW w:w="751" w:type="dxa"/>
            <w:tcBorders>
              <w:start w:val="single" w:sz="4" w:space="0" w:color="000000"/>
              <w:bottom w:val="single" w:sz="4" w:space="0" w:color="000000"/>
            </w:tcBorders>
            <w:vAlign w:val="center"/>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1821"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130,00</w:t>
            </w:r>
          </w:p>
        </w:tc>
        <w:tc>
          <w:tcPr>
            <w:tcW w:w="1820" w:type="dxa"/>
            <w:tcBorders>
              <w:start w:val="single" w:sz="4" w:space="0" w:color="000000"/>
              <w:bottom w:val="single" w:sz="4" w:space="0" w:color="000000"/>
              <w:end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130,00</w:t>
            </w:r>
          </w:p>
        </w:tc>
      </w:tr>
      <w:tr>
        <w:trPr/>
        <w:tc>
          <w:tcPr>
            <w:tcW w:w="717" w:type="dxa"/>
            <w:tcBorders>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3</w:t>
            </w:r>
          </w:p>
        </w:tc>
        <w:tc>
          <w:tcPr>
            <w:tcW w:w="4120" w:type="dxa"/>
            <w:tcBorders>
              <w:start w:val="single" w:sz="4" w:space="0" w:color="000000"/>
              <w:bottom w:val="single" w:sz="4" w:space="0" w:color="000000"/>
            </w:tcBorders>
          </w:tcPr>
          <w:p>
            <w:pPr>
              <w:pStyle w:val="Normal"/>
              <w:tabs>
                <w:tab w:val="clear" w:pos="449"/>
                <w:tab w:val="left" w:pos="6549" w:leader="none"/>
              </w:tabs>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Аккумуляторная батарея PREMIUM 6CT-77LA</w:t>
            </w:r>
          </w:p>
        </w:tc>
        <w:tc>
          <w:tcPr>
            <w:tcW w:w="874"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шт.</w:t>
            </w:r>
          </w:p>
        </w:tc>
        <w:tc>
          <w:tcPr>
            <w:tcW w:w="751" w:type="dxa"/>
            <w:tcBorders>
              <w:start w:val="single" w:sz="4" w:space="0" w:color="000000"/>
              <w:bottom w:val="single" w:sz="4" w:space="0" w:color="000000"/>
            </w:tcBorders>
            <w:vAlign w:val="center"/>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1821"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11950,00</w:t>
            </w:r>
          </w:p>
        </w:tc>
        <w:tc>
          <w:tcPr>
            <w:tcW w:w="1820" w:type="dxa"/>
            <w:tcBorders>
              <w:start w:val="single" w:sz="4" w:space="0" w:color="000000"/>
              <w:bottom w:val="single" w:sz="4" w:space="0" w:color="000000"/>
              <w:end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11950,00</w:t>
            </w:r>
          </w:p>
        </w:tc>
      </w:tr>
      <w:tr>
        <w:trPr/>
        <w:tc>
          <w:tcPr>
            <w:tcW w:w="8283" w:type="dxa"/>
            <w:gridSpan w:val="5"/>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end"/>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ИТОГО (в том числе НДС 5%):</w:t>
            </w:r>
          </w:p>
        </w:tc>
        <w:tc>
          <w:tcPr>
            <w:tcW w:w="1820" w:type="dxa"/>
            <w:tcBorders>
              <w:top w:val="single" w:sz="4" w:space="0" w:color="000000"/>
              <w:start w:val="single" w:sz="4" w:space="0" w:color="000000"/>
              <w:bottom w:val="single" w:sz="4" w:space="0" w:color="000000"/>
              <w:end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13030,00</w:t>
            </w:r>
          </w:p>
        </w:tc>
      </w:tr>
    </w:tbl>
    <w:p>
      <w:pPr>
        <w:pStyle w:val="Normal"/>
        <w:widowControl w:val="false"/>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42"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tbl>
      <w:tblPr>
        <w:tblW w:w="9747" w:type="dxa"/>
        <w:jc w:val="start"/>
        <w:tblInd w:w="0" w:type="dxa"/>
        <w:tblLayout w:type="fixed"/>
        <w:tblCellMar>
          <w:top w:w="0" w:type="dxa"/>
          <w:start w:w="108" w:type="dxa"/>
          <w:bottom w:w="0" w:type="dxa"/>
          <w:end w:w="108" w:type="dxa"/>
        </w:tblCellMar>
      </w:tblPr>
      <w:tblGrid>
        <w:gridCol w:w="4785"/>
        <w:gridCol w:w="4962"/>
      </w:tblGrid>
      <w:tr>
        <w:trPr>
          <w:trHeight w:val="1983" w:hRule="atLeast"/>
        </w:trPr>
        <w:tc>
          <w:tcPr>
            <w:tcW w:w="4785" w:type="dxa"/>
            <w:tcBorders/>
          </w:tcPr>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Заказчик</w:t>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________________________/Д.А. Малетин/</w:t>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МП</w:t>
            </w:r>
          </w:p>
        </w:tc>
        <w:tc>
          <w:tcPr>
            <w:tcW w:w="4962" w:type="dxa"/>
            <w:tcBorders/>
          </w:tcPr>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Исполнитель</w:t>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________________________/_____________/</w:t>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МП</w:t>
            </w:r>
          </w:p>
        </w:tc>
      </w:tr>
    </w:tbl>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tbl>
      <w:tblPr>
        <w:tblW w:w="3639" w:type="dxa"/>
        <w:jc w:val="end"/>
        <w:tblInd w:w="0" w:type="dxa"/>
        <w:tblLayout w:type="fixed"/>
        <w:tblCellMar>
          <w:top w:w="55" w:type="dxa"/>
          <w:start w:w="55" w:type="dxa"/>
          <w:bottom w:w="55" w:type="dxa"/>
          <w:end w:w="55" w:type="dxa"/>
        </w:tblCellMar>
      </w:tblPr>
      <w:tblGrid>
        <w:gridCol w:w="3639"/>
      </w:tblGrid>
      <w:tr>
        <w:trPr/>
        <w:tc>
          <w:tcPr>
            <w:tcW w:w="3639" w:type="dxa"/>
            <w:tcBorders/>
          </w:tcPr>
          <w:p>
            <w:pPr>
              <w:pStyle w:val="Normal"/>
              <w:widowControl w:val="false"/>
              <w:spacing w:lineRule="auto" w:line="240" w:before="0" w:after="0"/>
              <w:ind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Приложение № 2</w:t>
            </w:r>
          </w:p>
          <w:p>
            <w:pPr>
              <w:pStyle w:val="Normal"/>
              <w:widowControl w:val="false"/>
              <w:spacing w:lineRule="auto" w:line="240" w:before="0" w:after="0"/>
              <w:ind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к Договору № ____</w:t>
            </w:r>
          </w:p>
          <w:p>
            <w:pPr>
              <w:pStyle w:val="Normal"/>
              <w:widowControl w:val="false"/>
              <w:spacing w:lineRule="auto" w:line="240" w:before="0" w:after="0"/>
              <w:ind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от «_____» _________ 2026 года</w:t>
            </w:r>
          </w:p>
        </w:tc>
      </w:tr>
    </w:tbl>
    <w:p>
      <w:pPr>
        <w:pStyle w:val="Normal"/>
        <w:rPr/>
      </w:pPr>
      <w:r>
        <w:rPr/>
      </w:r>
    </w:p>
    <w:p>
      <w:pPr>
        <w:pStyle w:val="Normal"/>
        <w:widowControl w:val="false"/>
        <w:spacing w:lineRule="auto" w:line="240" w:before="0" w:after="0"/>
        <w:ind w:start="176" w:end="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СПЕЦИФИКАЦИЯ № 2</w:t>
      </w:r>
    </w:p>
    <w:p>
      <w:pPr>
        <w:pStyle w:val="Standard"/>
        <w:spacing w:lineRule="auto" w:line="240" w:before="0" w:after="0"/>
        <w:ind w:firstLine="360" w:end="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 xml:space="preserve">Наименование услуг и стоимость единицы  услуг </w:t>
      </w:r>
    </w:p>
    <w:p>
      <w:pPr>
        <w:pStyle w:val="Normal"/>
        <w:widowControl w:val="false"/>
        <w:spacing w:lineRule="auto" w:line="240" w:before="0" w:after="0"/>
        <w:ind w:start="176" w:end="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tbl>
      <w:tblPr>
        <w:tblW w:w="10103" w:type="dxa"/>
        <w:jc w:val="start"/>
        <w:tblInd w:w="-89" w:type="dxa"/>
        <w:tblLayout w:type="fixed"/>
        <w:tblCellMar>
          <w:top w:w="0" w:type="dxa"/>
          <w:start w:w="108" w:type="dxa"/>
          <w:bottom w:w="0" w:type="dxa"/>
          <w:end w:w="108" w:type="dxa"/>
        </w:tblCellMar>
      </w:tblPr>
      <w:tblGrid>
        <w:gridCol w:w="550"/>
        <w:gridCol w:w="4650"/>
        <w:gridCol w:w="683"/>
        <w:gridCol w:w="1467"/>
        <w:gridCol w:w="1250"/>
        <w:gridCol w:w="1503"/>
      </w:tblGrid>
      <w:tr>
        <w:trPr/>
        <w:tc>
          <w:tcPr>
            <w:tcW w:w="550"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pPr>
            <w:r>
              <w:rPr>
                <w:rFonts w:eastAsia="Times New Roman" w:cs="Liberation Serif;Times New Roman" w:ascii="Liberation Serif;Times New Roman" w:hAnsi="Liberation Serif;Times New Roman"/>
                <w:b w:val="false"/>
                <w:bCs w:val="false"/>
                <w:color w:val="auto"/>
                <w:sz w:val="24"/>
                <w:szCs w:val="24"/>
                <w:lang w:val="ru-RU" w:eastAsia="zh-CN" w:bidi="ar-SA"/>
              </w:rPr>
              <w:t>№</w:t>
            </w:r>
            <w:r>
              <w:rPr>
                <w:rFonts w:eastAsia="Liberation Serif;Times New Roman" w:cs="Liberation Serif;Times New Roman" w:ascii="Liberation Serif;Times New Roman" w:hAnsi="Liberation Serif;Times New Roman"/>
                <w:b w:val="false"/>
                <w:bCs w:val="false"/>
                <w:color w:val="auto"/>
                <w:sz w:val="24"/>
                <w:szCs w:val="24"/>
                <w:lang w:val="ru-RU" w:eastAsia="zh-CN" w:bidi="ar-SA"/>
              </w:rPr>
              <w:t xml:space="preserve"> </w:t>
            </w:r>
            <w:r>
              <w:rPr>
                <w:rFonts w:eastAsia="Times New Roman" w:cs="Liberation Serif;Times New Roman" w:ascii="Liberation Serif;Times New Roman" w:hAnsi="Liberation Serif;Times New Roman"/>
                <w:b w:val="false"/>
                <w:bCs w:val="false"/>
                <w:color w:val="auto"/>
                <w:sz w:val="24"/>
                <w:szCs w:val="24"/>
                <w:lang w:val="ru-RU" w:eastAsia="zh-CN" w:bidi="ar-SA"/>
              </w:rPr>
              <w:t>п/п</w:t>
            </w:r>
          </w:p>
        </w:tc>
        <w:tc>
          <w:tcPr>
            <w:tcW w:w="4650"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Наименование услуг</w:t>
            </w:r>
          </w:p>
        </w:tc>
        <w:tc>
          <w:tcPr>
            <w:tcW w:w="683"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Ед. изм.</w:t>
            </w:r>
          </w:p>
        </w:tc>
        <w:tc>
          <w:tcPr>
            <w:tcW w:w="1467"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Кол-во</w:t>
            </w:r>
          </w:p>
        </w:tc>
        <w:tc>
          <w:tcPr>
            <w:tcW w:w="1250" w:type="dxa"/>
            <w:tcBorders>
              <w:top w:val="single" w:sz="4" w:space="0" w:color="000000"/>
              <w:start w:val="single" w:sz="4" w:space="0" w:color="000000"/>
              <w:bottom w:val="single" w:sz="4" w:space="0" w:color="000000"/>
            </w:tcBorders>
          </w:tcPr>
          <w:p>
            <w:pPr>
              <w:pStyle w:val="Normal"/>
              <w:suppressAutoHyphens w:val="false"/>
              <w:spacing w:lineRule="auto" w:line="240" w:before="0" w:after="0"/>
              <w:jc w:val="center"/>
              <w:textAlignment w:val="auto"/>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цена</w:t>
            </w:r>
          </w:p>
        </w:tc>
        <w:tc>
          <w:tcPr>
            <w:tcW w:w="1503"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before="0" w:after="0"/>
              <w:jc w:val="center"/>
              <w:textAlignment w:val="auto"/>
              <w:rPr/>
            </w:pPr>
            <w:r>
              <w:rPr>
                <w:rFonts w:eastAsia="Times New Roman" w:cs="Liberation Serif;Times New Roman" w:ascii="Liberation Serif;Times New Roman" w:hAnsi="Liberation Serif;Times New Roman"/>
                <w:b w:val="false"/>
                <w:bCs w:val="false"/>
                <w:color w:val="auto"/>
                <w:sz w:val="24"/>
                <w:szCs w:val="24"/>
                <w:lang w:val="ru-RU" w:eastAsia="zh-CN" w:bidi="ar-SA"/>
              </w:rPr>
              <w:t>Сумма</w:t>
            </w:r>
          </w:p>
        </w:tc>
      </w:tr>
      <w:tr>
        <w:trPr/>
        <w:tc>
          <w:tcPr>
            <w:tcW w:w="550"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4650" w:type="dxa"/>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Антифриз зеленый NORDEX (-40) 10 кг.</w:t>
            </w:r>
          </w:p>
        </w:tc>
        <w:tc>
          <w:tcPr>
            <w:tcW w:w="683" w:type="dxa"/>
            <w:tcBorders>
              <w:top w:val="single" w:sz="4" w:space="0" w:color="000000"/>
              <w:start w:val="single" w:sz="4" w:space="0" w:color="000000"/>
              <w:bottom w:val="single" w:sz="4" w:space="0" w:color="000000"/>
            </w:tcBorders>
            <w:vAlign w:val="center"/>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шт.</w:t>
            </w:r>
          </w:p>
        </w:tc>
        <w:tc>
          <w:tcPr>
            <w:tcW w:w="1467" w:type="dxa"/>
            <w:tcBorders>
              <w:top w:val="single" w:sz="4" w:space="0" w:color="000000"/>
              <w:start w:val="single" w:sz="4" w:space="0" w:color="000000"/>
              <w:bottom w:val="single" w:sz="4" w:space="0" w:color="000000"/>
            </w:tcBorders>
            <w:vAlign w:val="center"/>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1250" w:type="dxa"/>
            <w:tcBorders>
              <w:top w:val="single" w:sz="4" w:space="0" w:color="000000"/>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1850,00</w:t>
            </w:r>
          </w:p>
        </w:tc>
        <w:tc>
          <w:tcPr>
            <w:tcW w:w="1503"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1850,00</w:t>
            </w:r>
          </w:p>
        </w:tc>
      </w:tr>
      <w:tr>
        <w:trPr/>
        <w:tc>
          <w:tcPr>
            <w:tcW w:w="550" w:type="dxa"/>
            <w:tcBorders>
              <w:start w:val="single" w:sz="4" w:space="0" w:color="000000"/>
              <w:bottom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2</w:t>
            </w:r>
          </w:p>
        </w:tc>
        <w:tc>
          <w:tcPr>
            <w:tcW w:w="4650" w:type="dxa"/>
            <w:tcBorders>
              <w:start w:val="single" w:sz="4" w:space="0" w:color="000000"/>
              <w:bottom w:val="single" w:sz="4" w:space="0" w:color="000000"/>
            </w:tcBorders>
          </w:tcPr>
          <w:p>
            <w:pPr>
              <w:pStyle w:val="Normal"/>
              <w:tabs>
                <w:tab w:val="clear" w:pos="449"/>
                <w:tab w:val="left" w:pos="6549" w:leader="none"/>
              </w:tabs>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Масло моторное Лукойл СУПЕР полусинтетика 5W40 5л.</w:t>
            </w:r>
          </w:p>
        </w:tc>
        <w:tc>
          <w:tcPr>
            <w:tcW w:w="683"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шт.</w:t>
            </w:r>
          </w:p>
        </w:tc>
        <w:tc>
          <w:tcPr>
            <w:tcW w:w="1467" w:type="dxa"/>
            <w:tcBorders>
              <w:start w:val="single" w:sz="4" w:space="0" w:color="000000"/>
              <w:bottom w:val="single" w:sz="4" w:space="0" w:color="000000"/>
            </w:tcBorders>
            <w:vAlign w:val="center"/>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1</w:t>
            </w:r>
          </w:p>
        </w:tc>
        <w:tc>
          <w:tcPr>
            <w:tcW w:w="1250" w:type="dxa"/>
            <w:tcBorders>
              <w:start w:val="single" w:sz="4" w:space="0" w:color="000000"/>
              <w:bottom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3650,00</w:t>
            </w:r>
          </w:p>
        </w:tc>
        <w:tc>
          <w:tcPr>
            <w:tcW w:w="1503" w:type="dxa"/>
            <w:tcBorders>
              <w:start w:val="single" w:sz="4" w:space="0" w:color="000000"/>
              <w:bottom w:val="single" w:sz="4" w:space="0" w:color="000000"/>
              <w:end w:val="single" w:sz="4" w:space="0" w:color="000000"/>
            </w:tcBorders>
            <w:vAlign w:val="center"/>
          </w:tcPr>
          <w:p>
            <w:pPr>
              <w:pStyle w:val="Normal"/>
              <w:tabs>
                <w:tab w:val="clear" w:pos="449"/>
                <w:tab w:val="left" w:pos="6549" w:leader="none"/>
              </w:tabs>
              <w:snapToGrid w:val="false"/>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3650,00</w:t>
            </w:r>
          </w:p>
        </w:tc>
      </w:tr>
      <w:tr>
        <w:trPr/>
        <w:tc>
          <w:tcPr>
            <w:tcW w:w="8600" w:type="dxa"/>
            <w:gridSpan w:val="5"/>
            <w:tcBorders>
              <w:top w:val="single" w:sz="4" w:space="0" w:color="000000"/>
              <w:start w:val="single" w:sz="4" w:space="0" w:color="000000"/>
              <w:bottom w:val="single" w:sz="4" w:space="0" w:color="000000"/>
            </w:tcBorders>
          </w:tcPr>
          <w:p>
            <w:pPr>
              <w:pStyle w:val="Normal"/>
              <w:tabs>
                <w:tab w:val="clear" w:pos="449"/>
                <w:tab w:val="left" w:pos="6549" w:leader="none"/>
              </w:tabs>
              <w:spacing w:lineRule="auto" w:line="240" w:before="0" w:after="0"/>
              <w:jc w:val="end"/>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ИТОГО (в том числе НДС 5%):</w:t>
            </w:r>
          </w:p>
        </w:tc>
        <w:tc>
          <w:tcPr>
            <w:tcW w:w="1503" w:type="dxa"/>
            <w:tcBorders>
              <w:top w:val="single" w:sz="4" w:space="0" w:color="000000"/>
              <w:start w:val="single" w:sz="4" w:space="0" w:color="000000"/>
              <w:bottom w:val="single" w:sz="4" w:space="0" w:color="000000"/>
              <w:end w:val="single" w:sz="4" w:space="0" w:color="000000"/>
            </w:tcBorders>
          </w:tcPr>
          <w:p>
            <w:pPr>
              <w:pStyle w:val="Normal"/>
              <w:tabs>
                <w:tab w:val="clear" w:pos="449"/>
                <w:tab w:val="left" w:pos="6549" w:leader="none"/>
              </w:tabs>
              <w:spacing w:lineRule="auto" w:line="240" w:before="0" w:after="0"/>
              <w:jc w:val="center"/>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5500,00</w:t>
            </w:r>
          </w:p>
        </w:tc>
      </w:tr>
    </w:tbl>
    <w:p>
      <w:pPr>
        <w:pStyle w:val="Normal"/>
        <w:widowControl w:val="false"/>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tbl>
      <w:tblPr>
        <w:tblW w:w="9747" w:type="dxa"/>
        <w:jc w:val="start"/>
        <w:tblInd w:w="0" w:type="dxa"/>
        <w:tblLayout w:type="fixed"/>
        <w:tblCellMar>
          <w:top w:w="0" w:type="dxa"/>
          <w:start w:w="108" w:type="dxa"/>
          <w:bottom w:w="0" w:type="dxa"/>
          <w:end w:w="108" w:type="dxa"/>
        </w:tblCellMar>
      </w:tblPr>
      <w:tblGrid>
        <w:gridCol w:w="4785"/>
        <w:gridCol w:w="4962"/>
      </w:tblGrid>
      <w:tr>
        <w:trPr>
          <w:trHeight w:val="1983" w:hRule="atLeast"/>
        </w:trPr>
        <w:tc>
          <w:tcPr>
            <w:tcW w:w="4785" w:type="dxa"/>
            <w:tcBorders/>
          </w:tcPr>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Заказчик</w:t>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________________________/Д.А. Малетин/</w:t>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МП</w:t>
            </w:r>
          </w:p>
        </w:tc>
        <w:tc>
          <w:tcPr>
            <w:tcW w:w="4962" w:type="dxa"/>
            <w:tcBorders/>
          </w:tcPr>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Исполнитель</w:t>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r>
          </w:p>
          <w:p>
            <w:pPr>
              <w:pStyle w:val="Normal"/>
              <w:spacing w:lineRule="auto" w:line="240" w:before="0" w:after="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________________________/_____________/</w:t>
            </w:r>
          </w:p>
          <w:p>
            <w:pPr>
              <w:pStyle w:val="Normal"/>
              <w:widowControl w:val="false"/>
              <w:spacing w:lineRule="auto" w:line="240" w:before="0" w:after="0"/>
              <w:ind w:start="176" w:end="0"/>
              <w:jc w:val="both"/>
              <w:rPr>
                <w:rFonts w:ascii="Liberation Serif;Times New Roman" w:hAnsi="Liberation Serif;Times New Roman" w:eastAsia="Times New Roman" w:cs="Liberation Serif;Times New Roman"/>
                <w:b w:val="false"/>
                <w:bCs w:val="false"/>
                <w:color w:val="auto"/>
                <w:sz w:val="24"/>
                <w:szCs w:val="24"/>
                <w:lang w:val="ru-RU" w:eastAsia="zh-CN" w:bidi="ar-SA"/>
              </w:rPr>
            </w:pPr>
            <w:r>
              <w:rPr>
                <w:rFonts w:eastAsia="Times New Roman" w:cs="Liberation Serif;Times New Roman" w:ascii="Liberation Serif;Times New Roman" w:hAnsi="Liberation Serif;Times New Roman"/>
                <w:b w:val="false"/>
                <w:bCs w:val="false"/>
                <w:color w:val="auto"/>
                <w:sz w:val="24"/>
                <w:szCs w:val="24"/>
                <w:lang w:val="ru-RU" w:eastAsia="zh-CN" w:bidi="ar-SA"/>
              </w:rPr>
              <w:t>МП</w:t>
            </w:r>
          </w:p>
        </w:tc>
      </w:tr>
    </w:tbl>
    <w:p>
      <w:pPr>
        <w:pStyle w:val="Normal"/>
        <w:rPr/>
      </w:pPr>
      <w:r>
        <w:rPr/>
      </w:r>
    </w:p>
    <w:sectPr>
      <w:type w:val="continuous"/>
      <w:pgSz w:w="11906" w:h="16838"/>
      <w:pgMar w:left="1134" w:right="567" w:gutter="0" w:header="0" w:top="567" w:footer="0" w:bottom="567"/>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Cambria">
    <w:charset w:val="01"/>
    <w:family w:val="roman"/>
    <w:pitch w:val="variable"/>
  </w:font>
  <w:font w:name="Times New Roman">
    <w:charset w:val="01"/>
    <w:family w:val="roman"/>
    <w:pitch w:val="variable"/>
  </w:font>
  <w:font w:name="Symbol">
    <w:charset w:val="02"/>
    <w:family w:val="auto"/>
    <w:pitch w:val="default"/>
  </w:font>
  <w:font w:name="Cambria">
    <w:charset w:val="01"/>
    <w:family w:val="roman"/>
    <w:pitch w:val="default"/>
  </w:font>
  <w:font w:name="Arial">
    <w:charset w:val="cc" w:characterSet="windows-1251"/>
    <w:family w:val="swiss"/>
    <w:pitch w:val="variable"/>
  </w:font>
  <w:font w:name="Courier New">
    <w:charset w:val="cc" w:characterSet="windows-1251"/>
    <w:family w:val="modern"/>
    <w:pitch w:val="default"/>
  </w:font>
  <w:font w:name="Wingdings">
    <w:charset w:val="02"/>
    <w:family w:val="auto"/>
    <w:pitch w:val="variable"/>
  </w:font>
  <w:font w:name="Tahoma">
    <w:charset w:val="cc" w:characterSet="windows-1251"/>
    <w:family w:val="swiss"/>
    <w:pitch w:val="variable"/>
  </w:font>
  <w:font w:name="Pragmatica">
    <w:altName w:val="Times New Roman"/>
    <w:charset w:val="00" w:characterSet="windows-1252"/>
    <w:family w:val="auto"/>
    <w:pitch w:val="variable"/>
  </w:font>
  <w:font w:name="AGHlvCyrillic">
    <w:altName w:val="Courier New"/>
    <w:charset w:val="00" w:characterSet="windows-1252"/>
    <w:family w:val="roman"/>
    <w:pitch w:val="variable"/>
  </w:font>
  <w:font w:name="NTCourierVK">
    <w:altName w:val="Times New Roman"/>
    <w:charset w:val="00" w:characterSet="windows-1252"/>
    <w:family w:val="auto"/>
    <w:pitch w:val="variable"/>
  </w:font>
  <w:font w:name="Calibri">
    <w:charset w:val="cc" w:characterSet="windows-1251"/>
    <w:family w:val="swiss"/>
    <w:pitch w:val="variable"/>
  </w:font>
  <w:font w:name="Arial">
    <w:charset w:val="01"/>
    <w:family w:val="swiss"/>
    <w:pitch w:val="variable"/>
  </w:font>
  <w:font w:name="Calibri">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none"/>
      <w:suff w:val="nothing"/>
      <w:lvlText w:val=""/>
      <w:lvlJc w:val="start"/>
      <w:pPr>
        <w:tabs>
          <w:tab w:val="num" w:pos="0"/>
        </w:tabs>
        <w:ind w:start="0" w:hanging="0"/>
      </w:pPr>
    </w:lvl>
    <w:lvl w:ilvl="1">
      <w:start w:val="1"/>
      <w:pStyle w:val="Heading1"/>
      <w:numFmt w:val="none"/>
      <w:suff w:val="nothing"/>
      <w:lvlText w:val=""/>
      <w:lvlJc w:val="start"/>
      <w:pPr>
        <w:tabs>
          <w:tab w:val="num" w:pos="0"/>
        </w:tabs>
        <w:ind w:start="0" w:hanging="0"/>
      </w:pPr>
    </w:lvl>
    <w:lvl w:ilvl="2">
      <w:start w:val="1"/>
      <w:pStyle w:val="Heading2"/>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space"/>
      <w:lvlText w:val="%1."/>
      <w:lvlJc w:val="start"/>
      <w:pPr>
        <w:tabs>
          <w:tab w:val="num" w:pos="0"/>
        </w:tabs>
        <w:ind w:start="4504" w:hanging="240"/>
      </w:pPr>
      <w:rPr>
        <w:sz w:val="28"/>
        <w:spacing w:val="-1"/>
        <w:szCs w:val="28"/>
        <w:w w:val="94"/>
        <w:lang w:val="ru-RU" w:eastAsia="en-US" w:bidi="ar-SA"/>
      </w:rPr>
    </w:lvl>
    <w:lvl w:ilvl="1">
      <w:start w:val="1"/>
      <w:numFmt w:val="decimal"/>
      <w:lvlText w:val="%1.%2."/>
      <w:lvlJc w:val="start"/>
      <w:pPr>
        <w:tabs>
          <w:tab w:val="num" w:pos="0"/>
        </w:tabs>
        <w:ind w:start="207" w:hanging="443"/>
      </w:pPr>
      <w:rPr>
        <w:sz w:val="24"/>
        <w:szCs w:val="24"/>
        <w:rFonts w:ascii="Liberation Serif;Times New Roman" w:hAnsi="Liberation Serif;Times New Roman" w:cs="Liberation Serif;Times New Roman"/>
      </w:rPr>
    </w:lvl>
    <w:lvl w:ilvl="2">
      <w:start w:val="1"/>
      <w:numFmt w:val="decimal"/>
      <w:lvlText w:val="%1.%2.%3."/>
      <w:lvlJc w:val="start"/>
      <w:pPr>
        <w:tabs>
          <w:tab w:val="num" w:pos="0"/>
        </w:tabs>
        <w:ind w:start="238" w:hanging="443"/>
      </w:pPr>
      <w:rPr>
        <w:sz w:val="24"/>
        <w:spacing w:val="-1"/>
        <w:i w:val="false"/>
        <w:b w:val="false"/>
        <w:szCs w:val="24"/>
        <w:iCs w:val="false"/>
        <w:bCs w:val="false"/>
        <w:w w:val="96"/>
        <w:rFonts w:ascii="Liberation Serif;Times New Roman" w:hAnsi="Liberation Serif;Times New Roman" w:eastAsia="Cambria" w:cs="Cambria"/>
        <w:lang w:val="ru-RU" w:eastAsia="en-US" w:bidi="ar-SA"/>
      </w:rPr>
    </w:lvl>
    <w:lvl w:ilvl="3">
      <w:start w:val="0"/>
      <w:numFmt w:val="bullet"/>
      <w:lvlText w:val=""/>
      <w:lvlJc w:val="start"/>
      <w:pPr>
        <w:tabs>
          <w:tab w:val="num" w:pos="0"/>
        </w:tabs>
        <w:ind w:start="1220" w:hanging="443"/>
      </w:pPr>
      <w:rPr>
        <w:rFonts w:ascii="Symbol" w:hAnsi="Symbol" w:cs="Symbol" w:hint="default"/>
        <w:lang w:val="ru-RU" w:eastAsia="en-US" w:bidi="ar-SA"/>
      </w:rPr>
    </w:lvl>
    <w:lvl w:ilvl="4">
      <w:start w:val="0"/>
      <w:numFmt w:val="bullet"/>
      <w:lvlText w:val=""/>
      <w:lvlJc w:val="start"/>
      <w:pPr>
        <w:tabs>
          <w:tab w:val="num" w:pos="0"/>
        </w:tabs>
        <w:ind w:start="1340" w:hanging="443"/>
      </w:pPr>
      <w:rPr>
        <w:rFonts w:ascii="Symbol" w:hAnsi="Symbol" w:cs="Symbol" w:hint="default"/>
        <w:lang w:val="ru-RU" w:eastAsia="en-US" w:bidi="ar-SA"/>
      </w:rPr>
    </w:lvl>
    <w:lvl w:ilvl="5">
      <w:start w:val="0"/>
      <w:numFmt w:val="bullet"/>
      <w:lvlText w:val=""/>
      <w:lvlJc w:val="start"/>
      <w:pPr>
        <w:tabs>
          <w:tab w:val="num" w:pos="0"/>
        </w:tabs>
        <w:ind w:start="4500" w:hanging="443"/>
      </w:pPr>
      <w:rPr>
        <w:rFonts w:ascii="Symbol" w:hAnsi="Symbol" w:cs="Symbol" w:hint="default"/>
        <w:lang w:val="ru-RU" w:eastAsia="en-US" w:bidi="ar-SA"/>
      </w:rPr>
    </w:lvl>
    <w:lvl w:ilvl="6">
      <w:start w:val="0"/>
      <w:numFmt w:val="bullet"/>
      <w:lvlText w:val=""/>
      <w:lvlJc w:val="start"/>
      <w:pPr>
        <w:tabs>
          <w:tab w:val="num" w:pos="0"/>
        </w:tabs>
        <w:ind w:start="5696" w:hanging="443"/>
      </w:pPr>
      <w:rPr>
        <w:rFonts w:ascii="Symbol" w:hAnsi="Symbol" w:cs="Symbol" w:hint="default"/>
        <w:lang w:val="ru-RU" w:eastAsia="en-US" w:bidi="ar-SA"/>
      </w:rPr>
    </w:lvl>
    <w:lvl w:ilvl="7">
      <w:start w:val="0"/>
      <w:numFmt w:val="bullet"/>
      <w:lvlText w:val=""/>
      <w:lvlJc w:val="start"/>
      <w:pPr>
        <w:tabs>
          <w:tab w:val="num" w:pos="0"/>
        </w:tabs>
        <w:ind w:start="6893" w:hanging="443"/>
      </w:pPr>
      <w:rPr>
        <w:rFonts w:ascii="Symbol" w:hAnsi="Symbol" w:cs="Symbol" w:hint="default"/>
        <w:lang w:val="ru-RU" w:eastAsia="en-US" w:bidi="ar-SA"/>
      </w:rPr>
    </w:lvl>
    <w:lvl w:ilvl="8">
      <w:start w:val="0"/>
      <w:numFmt w:val="bullet"/>
      <w:lvlText w:val=""/>
      <w:lvlJc w:val="start"/>
      <w:pPr>
        <w:tabs>
          <w:tab w:val="num" w:pos="0"/>
        </w:tabs>
        <w:ind w:start="8090" w:hanging="443"/>
      </w:pPr>
      <w:rPr>
        <w:rFonts w:ascii="Symbol" w:hAnsi="Symbol" w:cs="Symbol" w:hint="default"/>
        <w:lang w:val="ru-RU" w:eastAsia="en-US" w:bidi="ar-SA"/>
      </w:rPr>
    </w:lvl>
  </w:abstractNum>
  <w:abstractNum w:abstractNumId="3">
    <w:lvl w:ilvl="0">
      <w:numFmt w:val="bullet"/>
      <w:lvlText w:val="•"/>
      <w:lvlJc w:val="start"/>
      <w:pPr>
        <w:tabs>
          <w:tab w:val="num" w:pos="0"/>
        </w:tabs>
        <w:ind w:start="229" w:hanging="429"/>
      </w:pPr>
      <w:rPr>
        <w:rFonts w:ascii="Cambria" w:hAnsi="Cambria" w:cs="Cambria" w:hint="default"/>
        <w:sz w:val="22"/>
        <w:spacing w:val="0"/>
        <w:i w:val="false"/>
        <w:b w:val="false"/>
        <w:szCs w:val="22"/>
        <w:iCs w:val="false"/>
        <w:bCs w:val="false"/>
        <w:w w:val="89"/>
        <w:lang w:val="ru-RU" w:eastAsia="en-US" w:bidi="ar-SA"/>
      </w:rPr>
    </w:lvl>
    <w:lvl w:ilvl="1">
      <w:start w:val="0"/>
      <w:numFmt w:val="bullet"/>
      <w:lvlText w:val=""/>
      <w:lvlJc w:val="start"/>
      <w:pPr>
        <w:tabs>
          <w:tab w:val="num" w:pos="0"/>
        </w:tabs>
        <w:ind w:start="1246" w:hanging="429"/>
      </w:pPr>
      <w:rPr>
        <w:rFonts w:ascii="Symbol" w:hAnsi="Symbol" w:cs="Symbol" w:hint="default"/>
        <w:lang w:val="ru-RU" w:eastAsia="en-US" w:bidi="ar-SA"/>
      </w:rPr>
    </w:lvl>
    <w:lvl w:ilvl="2">
      <w:start w:val="0"/>
      <w:numFmt w:val="bullet"/>
      <w:lvlText w:val=""/>
      <w:lvlJc w:val="start"/>
      <w:pPr>
        <w:tabs>
          <w:tab w:val="num" w:pos="0"/>
        </w:tabs>
        <w:ind w:start="2272" w:hanging="429"/>
      </w:pPr>
      <w:rPr>
        <w:rFonts w:ascii="Symbol" w:hAnsi="Symbol" w:cs="Symbol" w:hint="default"/>
        <w:lang w:val="ru-RU" w:eastAsia="en-US" w:bidi="ar-SA"/>
      </w:rPr>
    </w:lvl>
    <w:lvl w:ilvl="3">
      <w:start w:val="0"/>
      <w:numFmt w:val="bullet"/>
      <w:lvlText w:val=""/>
      <w:lvlJc w:val="start"/>
      <w:pPr>
        <w:tabs>
          <w:tab w:val="num" w:pos="0"/>
        </w:tabs>
        <w:ind w:start="3299" w:hanging="429"/>
      </w:pPr>
      <w:rPr>
        <w:rFonts w:ascii="Symbol" w:hAnsi="Symbol" w:cs="Symbol" w:hint="default"/>
        <w:lang w:val="ru-RU" w:eastAsia="en-US" w:bidi="ar-SA"/>
      </w:rPr>
    </w:lvl>
    <w:lvl w:ilvl="4">
      <w:start w:val="0"/>
      <w:numFmt w:val="bullet"/>
      <w:lvlText w:val=""/>
      <w:lvlJc w:val="start"/>
      <w:pPr>
        <w:tabs>
          <w:tab w:val="num" w:pos="0"/>
        </w:tabs>
        <w:ind w:start="4325" w:hanging="429"/>
      </w:pPr>
      <w:rPr>
        <w:rFonts w:ascii="Symbol" w:hAnsi="Symbol" w:cs="Symbol" w:hint="default"/>
        <w:lang w:val="ru-RU" w:eastAsia="en-US" w:bidi="ar-SA"/>
      </w:rPr>
    </w:lvl>
    <w:lvl w:ilvl="5">
      <w:start w:val="0"/>
      <w:numFmt w:val="bullet"/>
      <w:lvlText w:val=""/>
      <w:lvlJc w:val="start"/>
      <w:pPr>
        <w:tabs>
          <w:tab w:val="num" w:pos="0"/>
        </w:tabs>
        <w:ind w:start="5352" w:hanging="429"/>
      </w:pPr>
      <w:rPr>
        <w:rFonts w:ascii="Symbol" w:hAnsi="Symbol" w:cs="Symbol" w:hint="default"/>
        <w:lang w:val="ru-RU" w:eastAsia="en-US" w:bidi="ar-SA"/>
      </w:rPr>
    </w:lvl>
    <w:lvl w:ilvl="6">
      <w:start w:val="0"/>
      <w:numFmt w:val="bullet"/>
      <w:lvlText w:val=""/>
      <w:lvlJc w:val="start"/>
      <w:pPr>
        <w:tabs>
          <w:tab w:val="num" w:pos="0"/>
        </w:tabs>
        <w:ind w:start="6378" w:hanging="429"/>
      </w:pPr>
      <w:rPr>
        <w:rFonts w:ascii="Symbol" w:hAnsi="Symbol" w:cs="Symbol" w:hint="default"/>
        <w:lang w:val="ru-RU" w:eastAsia="en-US" w:bidi="ar-SA"/>
      </w:rPr>
    </w:lvl>
    <w:lvl w:ilvl="7">
      <w:start w:val="0"/>
      <w:numFmt w:val="bullet"/>
      <w:lvlText w:val=""/>
      <w:lvlJc w:val="start"/>
      <w:pPr>
        <w:tabs>
          <w:tab w:val="num" w:pos="0"/>
        </w:tabs>
        <w:ind w:start="7404" w:hanging="429"/>
      </w:pPr>
      <w:rPr>
        <w:rFonts w:ascii="Symbol" w:hAnsi="Symbol" w:cs="Symbol" w:hint="default"/>
        <w:lang w:val="ru-RU" w:eastAsia="en-US" w:bidi="ar-SA"/>
      </w:rPr>
    </w:lvl>
    <w:lvl w:ilvl="8">
      <w:start w:val="0"/>
      <w:numFmt w:val="bullet"/>
      <w:lvlText w:val=""/>
      <w:lvlJc w:val="start"/>
      <w:pPr>
        <w:tabs>
          <w:tab w:val="num" w:pos="0"/>
        </w:tabs>
        <w:ind w:start="8431" w:hanging="429"/>
      </w:pPr>
      <w:rPr>
        <w:rFonts w:ascii="Symbol" w:hAnsi="Symbol" w:cs="Symbol" w:hint="default"/>
        <w:lang w:val="ru-RU" w:eastAsia="en-US" w:bidi="ar-S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449"/>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BodyText"/>
    <w:qFormat/>
    <w:pPr>
      <w:numPr>
        <w:ilvl w:val="1"/>
        <w:numId w:val="1"/>
      </w:numPr>
      <w:ind w:hanging="355" w:start="357" w:end="0"/>
      <w:outlineLvl w:val="1"/>
    </w:pPr>
    <w:rPr>
      <w:rFonts w:ascii="Cambria" w:hAnsi="Cambria" w:eastAsia="Cambria" w:cs="Cambria"/>
      <w:b/>
      <w:bCs/>
      <w:sz w:val="22"/>
      <w:szCs w:val="22"/>
      <w:lang w:val="ru-RU" w:eastAsia="en-US" w:bidi="ar-SA"/>
    </w:rPr>
  </w:style>
  <w:style w:type="paragraph" w:styleId="Heading2">
    <w:name w:val="Heading 2"/>
    <w:basedOn w:val="Normal"/>
    <w:next w:val="BodyText"/>
    <w:qFormat/>
    <w:pPr>
      <w:numPr>
        <w:ilvl w:val="2"/>
        <w:numId w:val="1"/>
      </w:numPr>
      <w:ind w:hanging="0" w:start="374" w:end="0"/>
      <w:outlineLvl w:val="2"/>
    </w:pPr>
    <w:rPr>
      <w:rFonts w:ascii="Times New Roman" w:hAnsi="Times New Roman" w:eastAsia="Times New Roman" w:cs="Times New Roman"/>
      <w:sz w:val="22"/>
      <w:szCs w:val="22"/>
      <w:lang w:val="ru-RU" w:eastAsia="en-US" w:bidi="ar-SA"/>
    </w:rPr>
  </w:style>
  <w:style w:type="character" w:styleId="WW8Num2z0">
    <w:name w:val="WW8Num2z0"/>
    <w:qFormat/>
    <w:rPr>
      <w:spacing w:val="-1"/>
      <w:w w:val="94"/>
      <w:sz w:val="28"/>
      <w:szCs w:val="28"/>
      <w:lang w:val="ru-RU" w:eastAsia="en-US" w:bidi="ar-SA"/>
    </w:rPr>
  </w:style>
  <w:style w:type="character" w:styleId="WW8Num2z1">
    <w:name w:val="WW8Num2z1"/>
    <w:qFormat/>
    <w:rPr>
      <w:rFonts w:ascii="Liberation Serif;Times New Roman" w:hAnsi="Liberation Serif;Times New Roman" w:cs="Liberation Serif;Times New Roman"/>
      <w:sz w:val="24"/>
      <w:szCs w:val="24"/>
    </w:rPr>
  </w:style>
  <w:style w:type="character" w:styleId="WW8Num2z2">
    <w:name w:val="WW8Num2z2"/>
    <w:qFormat/>
    <w:rPr>
      <w:rFonts w:ascii="Liberation Serif;Times New Roman" w:hAnsi="Liberation Serif;Times New Roman" w:eastAsia="Cambria" w:cs="Cambria"/>
      <w:b w:val="false"/>
      <w:bCs w:val="false"/>
      <w:i w:val="false"/>
      <w:iCs w:val="false"/>
      <w:spacing w:val="-1"/>
      <w:w w:val="96"/>
      <w:sz w:val="24"/>
      <w:szCs w:val="24"/>
      <w:lang w:val="ru-RU" w:eastAsia="en-US" w:bidi="ar-SA"/>
    </w:rPr>
  </w:style>
  <w:style w:type="character" w:styleId="WW8Num2z3">
    <w:name w:val="WW8Num2z3"/>
    <w:qFormat/>
    <w:rPr>
      <w:rFonts w:ascii="Symbol" w:hAnsi="Symbol" w:cs="Symbol"/>
      <w:lang w:val="ru-RU" w:eastAsia="en-US" w:bidi="ar-SA"/>
    </w:rPr>
  </w:style>
  <w:style w:type="character" w:styleId="WW8Num3z0">
    <w:name w:val="WW8Num3z0"/>
    <w:qFormat/>
    <w:rPr>
      <w:rFonts w:ascii="Cambria" w:hAnsi="Cambria" w:cs="Cambria"/>
      <w:b w:val="false"/>
      <w:bCs w:val="false"/>
      <w:i w:val="false"/>
      <w:iCs w:val="false"/>
      <w:spacing w:val="0"/>
      <w:w w:val="89"/>
      <w:sz w:val="22"/>
      <w:szCs w:val="22"/>
      <w:lang w:val="ru-RU" w:eastAsia="en-US" w:bidi="ar-SA"/>
    </w:rPr>
  </w:style>
  <w:style w:type="character" w:styleId="WW8Num3z1">
    <w:name w:val="WW8Num3z1"/>
    <w:qFormat/>
    <w:rPr>
      <w:rFonts w:ascii="Symbol" w:hAnsi="Symbol" w:cs="Symbol"/>
      <w:lang w:val="ru-RU" w:eastAsia="en-US" w:bidi="ar-SA"/>
    </w:rPr>
  </w:style>
  <w:style w:type="character" w:styleId="WW8Num1z0">
    <w:name w:val="WW8Num1z0"/>
    <w:qFormat/>
    <w:rPr>
      <w:spacing w:val="-1"/>
      <w:w w:val="94"/>
      <w:sz w:val="28"/>
      <w:szCs w:val="28"/>
      <w:lang w:val="ru-RU" w:eastAsia="en-US" w:bidi="ar-SA"/>
    </w:rPr>
  </w:style>
  <w:style w:type="character" w:styleId="WW8Num1z1">
    <w:name w:val="WW8Num1z1"/>
    <w:qFormat/>
    <w:rPr>
      <w:spacing w:val="0"/>
      <w:w w:val="92"/>
      <w:lang w:val="ru-RU" w:eastAsia="en-US" w:bidi="ar-SA"/>
    </w:rPr>
  </w:style>
  <w:style w:type="character" w:styleId="WW8Num1z2">
    <w:name w:val="WW8Num1z2"/>
    <w:qFormat/>
    <w:rPr>
      <w:rFonts w:ascii="Liberation Serif;Times New Roman" w:hAnsi="Liberation Serif;Times New Roman" w:eastAsia="Cambria" w:cs="Cambria"/>
      <w:b w:val="false"/>
      <w:bCs w:val="false"/>
      <w:i w:val="false"/>
      <w:iCs w:val="false"/>
      <w:spacing w:val="-1"/>
      <w:w w:val="96"/>
      <w:sz w:val="24"/>
      <w:szCs w:val="24"/>
      <w:lang w:val="ru-RU" w:eastAsia="en-US" w:bidi="ar-SA"/>
    </w:rPr>
  </w:style>
  <w:style w:type="character" w:styleId="WW8Num1z3">
    <w:name w:val="WW8Num1z3"/>
    <w:qFormat/>
    <w:rPr>
      <w:rFonts w:ascii="Symbol" w:hAnsi="Symbol" w:cs="Symbol"/>
      <w:lang w:val="ru-RU" w:eastAsia="en-US" w:bidi="ar-SA"/>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5z0">
    <w:name w:val="WW8Num5z0"/>
    <w:qFormat/>
    <w:rPr/>
  </w:style>
  <w:style w:type="character" w:styleId="WW8Num5z1">
    <w:name w:val="WW8Num5z1"/>
    <w:qFormat/>
    <w:rPr>
      <w:rFonts w:ascii="Arial" w:hAnsi="Arial" w:cs="Arial"/>
      <w:sz w:val="22"/>
    </w:rPr>
  </w:style>
  <w:style w:type="character" w:styleId="WW8Num6z0">
    <w:name w:val="WW8Num6z0"/>
    <w:qFormat/>
    <w:rPr>
      <w:rFonts w:ascii="Symbol" w:hAnsi="Symbol" w:cs="Symbol"/>
      <w:sz w:val="24"/>
      <w:szCs w:val="24"/>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rFonts w:ascii="Arial" w:hAnsi="Arial" w:cs="Arial"/>
      <w:sz w:val="22"/>
    </w:rPr>
  </w:style>
  <w:style w:type="character" w:styleId="WW8Num8z2">
    <w:name w:val="WW8Num8z2"/>
    <w:qFormat/>
    <w:rPr>
      <w:rFonts w:ascii="Symbol" w:hAnsi="Symbol" w:cs="Symbol"/>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b/>
      <w:sz w:val="24"/>
      <w:szCs w:val="24"/>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5z1">
    <w:name w:val="WW8Num15z1"/>
    <w:qFormat/>
    <w:rPr>
      <w:b w:val="false"/>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rFonts w:ascii="Arial" w:hAnsi="Arial" w:cs="Arial"/>
      <w:sz w:val="22"/>
    </w:rPr>
  </w:style>
  <w:style w:type="character" w:styleId="WW8Num17z0">
    <w:name w:val="WW8Num17z0"/>
    <w:qFormat/>
    <w:rPr/>
  </w:style>
  <w:style w:type="character" w:styleId="WW8Num17z1">
    <w:name w:val="WW8Num17z1"/>
    <w:qFormat/>
    <w:rPr>
      <w:rFonts w:ascii="Arial" w:hAnsi="Arial" w:cs="Arial"/>
      <w:sz w:val="22"/>
    </w:rPr>
  </w:style>
  <w:style w:type="character" w:styleId="WW8Num18z0">
    <w:name w:val="WW8Num18z0"/>
    <w:qFormat/>
    <w:rPr/>
  </w:style>
  <w:style w:type="character" w:styleId="WW8Num18z1">
    <w:name w:val="WW8Num18z1"/>
    <w:qFormat/>
    <w:rPr>
      <w:rFonts w:ascii="Arial" w:hAnsi="Arial" w:cs="Arial"/>
      <w:sz w:val="22"/>
    </w:rPr>
  </w:style>
  <w:style w:type="character" w:styleId="WW8Num18z2">
    <w:name w:val="WW8Num18z2"/>
    <w:qFormat/>
    <w:rPr>
      <w:rFonts w:ascii="Symbol" w:hAnsi="Symbol" w:cs="Symbol"/>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St1z0">
    <w:name w:val="WW8NumSt1z0"/>
    <w:qFormat/>
    <w:rPr>
      <w:rFonts w:ascii="Symbol" w:hAnsi="Symbol" w:cs="Symbol"/>
    </w:rPr>
  </w:style>
  <w:style w:type="character" w:styleId="Style12">
    <w:name w:val="Основной шрифт абзаца"/>
    <w:qFormat/>
    <w:rPr/>
  </w:style>
  <w:style w:type="character" w:styleId="PageNumber">
    <w:name w:val="Page Number"/>
    <w:basedOn w:val="Style12"/>
    <w:rPr/>
  </w:style>
  <w:style w:type="character" w:styleId="Hyperlink">
    <w:name w:val="Hyperlink"/>
    <w:rPr>
      <w:color w:val="0000FF"/>
      <w:u w:val="single"/>
    </w:rPr>
  </w:style>
  <w:style w:type="character" w:styleId="Style13">
    <w:name w:val="Текст выноски Знак"/>
    <w:qFormat/>
    <w:rPr>
      <w:rFonts w:ascii="Tahoma" w:hAnsi="Tahoma" w:cs="Tahoma"/>
      <w:sz w:val="16"/>
      <w:szCs w:val="16"/>
    </w:rPr>
  </w:style>
  <w:style w:type="character" w:styleId="Style14">
    <w:name w:val="Символ сноски"/>
    <w:qFormat/>
    <w:rPr>
      <w:vertAlign w:val="superscript"/>
    </w:rPr>
  </w:style>
  <w:style w:type="character" w:styleId="11">
    <w:name w:val="Основной шрифт абзаца11"/>
    <w:qFormat/>
    <w:rPr/>
  </w:style>
  <w:style w:type="character" w:styleId="Style15">
    <w:name w:val="Символ нумерации"/>
    <w:qFormat/>
    <w:rPr>
      <w:rFonts w:ascii="Liberation Serif;Times New Roman" w:hAnsi="Liberation Serif;Times New Roman" w:cs="Liberation Serif;Times New Roman"/>
      <w:sz w:val="24"/>
      <w:szCs w:val="24"/>
    </w:rPr>
  </w:style>
  <w:style w:type="paragraph" w:styleId="Style16">
    <w:name w:val="Заголовок"/>
    <w:basedOn w:val="Normal"/>
    <w:next w:val="BodyText"/>
    <w:qFormat/>
    <w:pPr>
      <w:jc w:val="center"/>
    </w:pPr>
    <w:rPr>
      <w:rFonts w:ascii="Pragmatica;Times New Roman" w:hAnsi="Pragmatica;Times New Roman" w:cs="Pragmatica;Times New Roman"/>
      <w:b/>
      <w:sz w:val="28"/>
    </w:rPr>
  </w:style>
  <w:style w:type="paragraph" w:styleId="BodyText">
    <w:name w:val="Body Text"/>
    <w:basedOn w:val="Normal"/>
    <w:pPr>
      <w:jc w:val="both"/>
    </w:pPr>
    <w:rPr>
      <w:rFonts w:ascii="AGHlvCyrillic;Courier New" w:hAnsi="AGHlvCyrillic;Courier New" w:cs="AGHlvCyrillic;Courier New"/>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Caption111111111111111">
    <w:name w:val="Caption111111111111111"/>
    <w:basedOn w:val="Normal"/>
    <w:qFormat/>
    <w:pPr>
      <w:suppressLineNumbers/>
      <w:spacing w:before="120" w:after="120"/>
    </w:pPr>
    <w:rPr>
      <w:rFonts w:cs="Lohit Devanagari"/>
      <w:i/>
      <w:iCs/>
      <w:sz w:val="24"/>
      <w:szCs w:val="24"/>
    </w:rPr>
  </w:style>
  <w:style w:type="paragraph" w:styleId="Caption1111111111111111">
    <w:name w:val="Caption1111111111111111"/>
    <w:basedOn w:val="Normal"/>
    <w:qFormat/>
    <w:pPr>
      <w:suppressLineNumbers/>
      <w:spacing w:before="120" w:after="120"/>
    </w:pPr>
    <w:rPr>
      <w:rFonts w:cs="Lohit Devanagari"/>
      <w:i/>
      <w:iCs/>
      <w:sz w:val="24"/>
      <w:szCs w:val="24"/>
    </w:rPr>
  </w:style>
  <w:style w:type="paragraph" w:styleId="Caption11111111111111111">
    <w:name w:val="Caption11111111111111111"/>
    <w:basedOn w:val="Normal"/>
    <w:qFormat/>
    <w:pPr>
      <w:suppressLineNumbers/>
      <w:spacing w:before="120" w:after="120"/>
    </w:pPr>
    <w:rPr>
      <w:rFonts w:cs="Lohit Devanagari"/>
      <w:i/>
      <w:iCs/>
      <w:sz w:val="24"/>
      <w:szCs w:val="24"/>
    </w:rPr>
  </w:style>
  <w:style w:type="paragraph" w:styleId="Caption111111111111111111">
    <w:name w:val="Caption111111111111111111"/>
    <w:basedOn w:val="Normal"/>
    <w:qFormat/>
    <w:pPr>
      <w:suppressLineNumbers/>
      <w:spacing w:before="120" w:after="120"/>
    </w:pPr>
    <w:rPr>
      <w:rFonts w:cs="Lohit Devanagari"/>
      <w:i/>
      <w:iCs/>
      <w:sz w:val="24"/>
      <w:szCs w:val="24"/>
    </w:rPr>
  </w:style>
  <w:style w:type="paragraph" w:styleId="Caption1111111111111111111">
    <w:name w:val="Caption1111111111111111111"/>
    <w:basedOn w:val="Normal"/>
    <w:qFormat/>
    <w:pPr>
      <w:suppressLineNumbers/>
      <w:spacing w:before="120" w:after="120"/>
    </w:pPr>
    <w:rPr>
      <w:rFonts w:cs="Lohit Devanagari"/>
      <w:i/>
      <w:iCs/>
      <w:sz w:val="24"/>
      <w:szCs w:val="24"/>
    </w:rPr>
  </w:style>
  <w:style w:type="paragraph" w:styleId="Caption11111111111111111111">
    <w:name w:val="Caption11111111111111111111"/>
    <w:basedOn w:val="Normal"/>
    <w:qFormat/>
    <w:pPr>
      <w:suppressLineNumbers/>
      <w:spacing w:before="120" w:after="120"/>
    </w:pPr>
    <w:rPr>
      <w:rFonts w:cs="Lohit Devanagari"/>
      <w:i/>
      <w:iCs/>
      <w:sz w:val="24"/>
      <w:szCs w:val="24"/>
    </w:rPr>
  </w:style>
  <w:style w:type="paragraph" w:styleId="Caption111111111111111111111">
    <w:name w:val="Caption111111111111111111111"/>
    <w:basedOn w:val="Normal"/>
    <w:qFormat/>
    <w:pPr>
      <w:suppressLineNumbers/>
      <w:spacing w:before="120" w:after="120"/>
    </w:pPr>
    <w:rPr>
      <w:rFonts w:cs="Lohit Devanagari"/>
      <w:i/>
      <w:iCs/>
      <w:sz w:val="24"/>
      <w:szCs w:val="24"/>
    </w:rPr>
  </w:style>
  <w:style w:type="paragraph" w:styleId="BodyTextIndent">
    <w:name w:val="Body Text Indent"/>
    <w:basedOn w:val="Normal"/>
    <w:pPr>
      <w:numPr>
        <w:ilvl w:val="0"/>
        <w:numId w:val="0"/>
      </w:numPr>
      <w:ind w:firstLine="720" w:start="0" w:end="0"/>
      <w:jc w:val="both"/>
    </w:pPr>
    <w:rPr>
      <w:rFonts w:ascii="Pragmatica;Times New Roman" w:hAnsi="Pragmatica;Times New Roman" w:cs="Pragmatica;Times New Roman"/>
      <w:sz w:val="22"/>
    </w:rPr>
  </w:style>
  <w:style w:type="paragraph" w:styleId="Style18">
    <w:name w:val="Колонтитул"/>
    <w:basedOn w:val="Normal"/>
    <w:qFormat/>
    <w:pPr>
      <w:suppressLineNumbers/>
      <w:tabs>
        <w:tab w:val="clear" w:pos="449"/>
        <w:tab w:val="center" w:pos="4819" w:leader="none"/>
        <w:tab w:val="right" w:pos="9638" w:leader="none"/>
      </w:tabs>
    </w:pPr>
    <w:rPr/>
  </w:style>
  <w:style w:type="paragraph" w:styleId="Header">
    <w:name w:val="Header"/>
    <w:basedOn w:val="Normal"/>
    <w:pPr>
      <w:tabs>
        <w:tab w:val="clear" w:pos="449"/>
        <w:tab w:val="center" w:pos="4153" w:leader="none"/>
        <w:tab w:val="right" w:pos="8306" w:leader="none"/>
      </w:tabs>
    </w:pPr>
    <w:rPr>
      <w:rFonts w:ascii="NTCourierVK;Times New Roman" w:hAnsi="NTCourierVK;Times New Roman" w:cs="NTCourierVK;Times New Roman"/>
      <w:lang w:val="en-US"/>
    </w:rPr>
  </w:style>
  <w:style w:type="paragraph" w:styleId="Footer">
    <w:name w:val="Footer"/>
    <w:basedOn w:val="Normal"/>
    <w:pPr>
      <w:tabs>
        <w:tab w:val="clear" w:pos="449"/>
        <w:tab w:val="center" w:pos="4677" w:leader="none"/>
        <w:tab w:val="right" w:pos="9355" w:leader="none"/>
      </w:tabs>
    </w:pPr>
    <w:rPr/>
  </w:style>
  <w:style w:type="paragraph" w:styleId="Style19">
    <w:name w:val="Текст выноски"/>
    <w:basedOn w:val="Normal"/>
    <w:qFormat/>
    <w:pPr/>
    <w:rPr>
      <w:rFonts w:ascii="Tahoma" w:hAnsi="Tahoma" w:cs="Tahoma"/>
      <w:sz w:val="16"/>
      <w:szCs w:val="16"/>
      <w:lang w:val="ru-RU"/>
    </w:rPr>
  </w:style>
  <w:style w:type="paragraph" w:styleId="Style20">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BodyText2">
    <w:name w:val="Body Text 2"/>
    <w:basedOn w:val="Normal"/>
    <w:qFormat/>
    <w:pPr>
      <w:ind w:firstLine="851" w:start="0" w:end="0"/>
      <w:jc w:val="both"/>
    </w:pPr>
    <w:rPr>
      <w:sz w:val="24"/>
    </w:rPr>
  </w:style>
  <w:style w:type="paragraph" w:styleId="LO-Normal">
    <w:name w:val="LO-Normal"/>
    <w:qFormat/>
    <w:pPr>
      <w:widowControl w:val="false"/>
      <w:suppressAutoHyphens w:val="true"/>
      <w:bidi w:val="0"/>
      <w:snapToGrid w:val="false"/>
      <w:spacing w:lineRule="auto" w:line="312"/>
      <w:ind w:firstLine="1640" w:start="0" w:end="0"/>
    </w:pPr>
    <w:rPr>
      <w:rFonts w:ascii="Times New Roman" w:hAnsi="Times New Roman" w:eastAsia="Times New Roman" w:cs="Times New Roman"/>
      <w:color w:val="auto"/>
      <w:sz w:val="18"/>
      <w:szCs w:val="20"/>
      <w:lang w:val="ru-RU" w:eastAsia="zh-CN" w:bidi="ar-SA"/>
    </w:rPr>
  </w:style>
  <w:style w:type="paragraph" w:styleId="ConsNonformat">
    <w:name w:val="Con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1">
    <w:name w:val="Без интервала1"/>
    <w:qFormat/>
    <w:pPr>
      <w:widowControl/>
      <w:suppressAutoHyphens w:val="true"/>
      <w:bidi w:val="0"/>
    </w:pPr>
    <w:rPr>
      <w:rFonts w:ascii="Calibri" w:hAnsi="Calibri" w:eastAsia="Calibri" w:cs="Calibri"/>
      <w:color w:val="auto"/>
      <w:sz w:val="22"/>
      <w:szCs w:val="22"/>
      <w:lang w:val="ru-RU" w:eastAsia="zh-CN" w:bidi="ar-SA"/>
    </w:rPr>
  </w:style>
  <w:style w:type="paragraph" w:styleId="Style21">
    <w:name w:val="Обычный (веб)"/>
    <w:basedOn w:val="Normal"/>
    <w:qFormat/>
    <w:pPr>
      <w:spacing w:before="100" w:after="100"/>
    </w:pPr>
    <w:rPr>
      <w:sz w:val="24"/>
      <w:szCs w:val="24"/>
    </w:rPr>
  </w:style>
  <w:style w:type="paragraph" w:styleId="Style22">
    <w:name w:val="Содержимое таблицы"/>
    <w:basedOn w:val="Normal"/>
    <w:qFormat/>
    <w:pPr>
      <w:suppressLineNumbers/>
    </w:pPr>
    <w:rPr/>
  </w:style>
  <w:style w:type="paragraph" w:styleId="Style23">
    <w:name w:val="Заголовок таблицы"/>
    <w:basedOn w:val="Style22"/>
    <w:qFormat/>
    <w:pPr>
      <w:suppressLineNumbers/>
      <w:jc w:val="center"/>
    </w:pPr>
    <w:rPr>
      <w:b/>
      <w:bCs/>
    </w:rPr>
  </w:style>
  <w:style w:type="paragraph" w:styleId="Style24">
    <w:name w:val="Содержимое врезки"/>
    <w:basedOn w:val="Normal"/>
    <w:qFormat/>
    <w:pPr/>
    <w:rPr/>
  </w:style>
  <w:style w:type="paragraph" w:styleId="Standard">
    <w:name w:val="Standard"/>
    <w:qFormat/>
    <w:pPr>
      <w:widowControl/>
      <w:suppressAutoHyphens w:val="true"/>
      <w:bidi w:val="0"/>
      <w:jc w:val="start"/>
    </w:pPr>
    <w:rPr>
      <w:rFonts w:ascii="Times New Roman" w:hAnsi="Times New Roman" w:eastAsia="Arial" w:cs="Times New Roman"/>
      <w:color w:val="00000A"/>
      <w:kern w:val="2"/>
      <w:sz w:val="24"/>
      <w:szCs w:val="24"/>
      <w:lang w:val="ru-RU" w:eastAsia="ar-SA" w:bidi="ar-SA"/>
    </w:rPr>
  </w:style>
  <w:style w:type="paragraph" w:styleId="List2">
    <w:name w:val="List2"/>
    <w:basedOn w:val="Standard"/>
    <w:qFormat/>
    <w:pPr>
      <w:tabs>
        <w:tab w:val="clear" w:pos="449"/>
        <w:tab w:val="left" w:pos="1701" w:leader="none"/>
      </w:tabs>
      <w:suppressAutoHyphens w:val="false"/>
      <w:spacing w:lineRule="auto" w:line="360"/>
      <w:jc w:val="both"/>
    </w:pPr>
    <w:rPr>
      <w:szCs w:val="20"/>
    </w:rPr>
  </w:style>
  <w:style w:type="paragraph" w:styleId="Textbody">
    <w:name w:val="Text body"/>
    <w:basedOn w:val="Standard"/>
    <w:qFormat/>
    <w:pPr>
      <w:widowControl w:val="false"/>
      <w:jc w:val="both"/>
    </w:pPr>
    <w:rPr>
      <w:rFonts w:eastAsia="Arial Unicode MS"/>
      <w:lang w:eastAsia="ru-RU"/>
    </w:rPr>
  </w:style>
  <w:style w:type="paragraph" w:styleId="ConsPlusNormal">
    <w:name w:val="ConsPlusNormal"/>
    <w:qFormat/>
    <w:pPr>
      <w:widowControl w:val="false"/>
      <w:suppressAutoHyphens w:val="true"/>
      <w:bidi w:val="0"/>
      <w:ind w:firstLine="720" w:start="0" w:end="0"/>
      <w:jc w:val="start"/>
    </w:pPr>
    <w:rPr>
      <w:rFonts w:ascii="Arial" w:hAnsi="Arial" w:eastAsia="Times New Roman" w:cs="Arial"/>
      <w:color w:val="auto"/>
      <w:kern w:val="0"/>
      <w:sz w:val="24"/>
      <w:szCs w:val="20"/>
      <w:lang w:val="ru-RU" w:eastAsia="ru-RU" w:bidi="ar-SA"/>
    </w:rPr>
  </w:style>
  <w:style w:type="paragraph" w:styleId="Style25">
    <w:name w:val="Обычный"/>
    <w:qFormat/>
    <w:pPr>
      <w:widowControl w:val="false"/>
      <w:suppressAutoHyphens w:val="true"/>
      <w:bidi w:val="0"/>
      <w:jc w:val="start"/>
    </w:pPr>
    <w:rPr>
      <w:rFonts w:ascii="Calibri" w:hAnsi="Calibri" w:eastAsia="Calibri" w:cs=""/>
      <w:color w:val="auto"/>
      <w:kern w:val="0"/>
      <w:sz w:val="24"/>
      <w:szCs w:val="20"/>
      <w:lang w:val="ru-RU" w:eastAsia="ru-RU" w:bidi="ar-SA"/>
    </w:rPr>
  </w:style>
  <w:style w:type="paragraph" w:styleId="ListParagraph">
    <w:name w:val="List Paragraph"/>
    <w:basedOn w:val="Normal"/>
    <w:qFormat/>
    <w:pPr>
      <w:spacing w:before="0" w:after="0"/>
      <w:ind w:hanging="0" w:start="720" w:end="0"/>
      <w:contextualSpacing/>
    </w:pPr>
    <w:rPr/>
  </w:style>
  <w:style w:type="paragraph" w:styleId="Textbody1">
    <w:name w:val="Text body1"/>
    <w:qFormat/>
    <w:pPr>
      <w:widowControl w:val="false"/>
      <w:suppressAutoHyphens w:val="true"/>
      <w:bidi w:val="0"/>
      <w:jc w:val="both"/>
    </w:pPr>
    <w:rPr>
      <w:rFonts w:ascii="Times New Roman" w:hAnsi="Times New Roman" w:eastAsia="Arial Unicode MS" w:cs="Times New Roman"/>
      <w:color w:val="00000A"/>
      <w:kern w:val="2"/>
      <w:sz w:val="24"/>
      <w:szCs w:val="24"/>
      <w:lang w:val="ru-RU" w:eastAsia="ru-RU" w:bidi="ar-SA"/>
    </w:rPr>
  </w:style>
  <w:style w:type="paragraph" w:styleId="Standard1">
    <w:name w:val="Standard1"/>
    <w:qFormat/>
    <w:pPr>
      <w:widowControl/>
      <w:suppressAutoHyphens w:val="true"/>
      <w:bidi w:val="0"/>
      <w:jc w:val="start"/>
    </w:pPr>
    <w:rPr>
      <w:rFonts w:ascii="Times New Roman" w:hAnsi="Times New Roman" w:eastAsia="Arial" w:cs="Times New Roman"/>
      <w:color w:val="00000A"/>
      <w:kern w:val="2"/>
      <w:sz w:val="24"/>
      <w:szCs w:val="24"/>
      <w:lang w:val="ru-RU" w:eastAsia="ar-SA" w:bidi="ar-SA"/>
    </w:rPr>
  </w:style>
  <w:style w:type="paragraph" w:styleId="Caption1111111111111111111111">
    <w:name w:val="Caption1111111111111111111111"/>
    <w:basedOn w:val="Normal"/>
    <w:qFormat/>
    <w:pPr>
      <w:widowControl/>
      <w:suppressAutoHyphens w:val="true"/>
      <w:bidi w:val="0"/>
      <w:spacing w:before="120" w:after="120"/>
      <w:jc w:val="start"/>
    </w:pPr>
    <w:rPr>
      <w:rFonts w:cs="Lohit Devanagari"/>
      <w:i/>
      <w:iCs/>
      <w:color w:val="auto"/>
      <w:sz w:val="24"/>
      <w:szCs w:val="24"/>
      <w:lang w:val="ru-RU" w:eastAsia="zh-CN" w:bidi="ar-SA"/>
    </w:rPr>
  </w:style>
  <w:style w:type="paragraph" w:styleId="Caption2">
    <w:name w:val="Caption2"/>
    <w:basedOn w:val="Normal"/>
    <w:qFormat/>
    <w:pPr>
      <w:widowControl/>
      <w:suppressAutoHyphens w:val="true"/>
      <w:bidi w:val="0"/>
      <w:spacing w:before="120" w:after="120"/>
      <w:jc w:val="star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eo-mto@r89.fssp.gov.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984</TotalTime>
  <Application>LibreOffice/7.6.7.2$Linux_X86_64 LibreOffice_project/60$Build-2</Application>
  <AppVersion>15.0000</AppVersion>
  <Pages>7</Pages>
  <Words>1895</Words>
  <Characters>12897</Characters>
  <CharactersWithSpaces>14592</CharactersWithSpaces>
  <Paragraphs>157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SERGEYVV4</dc:creator>
  <dc:description/>
  <dc:language>ru-RU</dc:language>
  <cp:lastModifiedBy/>
  <dcterms:modified xsi:type="dcterms:W3CDTF">2026-08-31T11:04:03Z</dcterms:modified>
  <cp:revision>48</cp:revision>
  <dc:subject/>
  <dc:title>ДОГОВОР N 01/02-99</dc:title>
</cp:coreProperties>
</file>