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w:t>
      </w:r>
      <w:r w:rsidR="003D340B">
        <w:rPr>
          <w:b/>
          <w:bCs/>
        </w:rPr>
        <w:t>замена полов в спортивном зале общежития</w:t>
      </w:r>
      <w:r w:rsidR="006D3ABA">
        <w:rPr>
          <w:b/>
          <w:bCs/>
        </w:rPr>
        <w:t>)</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2" w:name="kix.7pvsssa36rgh"/>
      <w:bookmarkStart w:id="3" w:name="Par686"/>
      <w:bookmarkEnd w:id="2"/>
      <w:bookmarkEnd w:id="3"/>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4" w:name="_Hlk507522175"/>
    </w:p>
    <w:bookmarkEnd w:id="4"/>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lastRenderedPageBreak/>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ой документацией и строительными 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5" w:name="Par688"/>
      <w:bookmarkEnd w:id="5"/>
    </w:p>
    <w:p w:rsidR="00D23950" w:rsidRPr="00230D02" w:rsidRDefault="000D1E11" w:rsidP="000D1E11">
      <w:pPr>
        <w:pStyle w:val="affa"/>
        <w:numPr>
          <w:ilvl w:val="0"/>
          <w:numId w:val="40"/>
        </w:numPr>
        <w:rPr>
          <w:b/>
        </w:rPr>
      </w:pPr>
      <w:r w:rsidRPr="00230D02">
        <w:rPr>
          <w:b/>
        </w:rPr>
        <w:t>ПРЕДМЕТ КОНТРАКТА</w:t>
      </w:r>
      <w:bookmarkStart w:id="6" w:name="Par690"/>
      <w:bookmarkEnd w:id="6"/>
    </w:p>
    <w:p w:rsidR="00DA77AC" w:rsidRPr="00230D02" w:rsidRDefault="00207A6E" w:rsidP="000D1E11">
      <w:pPr>
        <w:pStyle w:val="affa"/>
        <w:numPr>
          <w:ilvl w:val="1"/>
          <w:numId w:val="40"/>
        </w:numPr>
        <w:tabs>
          <w:tab w:val="left" w:pos="1134"/>
        </w:tabs>
        <w:ind w:left="0" w:firstLine="567"/>
        <w:jc w:val="both"/>
        <w:rPr>
          <w:b/>
        </w:rPr>
      </w:pPr>
      <w:bookmarkStart w:id="7" w:name="Par692"/>
      <w:bookmarkEnd w:id="7"/>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помещений</w:t>
      </w:r>
      <w:r w:rsidR="00446D73">
        <w:rPr>
          <w:b/>
          <w:bCs/>
        </w:rPr>
        <w:t xml:space="preserve"> (</w:t>
      </w:r>
      <w:r w:rsidR="0055521A">
        <w:rPr>
          <w:b/>
          <w:bCs/>
        </w:rPr>
        <w:t>помещения</w:t>
      </w:r>
      <w:r w:rsidR="00446D73">
        <w:rPr>
          <w:b/>
          <w:bCs/>
        </w:rPr>
        <w:t xml:space="preserve"> №№ ____________ в здании по адресу г. Москва, ул. </w:t>
      </w:r>
      <w:r w:rsidR="003D340B">
        <w:rPr>
          <w:b/>
          <w:bCs/>
        </w:rPr>
        <w:t>Бориса Галушкина, д.7</w:t>
      </w:r>
      <w:r w:rsidR="00446D73">
        <w:rPr>
          <w:b/>
          <w:bCs/>
        </w:rPr>
        <w:t>)</w:t>
      </w:r>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 xml:space="preserve">ом в соответствии с законодательством Российской Федерации, требованиями иных нормативных правовых актов, регулирующих порядок </w:t>
      </w:r>
      <w:r w:rsidRPr="00230D02">
        <w:lastRenderedPageBreak/>
        <w:t>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p>
    <w:p w:rsidR="00396A8D" w:rsidRPr="00230D02" w:rsidRDefault="0035401E" w:rsidP="000D1E11">
      <w:pPr>
        <w:pStyle w:val="affa"/>
        <w:tabs>
          <w:tab w:val="left" w:pos="1134"/>
        </w:tabs>
        <w:ind w:left="567" w:firstLine="0"/>
        <w:jc w:val="both"/>
      </w:pPr>
      <w:r w:rsidRPr="00230D02">
        <w:t xml:space="preserve">начальный срок выполнения работ </w:t>
      </w:r>
      <w:r w:rsidR="00A45126" w:rsidRPr="00230D02">
        <w:t xml:space="preserve">– с </w:t>
      </w:r>
      <w:r w:rsidR="00032A0D" w:rsidRPr="00032A0D">
        <w:rPr>
          <w:b/>
        </w:rPr>
        <w:t>01.0</w:t>
      </w:r>
      <w:r w:rsidR="00B62354">
        <w:rPr>
          <w:b/>
        </w:rPr>
        <w:t>6</w:t>
      </w:r>
      <w:r w:rsidR="00032A0D" w:rsidRPr="00032A0D">
        <w:rPr>
          <w:b/>
        </w:rPr>
        <w:t>.2027г.</w:t>
      </w:r>
      <w:r w:rsidR="00396A8D" w:rsidRPr="00032A0D">
        <w:rPr>
          <w:b/>
        </w:rPr>
        <w:t>;</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w:t>
      </w:r>
      <w:r w:rsidR="004D2AD9">
        <w:rPr>
          <w:b/>
        </w:rPr>
        <w:t>0</w:t>
      </w:r>
      <w:r w:rsidR="00DE21AD" w:rsidRPr="00230D02">
        <w:rPr>
          <w:b/>
        </w:rPr>
        <w:t>.</w:t>
      </w:r>
      <w:r w:rsidR="00446D73">
        <w:rPr>
          <w:b/>
        </w:rPr>
        <w:t>0</w:t>
      </w:r>
      <w:r w:rsidR="004D2AD9">
        <w:rPr>
          <w:b/>
        </w:rPr>
        <w:t>6</w:t>
      </w:r>
      <w:r w:rsidR="00DE21AD" w:rsidRPr="00230D02">
        <w:rPr>
          <w:b/>
        </w:rPr>
        <w:t>.202</w:t>
      </w:r>
      <w:r w:rsidR="003D340B">
        <w:rPr>
          <w:b/>
        </w:rPr>
        <w:t>7</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 xml:space="preserve">Начальный, конечный и промежуточные сроки выполнения работ определяются календарным графиком производства работ, являющимся неотъемлемой частью </w:t>
      </w:r>
      <w:r w:rsidR="00D30F61" w:rsidRPr="00230D02">
        <w:t>производства работ</w:t>
      </w:r>
      <w:r w:rsidR="00E94CFD" w:rsidRPr="00230D02">
        <w:t>.</w:t>
      </w:r>
      <w:bookmarkStart w:id="8" w:name="_GoBack"/>
      <w:bookmarkEnd w:id="8"/>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lastRenderedPageBreak/>
        <w:t>–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lastRenderedPageBreak/>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lastRenderedPageBreak/>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правкой о стоимости выполненных работ и затрат по форме КС-3 после подписания на 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lastRenderedPageBreak/>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 xml:space="preserve">ены </w:t>
      </w:r>
      <w:r w:rsidR="00EB0B5C" w:rsidRPr="00230D02">
        <w:lastRenderedPageBreak/>
        <w:t>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lastRenderedPageBreak/>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lastRenderedPageBreak/>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lastRenderedPageBreak/>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lastRenderedPageBreak/>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lastRenderedPageBreak/>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 xml:space="preserve">у все документы, </w:t>
      </w:r>
      <w:r w:rsidRPr="00230D02">
        <w:lastRenderedPageBreak/>
        <w:t>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lastRenderedPageBreak/>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lastRenderedPageBreak/>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lastRenderedPageBreak/>
        <w:t>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3D340B">
        <w:t>7</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lastRenderedPageBreak/>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4D2AD9"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4D2AD9" w:rsidP="00987CAF">
            <w:pPr>
              <w:pStyle w:val="affa"/>
              <w:jc w:val="left"/>
            </w:pPr>
            <w:hyperlink r:id="rId11" w:history="1">
              <w:r w:rsidR="00EF1640" w:rsidRPr="00987CAF">
                <w:rPr>
                  <w:rStyle w:val="a8"/>
                  <w:color w:val="auto"/>
                  <w:u w:val="none"/>
                </w:rPr>
                <w:t>ОКПД2</w:t>
              </w:r>
            </w:hyperlink>
          </w:p>
          <w:p w:rsidR="00EF1640" w:rsidRPr="00987CAF" w:rsidRDefault="004D2AD9" w:rsidP="00987CAF">
            <w:pPr>
              <w:pStyle w:val="affa"/>
              <w:jc w:val="left"/>
            </w:pPr>
            <w:hyperlink r:id="rId12" w:history="1">
              <w:r w:rsidR="00EF1640" w:rsidRPr="00987CAF">
                <w:rPr>
                  <w:rStyle w:val="a8"/>
                  <w:color w:val="auto"/>
                  <w:u w:val="none"/>
                </w:rPr>
                <w:t>ОКАТО</w:t>
              </w:r>
            </w:hyperlink>
          </w:p>
          <w:p w:rsidR="00EF1640" w:rsidRPr="00987CAF" w:rsidRDefault="004D2AD9"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lastRenderedPageBreak/>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A0D"/>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40B"/>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AD9"/>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21A"/>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354"/>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87C4F"/>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6986"/>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193"/>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683"/>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0EEC1-D4E2-4DA8-A3D2-B768423E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10437</Words>
  <Characters>59494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69792</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2026-05-30T16:50:00Z</dcterms:created>
  <dcterms:modified xsi:type="dcterms:W3CDTF">2026-05-30T17:22:00Z</dcterms:modified>
</cp:coreProperties>
</file>