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CellMar>
          <w:left w:w="0" w:type="dxa"/>
          <w:right w:w="0" w:type="dxa"/>
        </w:tblCellMar>
        <w:tblLook w:val="0000" w:firstRow="0" w:lastRow="0" w:firstColumn="0" w:lastColumn="0" w:noHBand="0" w:noVBand="0"/>
      </w:tblPr>
      <w:tblGrid>
        <w:gridCol w:w="2834"/>
        <w:gridCol w:w="2353"/>
        <w:gridCol w:w="2352"/>
        <w:gridCol w:w="2835"/>
      </w:tblGrid>
      <w:tr w:rsidR="004213BB">
        <w:tblPrEx>
          <w:tblCellMar>
            <w:top w:w="0" w:type="dxa"/>
            <w:left w:w="0" w:type="dxa"/>
            <w:bottom w:w="0" w:type="dxa"/>
            <w:right w:w="0" w:type="dxa"/>
          </w:tblCellMar>
        </w:tblPrEx>
        <w:tc>
          <w:tcPr>
            <w:tcW w:w="2834"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8"/>
                <w:szCs w:val="18"/>
              </w:rPr>
            </w:pPr>
            <w:bookmarkStart w:id="0" w:name="_GoBack"/>
            <w:bookmarkEnd w:id="0"/>
          </w:p>
        </w:tc>
        <w:tc>
          <w:tcPr>
            <w:tcW w:w="4705" w:type="dxa"/>
            <w:gridSpan w:val="2"/>
            <w:tcBorders>
              <w:top w:val="nil"/>
              <w:left w:val="nil"/>
              <w:bottom w:val="nil"/>
              <w:right w:val="nil"/>
            </w:tcBorders>
          </w:tcPr>
          <w:p w:rsidR="004213BB" w:rsidRDefault="004213BB">
            <w:pPr>
              <w:widowControl w:val="0"/>
              <w:autoSpaceDE w:val="0"/>
              <w:autoSpaceDN w:val="0"/>
              <w:adjustRightInd w:val="0"/>
              <w:spacing w:after="0" w:line="240" w:lineRule="auto"/>
              <w:jc w:val="center"/>
              <w:rPr>
                <w:rFonts w:ascii="Times" w:hAnsi="Times" w:cs="Times"/>
                <w:b/>
                <w:bCs/>
                <w:color w:val="000000"/>
              </w:rPr>
            </w:pPr>
            <w:r>
              <w:rPr>
                <w:rFonts w:ascii="Times" w:hAnsi="Times" w:cs="Times"/>
                <w:b/>
                <w:bCs/>
                <w:color w:val="000000"/>
              </w:rPr>
              <w:t>ДОГОВОР № К102555/26</w:t>
            </w:r>
          </w:p>
          <w:p w:rsidR="00DC3B4C" w:rsidRPr="00FE150F" w:rsidRDefault="004213BB" w:rsidP="00DC3B4C">
            <w:pPr>
              <w:widowControl w:val="0"/>
              <w:autoSpaceDE w:val="0"/>
              <w:autoSpaceDN w:val="0"/>
              <w:adjustRightInd w:val="0"/>
              <w:spacing w:after="0" w:line="240" w:lineRule="auto"/>
              <w:jc w:val="center"/>
              <w:rPr>
                <w:rFonts w:ascii="Times" w:hAnsi="Times" w:cs="Times"/>
                <w:b/>
                <w:bCs/>
                <w:color w:val="000000"/>
                <w:sz w:val="18"/>
                <w:szCs w:val="18"/>
              </w:rPr>
            </w:pPr>
            <w:r w:rsidRPr="00FE150F">
              <w:rPr>
                <w:rFonts w:ascii="Times" w:hAnsi="Times" w:cs="Times"/>
                <w:b/>
                <w:bCs/>
                <w:color w:val="000000"/>
                <w:sz w:val="18"/>
                <w:szCs w:val="18"/>
              </w:rPr>
              <w:t xml:space="preserve">на </w:t>
            </w:r>
            <w:r w:rsidR="00DC3B4C" w:rsidRPr="00FE150F">
              <w:rPr>
                <w:rFonts w:ascii="Times" w:hAnsi="Times" w:cs="Times"/>
                <w:b/>
                <w:bCs/>
                <w:color w:val="000000"/>
                <w:sz w:val="18"/>
                <w:szCs w:val="18"/>
              </w:rPr>
              <w:t xml:space="preserve">оказание услуг по предоставлению (продлению) неисключительных прав на использование и абонентское обслуживание программного обеспечения </w:t>
            </w:r>
          </w:p>
          <w:p w:rsidR="004213BB" w:rsidRDefault="00DC3B4C" w:rsidP="00DC3B4C">
            <w:pPr>
              <w:widowControl w:val="0"/>
              <w:autoSpaceDE w:val="0"/>
              <w:autoSpaceDN w:val="0"/>
              <w:adjustRightInd w:val="0"/>
              <w:spacing w:after="0" w:line="240" w:lineRule="auto"/>
              <w:jc w:val="center"/>
              <w:rPr>
                <w:rFonts w:ascii="Times" w:hAnsi="Times" w:cs="Times"/>
                <w:b/>
                <w:bCs/>
                <w:color w:val="000000"/>
                <w:sz w:val="18"/>
                <w:szCs w:val="18"/>
              </w:rPr>
            </w:pPr>
            <w:r w:rsidRPr="00FE150F">
              <w:rPr>
                <w:rFonts w:ascii="Times" w:hAnsi="Times" w:cs="Times"/>
                <w:b/>
                <w:bCs/>
                <w:color w:val="000000"/>
                <w:sz w:val="18"/>
                <w:szCs w:val="18"/>
              </w:rPr>
              <w:t>«Контур-Экстерн»</w:t>
            </w:r>
          </w:p>
        </w:tc>
        <w:tc>
          <w:tcPr>
            <w:tcW w:w="2834" w:type="dxa"/>
            <w:tcBorders>
              <w:top w:val="nil"/>
              <w:left w:val="nil"/>
              <w:bottom w:val="nil"/>
              <w:right w:val="nil"/>
            </w:tcBorders>
          </w:tcPr>
          <w:p w:rsidR="004213BB" w:rsidRDefault="001F75C5">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noProof/>
                <w:color w:val="000000"/>
                <w:sz w:val="18"/>
                <w:szCs w:val="18"/>
              </w:rPr>
              <w:drawing>
                <wp:inline distT="0" distB="0" distL="0" distR="0">
                  <wp:extent cx="5429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r>
      <w:tr w:rsidR="004213BB">
        <w:tblPrEx>
          <w:tblCellMar>
            <w:top w:w="0" w:type="dxa"/>
            <w:left w:w="0" w:type="dxa"/>
            <w:bottom w:w="0" w:type="dxa"/>
            <w:right w:w="0" w:type="dxa"/>
          </w:tblCellMar>
        </w:tblPrEx>
        <w:tc>
          <w:tcPr>
            <w:tcW w:w="5187" w:type="dxa"/>
            <w:gridSpan w:val="2"/>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Екатеринбург</w:t>
            </w:r>
          </w:p>
        </w:tc>
        <w:tc>
          <w:tcPr>
            <w:tcW w:w="5187" w:type="dxa"/>
            <w:gridSpan w:val="2"/>
            <w:tcBorders>
              <w:top w:val="nil"/>
              <w:left w:val="nil"/>
              <w:bottom w:val="nil"/>
              <w:right w:val="nil"/>
            </w:tcBorders>
          </w:tcPr>
          <w:p w:rsidR="004213BB" w:rsidRDefault="00520256" w:rsidP="00520256">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__________</w:t>
            </w:r>
          </w:p>
        </w:tc>
      </w:tr>
    </w:tbl>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Акционерное общество «Производственная фирма «СКБ Контур», именуемое в дальнейшем ОПЕРАТОР, в лице Левитан Ирины Евгеньевны, действующей на основании доверенности от 19.08.2024 №c3f2e5a8-b852-4466-829a-5fc14fd2c37a, с одной стороны, и УПРАВЛЕНИЕ РОССЕЛЬХОЗНАДЗОРА ПО ЗАБАЙКАЛЬСКОМУ КРАЮ, именуемое в дальнейшем АБОНЕНТ, в лице Руководителя Грохотова Андрея Викторовича, действующего</w:t>
      </w:r>
      <w:r w:rsidR="00DC3B4C">
        <w:rPr>
          <w:rFonts w:ascii="Times" w:hAnsi="Times" w:cs="Times"/>
          <w:color w:val="000000"/>
          <w:sz w:val="18"/>
          <w:szCs w:val="18"/>
        </w:rPr>
        <w:t xml:space="preserve"> </w:t>
      </w:r>
      <w:r w:rsidR="00DC3B4C" w:rsidRPr="00DC3B4C">
        <w:rPr>
          <w:rFonts w:ascii="Times" w:hAnsi="Times" w:cs="Times"/>
          <w:color w:val="000000"/>
          <w:sz w:val="18"/>
          <w:szCs w:val="18"/>
        </w:rPr>
        <w:t>от имени Российской Федерации, на основании Положения об Управлении Федеральной службы по ветеринарному и фитосанитарному надзору по Забайкальскому краю, утвержденного приказом Федеральной службы по ветеринарному и фитосанитарному надзору от 18.08.2022 № 1245 и приказа Министерства сельского хозяйства Российской Федерации от 11.08.2023 № 135-кр</w:t>
      </w:r>
      <w:r>
        <w:rPr>
          <w:rFonts w:ascii="Times" w:hAnsi="Times" w:cs="Times"/>
          <w:color w:val="000000"/>
          <w:sz w:val="18"/>
          <w:szCs w:val="18"/>
        </w:rPr>
        <w:t>, с другой стороны, совместно именуемые в дальнейшем Стороны, руководствуясь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Договор о нижеследующем.</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Абоненту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Спецификация (Приложение № 1 к Договору) − документ, содержащий информацию о стоимости и комплекте предоставляемых Абоненту неисключительных прав использования программ для ЭВМ и оказываемых услуг/выполняемых работ.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Лицензионный договор (Приложение № 2 к Договору) – договор, устанавливающий порядок передачи и использования Продукта. Является офертой, не требующей подписания Сторонами, полный и безоговорочный акцепт которой Абонентом является существенным условием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СКЗИ − программа для ЭВМ средство криптографической защиты информации (средство электронной подписи) «КриптоПро CSP», включая носители и документацию или иные программы для ЭВМ, исключительные права на которые принадлежат ООО «Крипто-Про».</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Сублицензионный договор на использование программы для ЭВМ СКЗИ «КриптоПро CSP» (Приложение № 3 к Договору)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Абонентом является существенным условием Договора, если приобретаются лицензии на право использования СКЗИ.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Тарифный план – совокупность предоставляемых Оператором неисключительных прав использования Продукта и оказываемых услуг. Состав Тарифного плана определяется Прайс-листом.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1.7. Прайс-лист − документ (неотъемлемая часть Договора), отражающий ценовую политику Оператора и состав Тарифных планов. Действующая редакция основного Прайс-листа публикуется по адресу </w:t>
      </w:r>
      <w:hyperlink r:id="rId5" w:history="1">
        <w:r>
          <w:rPr>
            <w:rFonts w:ascii="Times" w:hAnsi="Times" w:cs="Times"/>
            <w:color w:val="0000CD"/>
            <w:sz w:val="18"/>
            <w:szCs w:val="18"/>
          </w:rPr>
          <w:t>https://www.kontur-extern.ru</w:t>
        </w:r>
      </w:hyperlink>
      <w:r>
        <w:rPr>
          <w:rFonts w:ascii="Times" w:hAnsi="Times" w:cs="Times"/>
          <w:color w:val="000000"/>
          <w:sz w:val="18"/>
          <w:szCs w:val="18"/>
        </w:rPr>
        <w:t>. Дополнительные Прайс-листы представляются по требованию Абонента. Оператор имеет право в одностороннем порядке вносить изменения и/или дополнения в Прайс-лист путем публикации на сайте.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1.8. Правила по обеспечению информационной безопасности на рабочем месте − документ, составленный Оператором на основании положений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Абонента, работающими с использованием СКЗИ. Актуальная редакция Правил публикуется на сайте </w:t>
      </w:r>
      <w:hyperlink r:id="rId6" w:history="1">
        <w:r>
          <w:rPr>
            <w:rFonts w:ascii="Times" w:hAnsi="Times" w:cs="Times"/>
            <w:color w:val="0000CD"/>
            <w:sz w:val="18"/>
            <w:szCs w:val="18"/>
          </w:rPr>
          <w:t>https://ca.kontur.ru</w:t>
        </w:r>
      </w:hyperlink>
      <w:r>
        <w:rPr>
          <w:rFonts w:ascii="Times" w:hAnsi="Times" w:cs="Times"/>
          <w:color w:val="000000"/>
          <w:sz w:val="18"/>
          <w:szCs w:val="18"/>
        </w:rPr>
        <w:t>. Заключением Договора Абонент подтверждает выполнение Оператором обязанности, установленной ч. 4 ст. 18 Федерального закона Российской Федерации от 06.04.2011 № 63-ФЗ «Об электронной подписи» (далее – Закон об электронной подписи). Оператор имеет право в одностороннем порядке вносить изменения и/или дополнения в Правила путем публикации на сайте.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1.9. Пользовательская документация – справочный текст, размещенный по адресу </w:t>
      </w:r>
      <w:hyperlink r:id="rId7" w:history="1">
        <w:r>
          <w:rPr>
            <w:rFonts w:ascii="Times" w:hAnsi="Times" w:cs="Times"/>
            <w:color w:val="0000CD"/>
            <w:sz w:val="18"/>
            <w:szCs w:val="18"/>
          </w:rPr>
          <w:t>https://support.kontur.ru/extern</w:t>
        </w:r>
      </w:hyperlink>
      <w:r>
        <w:rPr>
          <w:rFonts w:ascii="Times" w:hAnsi="Times" w:cs="Times"/>
          <w:color w:val="000000"/>
          <w:sz w:val="18"/>
          <w:szCs w:val="18"/>
        </w:rPr>
        <w:t xml:space="preserve"> и описывающий порядок работы с Продуктом.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1.10.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1.11. Оператор электронного документооборота – обязанности Оператора по отправке отчетности в различные контролирующие органы, установленные нормативными правовыми актами Российской Федерации.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1.12. Программный интерфейс API (Application Programming Interface) – интерфейс прикладного программирования Продукта, позволяющий провести интеграцию Продукта с информационной системой Абонента.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1.13. АPI-лицензия – передаваемые права использования Продукта на условиях простой (неисключительной) лицензии в формате API, предназначенные для осуществления интеграции Продукта с информационной системой Абонента. Состав API-лицензии определяется Прайс-листом.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1.14.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1.15. Субъект персональных данных – физическое лицо, персональные данные которого Абонент обрабатывает с использованием Продукта.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1.16. Сервисный центр – юридическое лицо или индивидуальный предприниматель, уполномоченные Оператором на основании агентского договора представлять интересы Оператора во взаимоотношениях с Абонентом. Список Сервисных центров публикуется на сайте </w:t>
      </w:r>
      <w:hyperlink r:id="rId8" w:history="1">
        <w:r>
          <w:rPr>
            <w:rFonts w:ascii="Times" w:hAnsi="Times" w:cs="Times"/>
            <w:color w:val="0000CD"/>
            <w:sz w:val="18"/>
            <w:szCs w:val="18"/>
          </w:rPr>
          <w:t>https://kontur.ru/contacts/all</w:t>
        </w:r>
      </w:hyperlink>
      <w:r>
        <w:rPr>
          <w:rFonts w:ascii="Times" w:hAnsi="Times" w:cs="Times"/>
          <w:color w:val="000000"/>
          <w:sz w:val="18"/>
          <w:szCs w:val="18"/>
        </w:rPr>
        <w:t>.</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Оператор обязуется предоставить Абоненту простую (неисключительную) лицензию на право использования Продукта в пределах, предусмотренных Договором, и оказать услуги по сопровождению Продукта (технической поддержке в виде абонентского обслуживания). Абонент обязуется принять и оплатить предоставленные неисключительные имущественные права и оказанные услуги в порядке, установленном Договором.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Передача права использования Продукта осуществляется на условиях Лицензионного договора на срок, установленный выбранным Тарифным планом.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2.3. Если Абоненту требуется СКЗИ, то Оператор обязуется возмездно передать простые (неисключительные) лицензии на право использования СКЗИ на условиях Сублицензионного договора на срок, установленный выбранным Тарифным планом.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2.4. При необходимости Абоненту могут быть возмездно предоставлены лицензии на иное программное обеспечение, оказаны иные услуги, выполнены работы, предусмотренные Прайс-листом Оператора.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2.5. Оператор либо Сервисный центр могут дополнительно возмездно оказать Абоненту услуги по установке и настройке программных компонентов, необходимых для получения доступа к Продукту и/или СКЗИ на рабочем месте Абонента, обучению специалистов Абонента работе в Продукте.</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ПОРЯДОК ИСПОЛНЕНИЯ ОБЯЗАТЕЛЬСТВ ОПЕРАТОРОМ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sidRPr="005B69E6">
        <w:rPr>
          <w:rFonts w:ascii="Times" w:hAnsi="Times" w:cs="Times"/>
          <w:color w:val="000000"/>
          <w:sz w:val="18"/>
          <w:szCs w:val="18"/>
        </w:rPr>
        <w:t>3.1. В течение 5 (пяти) календарных дней после поступления на расчетный счет Оператора оплаты Оператор предоставляет Абоненту право использования Продукта путем: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3.1.1. открытия доступа к веб-версии Продукта. Реализация Абонентом доступа к Продукту осуществляется путем установки и настройки необходимых для функционирования Продукта дистрибутивов программных компонентов согласно инструкции на сайте </w:t>
      </w:r>
      <w:hyperlink r:id="rId9" w:history="1">
        <w:r>
          <w:rPr>
            <w:rFonts w:ascii="Times" w:hAnsi="Times" w:cs="Times"/>
            <w:color w:val="0000CD"/>
            <w:sz w:val="18"/>
            <w:szCs w:val="18"/>
          </w:rPr>
          <w:t>https://www.kontur-extern.ru/support/start</w:t>
        </w:r>
      </w:hyperlink>
      <w:r>
        <w:rPr>
          <w:rFonts w:ascii="Times" w:hAnsi="Times" w:cs="Times"/>
          <w:color w:val="000000"/>
          <w:sz w:val="18"/>
          <w:szCs w:val="18"/>
        </w:rPr>
        <w:t>;</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3.1.2. предоставления возможности Абоненту скачать программные компоненты интеграционных модулей для интеграции Продукта с информационными системами. Актуальные версии интеграционных модулей расположены по адресу </w:t>
      </w:r>
      <w:hyperlink r:id="rId10" w:history="1">
        <w:r>
          <w:rPr>
            <w:rFonts w:ascii="Times" w:hAnsi="Times" w:cs="Times"/>
            <w:color w:val="0000CD"/>
            <w:sz w:val="18"/>
            <w:szCs w:val="18"/>
          </w:rPr>
          <w:t>https://www.kontur.ru/extern</w:t>
        </w:r>
      </w:hyperlink>
      <w:r>
        <w:rPr>
          <w:rFonts w:ascii="Times" w:hAnsi="Times" w:cs="Times"/>
          <w:color w:val="000000"/>
          <w:sz w:val="18"/>
          <w:szCs w:val="18"/>
        </w:rPr>
        <w:t>;</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3.1.3. предоставления Абоненту Ключа разработчика для интеграции Продукта с информационными системами при помощи API.</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Необходимым условием использования Продукта является наличие у Абонента: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3.2.1. подключения к сети Интернет;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3.2.2. учетной записи на сервере Оператора;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3.2.3. действующего Сертификата;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3.2.4. СКЗИ.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Передача права использования Продукта осуществляется в момент открытия доступа Абоненту к серверу Продукта.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Техническая поддержка Продукта и СКЗИ осуществляется с момента открытия доступа к Продукту и до окончания срока действия выбранного Абонентом Тарифного плана в круглосуточном ежедневном режиме в виде абонентского обслуживания путем телефонных консультаций в Федеральном контакт-центре Оператора по телефону 8-800-500-50-80 без ограничения по времени и количеству обращений.</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ПРАВА И ОБЯЗАННОСТИ СТОРОН</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Обязанности Оператора: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соответствие Продукта заявленной функциональности, описанной в Пользовательской документации;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4.1.2. обеспечение круглосуточной работоспособности и доступности Продукта, за исключением времени проведения профилактических работ. Профилактические работы проводятся не более 2 (двух) рабочих дней в период с 1 по 10 число месяца, преимущественно в ночное время, с извещением Абонента о проводимых работах путем размещения информации в Продукте;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4.1.3. воздержание от каких-либо действий, способных воспрепятствовать нормальному использованию Абонентом Продукта;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своевременное обновление программного обеспечения на сервере;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защита информации, обрабатываемой на сервере Оператора, от несанкционированного доступа;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4.1.6. наличие всех необходимых лицензий для исполнения обязательств по Договору. Место публикации лицензий Оператора </w:t>
      </w:r>
      <w:hyperlink r:id="rId11" w:history="1">
        <w:r>
          <w:rPr>
            <w:rFonts w:ascii="Times" w:hAnsi="Times" w:cs="Times"/>
            <w:color w:val="0000CD"/>
            <w:sz w:val="18"/>
            <w:szCs w:val="18"/>
          </w:rPr>
          <w:t>https://kontur.ru/about/licences</w:t>
        </w:r>
      </w:hyperlink>
      <w:r>
        <w:rPr>
          <w:rFonts w:ascii="Times" w:hAnsi="Times" w:cs="Times"/>
          <w:color w:val="000000"/>
          <w:sz w:val="18"/>
          <w:szCs w:val="18"/>
        </w:rPr>
        <w:t>;</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4.1.7. обеспечение конфиденциальности данных, размещенных Абонентом в Продукте, на весь период их нахождения на сервере;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4.1.8. осуществление обязанностей Оператора электронного документооборота.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Обязанности Абонента: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 своевременная оплата предоставленных прав использования, услуг, работ Оператора в порядке и сроки, установленные Договором;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4.2.2. соблюдение требований Пользовательской документации при использовании Продукта и СКЗИ;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4.2.4. представление Оператору всех сведений и документов, необходимых для исполнения Оператором обязательств по Договору;</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4.2.5. самостоятельное подключение компьютера к сети Интернет;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4.2.6. самостоятельная комплектация рабочего места в соответствии с требованиями, размещенными на сайте </w:t>
      </w:r>
      <w:hyperlink r:id="rId12" w:history="1">
        <w:r>
          <w:rPr>
            <w:rFonts w:ascii="Times" w:hAnsi="Times" w:cs="Times"/>
            <w:color w:val="0000CD"/>
            <w:sz w:val="18"/>
            <w:szCs w:val="18"/>
          </w:rPr>
          <w:t>https://support.kontur.ru/extern</w:t>
        </w:r>
      </w:hyperlink>
      <w:r>
        <w:rPr>
          <w:rFonts w:ascii="Times" w:hAnsi="Times" w:cs="Times"/>
          <w:color w:val="000000"/>
          <w:sz w:val="18"/>
          <w:szCs w:val="18"/>
        </w:rPr>
        <w:t>;</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4.2.7. отказ от попыток копировать, модифицировать, декомпилировать, деассемблировать Продукт;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4.2.8. отказ от попыток получения доступа к информации третьих лиц, хранящейся в Продукте;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4.2.9. передача контролирующим органам оформленной в соответствии с гражданским законодательством Российской Федерации доверенности, подтверждающей право уполномоченного представителя на передачу отчетности, а также совершение иных действий, необходимых для организации электронного документооборота с контролирующими органами;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4.2.10. отказ от совершения недобросовестных действий с использованием Продукта, в том числе приводящих к повышенной загрузке вычислительных ресурсов и нарушению пропускной способности;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4.2.11. самостоятельное осуществление интеграции информационных систем Абонента с Продуктом с использованием API.</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Права Оператора: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4.3.1. модификация или выпуск новой версии Продукта в любое время и по любой причине, в том числе в целях удовлетворения потребностей Абонента или требований конкурентоспособности, в целях соблюдения законодательства Российской Федерации. Оператор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4.3.2. заключение с третьими лицами любых договоров о предоставлении права использования Продукта, в том числе на условиях, аналогичных условиям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 Права Абонента: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4.4.1. получение круглосуточного доступа к серверу с целью использования всех функциональных возможностей Продукта, за исключением времени проведения профилактических работ;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4.4.2. внесение предложений по изменению функциональных возможностей Продукта;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4.4.3. непредставление отчетов об использовании Продукта Оператору.</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ФИНАНСОВЫЕ УСЛОВИЯ И ПОРЯДОК СДАЧИ-ПРИЕМКИ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Лицензионное вознаграждение за право использования программы для ЭВМ определяется Прайс-листом Оператора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Цена услуг/работ/ТМЦ Оператора определяется Прайс-листом Оператора и устанавливается в Спецификации без учета НДС. НДС начисляется и предъявляется Абоненту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rsidR="00520256" w:rsidRDefault="00520256">
      <w:pPr>
        <w:widowControl w:val="0"/>
        <w:autoSpaceDE w:val="0"/>
        <w:autoSpaceDN w:val="0"/>
        <w:adjustRightInd w:val="0"/>
        <w:spacing w:after="0" w:line="240" w:lineRule="auto"/>
        <w:jc w:val="both"/>
        <w:rPr>
          <w:rFonts w:ascii="Times" w:hAnsi="Times" w:cs="Times"/>
          <w:color w:val="000000"/>
          <w:sz w:val="18"/>
          <w:szCs w:val="18"/>
        </w:rPr>
      </w:pP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sidRPr="005B69E6">
        <w:rPr>
          <w:rFonts w:ascii="Times" w:hAnsi="Times" w:cs="Times"/>
          <w:color w:val="000000"/>
          <w:sz w:val="18"/>
          <w:szCs w:val="18"/>
        </w:rPr>
        <w:lastRenderedPageBreak/>
        <w:t xml:space="preserve">5.3. Абонент оплачивает выставленный Оператором счет в течение 10 </w:t>
      </w:r>
      <w:r w:rsidR="00B65ADC" w:rsidRPr="005B69E6">
        <w:rPr>
          <w:rFonts w:ascii="Times" w:hAnsi="Times" w:cs="Times"/>
          <w:color w:val="000000"/>
          <w:sz w:val="18"/>
          <w:szCs w:val="18"/>
        </w:rPr>
        <w:t xml:space="preserve">(десяти) рабочих дней </w:t>
      </w:r>
      <w:r w:rsidRPr="005B69E6">
        <w:rPr>
          <w:rFonts w:ascii="Times" w:hAnsi="Times" w:cs="Times"/>
          <w:color w:val="000000"/>
          <w:sz w:val="18"/>
          <w:szCs w:val="18"/>
        </w:rPr>
        <w:t>с момента подписания Сторонами УПД.</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5.4. Все расчеты по Договору осуществляются в российских рублях путем безналичного перечисления денежных средств на расчетный счет Оператора.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5.5. Обязательство Абонента по оплате счета считается исполненным с момента поступления денежных средств на расчетный счет Оператора.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5.6. Счет может быть отправлен Абоненту электронной почтой, заказным почтовым отправлением, курьерской службой или в электронном виде, подписанный электронной подписью.</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5.7. Общая цена Договора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5.8. Стороны подтверждают исполнение обязательств по Договору путем подписания УПД. Абонент обязан вернуть Оператору подписанный экземпляр УПД до момента окончания срока, установленного пп. 5.9-5.10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5.9. В случае отсутствия в течение 10 (десяти) рабочих дней с момента получения Оператором оплаты или начала использования Абонентом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API-лицензий, СКЗИ и права на получение услуг по сопровождению (технической поддержке в виде абонентского обслуживания) переданные права признаются принятыми Абонентом в полном объеме без замечаний.</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5.10. В случае отсутствия в течение 10 (десяти) рабочих дней с момента получения Абонентом УПД мотивированного отказа в письменном виде от приемки оказанных разовых услуг и/или выполненных работ оказанные Оператором услуги/выполненные работы признаются принятыми Абонентом в полном объеме без замечаний. При этом разовыми являются услуги, оказываемые не в виде абонентского обслуживания.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5.11. Мотивированный отказ от приемки прав, услуг, работ может быть отправлен Оператору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Абонентом, возврату не подлежит.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5.12. В соответствии с законодательством Российской Федерации для проверки предоставленных Оператором прав и оказанных услуг, выполненных работ, предусмотренных Договором, в части их соответствия его условиям, Абонент по собственной инициативе и за свой счет может провести экспертизу.</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ДОГОВОРА. ПОРЯДОК ИЗМЕНЕНИЯ, ДОПОЛНЕНИЯ И РАСТОРЖЕНИЯ. ПОРЯДОК РАЗРЕШЕНИЯ СПОРОВ</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6.1. Договор вступает в силу с момента принятия его условий </w:t>
      </w:r>
      <w:r w:rsidR="00520256">
        <w:rPr>
          <w:rFonts w:ascii="Times" w:hAnsi="Times" w:cs="Times"/>
          <w:color w:val="000000"/>
          <w:sz w:val="18"/>
          <w:szCs w:val="18"/>
        </w:rPr>
        <w:t>и действует до 30</w:t>
      </w:r>
      <w:r>
        <w:rPr>
          <w:rFonts w:ascii="Times" w:hAnsi="Times" w:cs="Times"/>
          <w:color w:val="000000"/>
          <w:sz w:val="18"/>
          <w:szCs w:val="18"/>
        </w:rPr>
        <w:t>.12.2026г., а в части исполнения обязательств - до их полного исполнения Сторонами. Под принятием условий Договора Стороны понимают: подписание Абонентом Договора, фактическое начало использования Абонентом Продукта, оплату Абонентом выставленного Оператором счета, в зависимости от того, какое из этих событий наступит раньше.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Любые изменения и/или дополнения к Договору оформляются дополнительным соглашением, которое подписывается обеими Сторонами в том же порядке, что и Договор.</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В случае нарушения Абонентом условий Договора Оператор вправе незамедлительно блокировать доступ к Продукту без предварительного уведомления Абонента, а также досрочно расторгнуть Договор. Если нарушение условий связано с неоплатой лицензионного вознаграждения, Оператор блокирует доступ до полного погашения задолженности Абонентом.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Договор расторгается в случаях, предусмотренных законодательством Российской Федерации и Договором.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Все споры и разногласия, возникающие в связи с исполнением и (или) толкованием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 или в электронном виде, подписанной электронной подписью.</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ОТВЕТСТВЕННОСТЬ СТОРОН. КОНФИДЕНЦИАЛЬНОСТЬ ИНФОРМАЦИИ. АНТИКОРРУПЦИОННЫЕ УСЛОВИЯ. ФОРС-МАЖОР</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За неисполнение или ненадлежащее исполнение обязательств по Договору Стороны будут нести ответственность в соответствии с законодательством Российской Федерации и условиями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Оператор не будет нести ответственность за невозможность использования Продукта по причинам, не зависящим от Оператора.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Оператор не будет нести ответственность за несоблюдение Абонентом технических требований к рабочему месту, Пользовательской документации, отсутствие у Абонента подключения к сети Интернет, за функционирование Продукта и СКЗИ на неисправном компьютере, либо компьютере, зараженном каким-либо компьютерным вирусом, использование несертифицированного СКЗИ, а также при использовании Абонентом нелицензионного программного обеспечения, а также в случае несвоевременного осуществления Абонентом интеграции Продукта со своей информационной системой с использованием API.</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7.4. Оператор не будет нести ответственность за ущерб, понесенный Абонентом в результате несоблюдения им Положения ПКЗ-2005 и Правил по обеспечению информационной безопасности на рабочем месте.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7.5. В случае возникновения у Абонента технических проблем, препятствующих нормальному использованию Продукта, Абонент обязуется незамедлительно обратиться в техническую поддержку Оператора. Оператор не будет нести ответственность за возникшие у Абонента убытки, вызванные техническими проблемами, в случае если Абонент нарушит обязательство, установленное настоящим пунктом.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7.6. Совокупный размер ответственности Оператора, включая любые убытки (в случае если Абонент в конкретном случае имеет право на их возмещение), не может превышать стоимости прав, услуг и работ, которые были реализованы Оператором Абоненту по Договору в течение одного года, предшествующего моменту возникновения убытков.</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7.7. Оператор будет нести ответственность за неисполнение обязанностей Оператора электронного документооборота в размере реально причиненного ущерба при наличии вины Оператора.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7.8. Оператор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в размере причиненного ущерба при наличии вины Оператора.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7.9. Оператор не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если будет доказано, что такое неисполнение или ненадлежащее исполнение обязательств произошло по вине Абонента или иного участника документооборота.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7.10. Оператор не будет нести ответственность за содержание и достоверность информации, циркулирующей в Продукте.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7.11. Оператор не будет нести ответственность за прямые или косвенные убытки, включая упущенную выгоду, возникшие в результате применения Продукта, за исключением случаев, прямо установленных Договором.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7.12. Оператор не будет нести ответственность за неполное и/или несвоевременное представление Абонентом отчетности, а также совершение/не совершение Абонентом иных действий, необходимых для организации электронного документооборота по телекоммуникационным каналам связи с контролирующими органами.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7.13. Оператор не будет нести ответственность за действия, совершаемые пользователями Абонента в Продукте.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7.14.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7.15. Факт заключения Договора не является конфиденциальной информацией.</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7.16.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подтверждения факта нарушения одной Стороной положений настоящего пункта Договора и/или неполучения другой Стороной информации об итогах рассмотрения уведомления о нарушении другая Сторона имеет право отказаться от Договора, направив письменное уведомление.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Стороны гарантируют осуществление надлежащего разбирательства по фактам нарушения положений настоящего пункта Договора и применение эффективных мер по предотвращению возможных конфликтных ситуаций.</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7.17. Стороны освобождаются от ответственности за неисполнение или ненадлежащее исполнение условий Договора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Договор действует в обычном порядке.</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ЗАВЕРЕНИЯ ОБ ОБСТОЯТЕЛЬСТВАХ</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Каждая из Сторон заявляет и подтверждает другой Стороне, что на момент заключения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фактически находится по адресу, указанному в ЕГРЮЛ;</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располагает полномочиями, денежными, материальными и трудовыми ресурсами, а также прочими условиями, необходимыми для заключения Договора и исполнения обязательств по нему;</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все полномочия, необходимые для заключения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Стороны подтверждают, что:</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не нарушает каких-либо прав на объекты интеллектуальной собственности или иных имущественных прав какого-либо третьего лица;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исполнение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8.3. Сторона, полагавшаяся на недостоверные заверения другой Стороны, вправе досрочно расторгнуть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8.5. Абонент заверяет, что при заключении договоров с лицами, обслуживание которых намеревается осуществлять с использованием Продукта, проявил должную осмотрительность, проверил правоспособность таких лиц и полномочия их представителей. Нарушение указанного заверения может привести к незамедлительному одностороннему отказу Оператора от Договора и блокированию Абоненту доступа к Продукту.</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ОБЯЗАТЕЛЬСТВА СТОРОН В ОБЛАСТИ ОБРАБОТКИ ПЕРСОНАЛЬНЫХ ДАННЫХ</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Заключение Договора рассматривается Сторонами как поручение Оператора персональных данных (Абонента по Договору) другому лицу, предусмотренное частью 3 статьи 6 Федерального закона от 27.07.2006 № 152-ФЗ «О персональных данных». При этом Абонент поручает Оператору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Абонентом веб-форм Продукта, запись, систематизацию, накопление, хранение на сервере Оператора, уточнение (обновление, изменение) после внесения изменений Абонентом, извлечение, использование, передачу (предоставление, доступ) по телекоммуникационным каналам связи в контролирующие органы, обезличивание, блокирование, удаление, уничтожение персональных данных – исключительно с целью исполнения обязательств, предусмотренных Договором. Абонент дает поручение Оператору в отношении следующего перечня возможных персональных данных (включая, но не ограничиваясь ФИО, ИНН, СНИЛС, пол, дата и место рождения, сведения из документа, удостоверяющего личность, гражданство, место жительства, должность, контактные данные), которые Абонент может разместить в Продукте.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Абонент гарантирует: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9.2.2. что им получено согласие субъектов персональных данных на обработку принадлежащих им персональных данных, в том числе на поручение такой обработки Оператору как третьему лицу;</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 Оператор гарантирует: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9.3.1. соблюдение конфиденциальности и обеспечение безопасности обрабатываемых персональных данных;</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9.3.2. обработку персональных данных на территории Российской Федерации;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9.3.3. принятие необходимых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в отношении персональных данных, в частности: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определение угроз безопасности персональных данных при их обработке;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установление правил доступа к обрабатываемым персональным данным;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обнаружение фактов несанкционированного доступа к персональным данным и принятие мер по их пресечению;</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проведение оценки эффективности принимаемых мер по обеспечению безопасности персональных данных и контроля за принимаемыми мерами.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9.4. Оператор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Оператором на сайте </w:t>
      </w:r>
      <w:hyperlink r:id="rId13" w:history="1">
        <w:r>
          <w:rPr>
            <w:rFonts w:ascii="Times" w:hAnsi="Times" w:cs="Times"/>
            <w:color w:val="0000CD"/>
            <w:sz w:val="18"/>
            <w:szCs w:val="18"/>
          </w:rPr>
          <w:t>https://kontur.ru</w:t>
        </w:r>
      </w:hyperlink>
      <w:r>
        <w:rPr>
          <w:rFonts w:ascii="Times" w:hAnsi="Times" w:cs="Times"/>
          <w:color w:val="000000"/>
          <w:sz w:val="18"/>
          <w:szCs w:val="18"/>
        </w:rPr>
        <w:t>.</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9.5. В случае прекращения действия Договора и/или получения запроса субъекта персональных данных, содержащего отзыв согласия на обработку персональных данных, Абонент вправе направить уведомление Оператору о необходимости удаления персональных данных, размещенных в Продукте. Уведомление о необходимости удаления персональных данных по запросу субъекта, содержащего отзыв согласия на обработку персональных данных, должно быть направлено Оператору не позднее 5 (пяти) рабочих дней с момента получения такого запроса.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9.6. По требованию Оператора Абонент обязан предоставить доказательства соблюдения прав субъекта персональных данных, предусмотренных законодательством в области обработки персональных данных.</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 Оператор обязуется: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9.7.1. по письменному запросу Абонента в течение срока действия его поручения на обработку персональных данных, в том числе до обработки персональных данных, предоставлять Абоненту документы и иную информацию, подтверждающие принятие мер и соблюдение в целях исполнения поручения Абонента требований, установленных Федеральным законом Российской Федерации от 27.07.2006 № 152-ФЗ «О персональных данных»;</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9.7.2. своевременно уведомлять Абонента о случаях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9.8. Принимая условия Договора, Абонент заверяет (по смыслу ст. 431.2 Гражданского кодекса Российской Федерации) о наличии согласий субъектов персональных данных – уполномоченных лиц Абонента, контактные данные (ФИО, номер телефона, адрес электронной почты) которых передаются Абонентом Оператору, на обработку принадлежащих им персональных данных, в том числе на передачу персональных данных Оператору и Сервисным центрам в целях исполнения Договора, включая совершение массовых и (или) автоматических вызовов (все вызовы Оператора, совершаемые с его АТС).</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10. ДОПОЛНИТЕЛЬНЫЕ УСЛОВИЯ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10.1. Приложениями к Договору являются: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Спецификация;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Сублицензионный договор.</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10.2. Стороны договорились о возможности использования факсимиле подписи уполномоченного лица Оператора для подписания Договора и документов, необходимых для заключения и исполнения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Оператора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«Контур.Диадок», правообладателем которой является Оператор и использование которой для целей обмена электронными документами с Оператором в рамках Договора не будет тарифицироваться для Абонента.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10.3. Стороны обязуются информировать друг друга в течение 15 (пятнадцати) календарных дней об изменении своих реквизитов, указанных в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10.4. Принимая условия Договора, Абонент дает согласие на получение от Оператора и/или Сервисного центра дополнительной информации и информационных рассылок по указанному при регистрации, а также предоставленному Оператору и/или Сервисному центру в ходе исполнения Договора адресу электронной почты и телефону.</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10.5. Принимая условия Договора, Абонент подтверждает наличие у него законных оснований для обработки с использованием Продукта принадлежащей ему информации.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 Принимая условия Договора, Абонент соглашается на массовые и (или) автоматические телефонные вызовы (все вызовы Оператора,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Оператора на номер подвижной мобильной связи или адрес электронной почты, с которых произведено обращение, либо указанные уполномоченным лицом Абонента. Согласие распространяется в том числе, но не ограничиваясь на информирование о результатах обращения в Федеральный контакт-центр Оператора, о результатах выполнения работ, оказания услуг, о необходимости обновления/проведения необходимых доработок интеграционных модулей.</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10.7. Абонент подтверждает, что по смыслу п. 4 ст. 185 Гражданского кодекса Российской Федерации все действия, совершаемые пользователями Абонента в Продукте, признаются Сторонами совершаемыми от имени и в интересах Абонента.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 Оператор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Абонента.</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11. СВЕДЕНИЯ ОБ ОПЕРАТОРЕ</w:t>
      </w:r>
    </w:p>
    <w:tbl>
      <w:tblPr>
        <w:tblW w:w="0" w:type="auto"/>
        <w:tblLayout w:type="fixed"/>
        <w:tblCellMar>
          <w:left w:w="0" w:type="dxa"/>
          <w:right w:w="0" w:type="dxa"/>
        </w:tblCellMar>
        <w:tblLook w:val="0000" w:firstRow="0" w:lastRow="0" w:firstColumn="0" w:lastColumn="0" w:noHBand="0" w:noVBand="0"/>
      </w:tblPr>
      <w:tblGrid>
        <w:gridCol w:w="2593"/>
        <w:gridCol w:w="2593"/>
        <w:gridCol w:w="2593"/>
        <w:gridCol w:w="2593"/>
      </w:tblGrid>
      <w:tr w:rsidR="004213BB">
        <w:tblPrEx>
          <w:tblCellMar>
            <w:top w:w="0" w:type="dxa"/>
            <w:left w:w="0" w:type="dxa"/>
            <w:bottom w:w="0" w:type="dxa"/>
            <w:right w:w="0" w:type="dxa"/>
          </w:tblCellMar>
        </w:tblPrEx>
        <w:tc>
          <w:tcPr>
            <w:tcW w:w="10372" w:type="dxa"/>
            <w:gridSpan w:val="4"/>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Полное фирменное наименование: Акционерное общество «Производственная фирма «СКБ Контур»</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Сокращенное фирменное наименование: АО «ПФ «СКБ Контур»</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Юридический , Фактический адрес: 620144, Свердловская обл, г Екатеринбург, ул Народной Воли, стр 19А</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ИНН 6663003127 КПП 997750001</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Р/счет № 40702810910010025728</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в ПАО “Контур.Банк”</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кор/счет № 30101810500000000904</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БИК 046577904</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xml:space="preserve">Сайт: </w:t>
            </w:r>
            <w:hyperlink r:id="rId14" w:history="1">
              <w:r>
                <w:rPr>
                  <w:rFonts w:ascii="Times" w:hAnsi="Times" w:cs="Times"/>
                  <w:color w:val="0000CD"/>
                  <w:sz w:val="18"/>
                  <w:szCs w:val="18"/>
                </w:rPr>
                <w:t>www.kontur-extern.ru</w:t>
              </w:r>
              <w:r>
                <w:rPr>
                  <w:rFonts w:ascii="Times" w:hAnsi="Times" w:cs="Times"/>
                  <w:color w:val="000000"/>
                  <w:sz w:val="18"/>
                  <w:szCs w:val="18"/>
                </w:rPr>
                <w:t>.</w:t>
              </w:r>
            </w:hyperlink>
          </w:p>
          <w:p w:rsidR="004213BB" w:rsidRPr="00DC3B4C" w:rsidRDefault="004213BB">
            <w:pPr>
              <w:widowControl w:val="0"/>
              <w:autoSpaceDE w:val="0"/>
              <w:autoSpaceDN w:val="0"/>
              <w:adjustRightInd w:val="0"/>
              <w:spacing w:after="0" w:line="240" w:lineRule="auto"/>
              <w:rPr>
                <w:rFonts w:ascii="Times" w:hAnsi="Times" w:cs="Times"/>
                <w:color w:val="000000"/>
                <w:sz w:val="18"/>
                <w:szCs w:val="18"/>
                <w:lang w:val="en-US"/>
              </w:rPr>
            </w:pPr>
            <w:r w:rsidRPr="00DC3B4C">
              <w:rPr>
                <w:rFonts w:ascii="Times" w:hAnsi="Times" w:cs="Times"/>
                <w:color w:val="000000"/>
                <w:sz w:val="18"/>
                <w:szCs w:val="18"/>
                <w:lang w:val="en-US"/>
              </w:rPr>
              <w:t xml:space="preserve">e-mail: info@skbkontur.ru; </w:t>
            </w:r>
            <w:r>
              <w:rPr>
                <w:rFonts w:ascii="Times" w:hAnsi="Times" w:cs="Times"/>
                <w:color w:val="000000"/>
                <w:sz w:val="18"/>
                <w:szCs w:val="18"/>
              </w:rPr>
              <w:t>факс</w:t>
            </w:r>
            <w:r w:rsidRPr="00DC3B4C">
              <w:rPr>
                <w:rFonts w:ascii="Times" w:hAnsi="Times" w:cs="Times"/>
                <w:color w:val="000000"/>
                <w:sz w:val="18"/>
                <w:szCs w:val="18"/>
                <w:lang w:val="en-US"/>
              </w:rPr>
              <w:t xml:space="preserve"> (343) 228-14-43</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Служба технической поддержки: (343) 22-82-999, (343) 344-10-10</w:t>
            </w:r>
          </w:p>
        </w:tc>
      </w:tr>
      <w:tr w:rsidR="004213BB" w:rsidRPr="004213BB">
        <w:tblPrEx>
          <w:tblCellMar>
            <w:top w:w="0" w:type="dxa"/>
            <w:left w:w="0" w:type="dxa"/>
            <w:bottom w:w="0" w:type="dxa"/>
            <w:right w:w="0" w:type="dxa"/>
          </w:tblCellMar>
        </w:tblPrEx>
        <w:tc>
          <w:tcPr>
            <w:tcW w:w="10372" w:type="dxa"/>
            <w:gridSpan w:val="4"/>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12. СВЕДЕНИЯ ОБ АБОНЕНТЕ</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Наименование: УПРАВЛЕНИЕ РОССЕЛЬХОЗНАДЗОРА ПО ЗАБАЙКАЛЬСКОМУ КРАЮ</w:t>
            </w:r>
          </w:p>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Юридический адрес: 672000, Забайкальский край, г. Чита, ул. Ленинградская, д. 15А, помещ. 2</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w:t>
            </w:r>
            <w:r w:rsidRPr="004213BB">
              <w:rPr>
                <w:rFonts w:ascii="Times" w:hAnsi="Times" w:cs="Times"/>
                <w:color w:val="000000"/>
                <w:sz w:val="18"/>
                <w:szCs w:val="18"/>
              </w:rPr>
              <w:t xml:space="preserve">УФК по Приморскому краю </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sidRPr="004213BB">
              <w:rPr>
                <w:rFonts w:ascii="Times" w:hAnsi="Times" w:cs="Times"/>
                <w:color w:val="000000"/>
                <w:sz w:val="18"/>
                <w:szCs w:val="18"/>
              </w:rPr>
              <w:t>(Управление Россельхознадзора по Забайкальскому краю, л/с 03911А22970)</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sidRPr="004213BB">
              <w:rPr>
                <w:rFonts w:ascii="Times" w:hAnsi="Times" w:cs="Times"/>
                <w:color w:val="000000"/>
                <w:sz w:val="18"/>
                <w:szCs w:val="18"/>
              </w:rPr>
              <w:t>ИНН 7536104163, КПП 753601001</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sidRPr="004213BB">
              <w:rPr>
                <w:rFonts w:ascii="Times" w:hAnsi="Times" w:cs="Times"/>
                <w:color w:val="000000"/>
                <w:sz w:val="18"/>
                <w:szCs w:val="18"/>
              </w:rPr>
              <w:t>ТОФК (БИК) 010507002</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sidRPr="004213BB">
              <w:rPr>
                <w:rFonts w:ascii="Times" w:hAnsi="Times" w:cs="Times"/>
                <w:color w:val="000000"/>
                <w:sz w:val="18"/>
                <w:szCs w:val="18"/>
              </w:rPr>
              <w:t>Единый казначейский счёт: 40102810545370000012,</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sidRPr="004213BB">
              <w:rPr>
                <w:rFonts w:ascii="Times" w:hAnsi="Times" w:cs="Times"/>
                <w:color w:val="000000"/>
                <w:sz w:val="18"/>
                <w:szCs w:val="18"/>
              </w:rPr>
              <w:t>Казначейский счёт: 03211643000000012009</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sidRPr="004213BB">
              <w:rPr>
                <w:rFonts w:ascii="Times" w:hAnsi="Times" w:cs="Times"/>
                <w:color w:val="000000"/>
                <w:sz w:val="18"/>
                <w:szCs w:val="18"/>
              </w:rPr>
              <w:t>Наименование банка:</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sidRPr="004213BB">
              <w:rPr>
                <w:rFonts w:ascii="Times" w:hAnsi="Times" w:cs="Times"/>
                <w:color w:val="000000"/>
                <w:sz w:val="18"/>
                <w:szCs w:val="18"/>
              </w:rPr>
              <w:t>ОКЦ № 1 Дальневосточного ГУ Банка России//УФК по Приморскому краю, г. Владивосток</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sidRPr="004213BB">
              <w:rPr>
                <w:rFonts w:ascii="Times" w:hAnsi="Times" w:cs="Times"/>
                <w:color w:val="000000"/>
                <w:sz w:val="18"/>
                <w:szCs w:val="18"/>
              </w:rPr>
              <w:t xml:space="preserve">Телефон: 8 (3022) 28-36-10, 28-36-14 </w:t>
            </w: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r w:rsidRPr="004213BB">
              <w:rPr>
                <w:rFonts w:ascii="Times" w:hAnsi="Times" w:cs="Times"/>
                <w:color w:val="000000"/>
                <w:sz w:val="18"/>
                <w:szCs w:val="18"/>
              </w:rPr>
              <w:t>Е-</w:t>
            </w:r>
            <w:r w:rsidRPr="004213BB">
              <w:rPr>
                <w:rFonts w:ascii="Times" w:hAnsi="Times" w:cs="Times"/>
                <w:color w:val="000000"/>
                <w:sz w:val="18"/>
                <w:szCs w:val="18"/>
                <w:lang w:val="en-US"/>
              </w:rPr>
              <w:t>mail</w:t>
            </w:r>
            <w:r w:rsidRPr="004213BB">
              <w:rPr>
                <w:rFonts w:ascii="Times" w:hAnsi="Times" w:cs="Times"/>
                <w:color w:val="000000"/>
                <w:sz w:val="18"/>
                <w:szCs w:val="18"/>
              </w:rPr>
              <w:t xml:space="preserve">: </w:t>
            </w:r>
            <w:hyperlink r:id="rId15" w:history="1">
              <w:r w:rsidRPr="008E77E5">
                <w:rPr>
                  <w:rStyle w:val="a3"/>
                  <w:rFonts w:ascii="Times" w:hAnsi="Times" w:cs="Times"/>
                  <w:sz w:val="18"/>
                  <w:szCs w:val="18"/>
                  <w:lang w:val="en-US"/>
                </w:rPr>
                <w:t>tu</w:t>
              </w:r>
              <w:r w:rsidRPr="004213BB">
                <w:rPr>
                  <w:rStyle w:val="a3"/>
                  <w:rFonts w:ascii="Times" w:hAnsi="Times" w:cs="Times"/>
                  <w:sz w:val="18"/>
                  <w:szCs w:val="18"/>
                </w:rPr>
                <w:t>11-</w:t>
              </w:r>
              <w:r w:rsidRPr="008E77E5">
                <w:rPr>
                  <w:rStyle w:val="a3"/>
                  <w:rFonts w:ascii="Times" w:hAnsi="Times" w:cs="Times"/>
                  <w:sz w:val="18"/>
                  <w:szCs w:val="18"/>
                  <w:lang w:val="en-US"/>
                </w:rPr>
                <w:t>buh</w:t>
              </w:r>
              <w:r w:rsidRPr="004213BB">
                <w:rPr>
                  <w:rStyle w:val="a3"/>
                  <w:rFonts w:ascii="Times" w:hAnsi="Times" w:cs="Times"/>
                  <w:sz w:val="18"/>
                  <w:szCs w:val="18"/>
                </w:rPr>
                <w:t>@</w:t>
              </w:r>
              <w:r w:rsidRPr="008E77E5">
                <w:rPr>
                  <w:rStyle w:val="a3"/>
                  <w:rFonts w:ascii="Times" w:hAnsi="Times" w:cs="Times"/>
                  <w:sz w:val="18"/>
                  <w:szCs w:val="18"/>
                  <w:lang w:val="en-US"/>
                </w:rPr>
                <w:t>fsvps</w:t>
              </w:r>
              <w:r w:rsidRPr="004213BB">
                <w:rPr>
                  <w:rStyle w:val="a3"/>
                  <w:rFonts w:ascii="Times" w:hAnsi="Times" w:cs="Times"/>
                  <w:sz w:val="18"/>
                  <w:szCs w:val="18"/>
                </w:rPr>
                <w:t>.</w:t>
              </w:r>
              <w:r w:rsidRPr="008E77E5">
                <w:rPr>
                  <w:rStyle w:val="a3"/>
                  <w:rFonts w:ascii="Times" w:hAnsi="Times" w:cs="Times"/>
                  <w:sz w:val="18"/>
                  <w:szCs w:val="18"/>
                  <w:lang w:val="en-US"/>
                </w:rPr>
                <w:t>gov</w:t>
              </w:r>
              <w:r w:rsidRPr="004213BB">
                <w:rPr>
                  <w:rStyle w:val="a3"/>
                  <w:rFonts w:ascii="Times" w:hAnsi="Times" w:cs="Times"/>
                  <w:sz w:val="18"/>
                  <w:szCs w:val="18"/>
                </w:rPr>
                <w:t>.</w:t>
              </w:r>
              <w:r w:rsidRPr="008E77E5">
                <w:rPr>
                  <w:rStyle w:val="a3"/>
                  <w:rFonts w:ascii="Times" w:hAnsi="Times" w:cs="Times"/>
                  <w:sz w:val="18"/>
                  <w:szCs w:val="18"/>
                  <w:lang w:val="en-US"/>
                </w:rPr>
                <w:t>ru</w:t>
              </w:r>
            </w:hyperlink>
          </w:p>
          <w:p w:rsidR="004213BB" w:rsidRDefault="004213BB" w:rsidP="004213BB">
            <w:pPr>
              <w:widowControl w:val="0"/>
              <w:autoSpaceDE w:val="0"/>
              <w:autoSpaceDN w:val="0"/>
              <w:adjustRightInd w:val="0"/>
              <w:spacing w:after="0" w:line="240" w:lineRule="auto"/>
              <w:rPr>
                <w:rFonts w:ascii="Times" w:hAnsi="Times" w:cs="Times"/>
                <w:color w:val="000000"/>
                <w:sz w:val="18"/>
                <w:szCs w:val="18"/>
              </w:rPr>
            </w:pPr>
          </w:p>
          <w:p w:rsidR="004213BB" w:rsidRPr="004213BB" w:rsidRDefault="004213BB" w:rsidP="004213BB">
            <w:pPr>
              <w:widowControl w:val="0"/>
              <w:autoSpaceDE w:val="0"/>
              <w:autoSpaceDN w:val="0"/>
              <w:adjustRightInd w:val="0"/>
              <w:spacing w:after="0" w:line="240" w:lineRule="auto"/>
              <w:rPr>
                <w:rFonts w:ascii="Times" w:hAnsi="Times" w:cs="Times"/>
                <w:color w:val="000000"/>
                <w:sz w:val="18"/>
                <w:szCs w:val="18"/>
              </w:rPr>
            </w:pPr>
          </w:p>
        </w:tc>
      </w:tr>
      <w:tr w:rsidR="004213BB">
        <w:tblPrEx>
          <w:tblCellMar>
            <w:top w:w="0" w:type="dxa"/>
            <w:left w:w="0" w:type="dxa"/>
            <w:bottom w:w="0" w:type="dxa"/>
            <w:right w:w="0" w:type="dxa"/>
          </w:tblCellMar>
        </w:tblPrEx>
        <w:trPr>
          <w:gridAfter w:val="3"/>
          <w:wAfter w:w="7779" w:type="dxa"/>
        </w:trPr>
        <w:tc>
          <w:tcPr>
            <w:tcW w:w="2593"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13. ПОДПИСИ СТОРОН</w:t>
            </w:r>
          </w:p>
        </w:tc>
      </w:tr>
      <w:tr w:rsidR="004213BB">
        <w:tblPrEx>
          <w:tblCellMar>
            <w:top w:w="0" w:type="dxa"/>
            <w:left w:w="0" w:type="dxa"/>
            <w:bottom w:w="0" w:type="dxa"/>
            <w:right w:w="0" w:type="dxa"/>
          </w:tblCellMar>
        </w:tblPrEx>
        <w:tc>
          <w:tcPr>
            <w:tcW w:w="5186" w:type="dxa"/>
            <w:gridSpan w:val="2"/>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ОПЕРАТОР</w:t>
            </w:r>
          </w:p>
        </w:tc>
        <w:tc>
          <w:tcPr>
            <w:tcW w:w="5186" w:type="dxa"/>
            <w:gridSpan w:val="2"/>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АБОНЕНТ</w:t>
            </w:r>
          </w:p>
        </w:tc>
      </w:tr>
      <w:tr w:rsidR="004213BB">
        <w:tblPrEx>
          <w:tblCellMar>
            <w:top w:w="0" w:type="dxa"/>
            <w:left w:w="0" w:type="dxa"/>
            <w:bottom w:w="0" w:type="dxa"/>
            <w:right w:w="0" w:type="dxa"/>
          </w:tblCellMar>
        </w:tblPrEx>
        <w:trPr>
          <w:trHeight w:val="170"/>
        </w:trPr>
        <w:tc>
          <w:tcPr>
            <w:tcW w:w="2593" w:type="dxa"/>
            <w:tcBorders>
              <w:top w:val="nil"/>
              <w:left w:val="nil"/>
              <w:bottom w:val="single" w:sz="6" w:space="0" w:color="000000"/>
              <w:right w:val="nil"/>
            </w:tcBorders>
          </w:tcPr>
          <w:p w:rsidR="004213BB" w:rsidRDefault="004213BB">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И.Е. Левитан</w:t>
            </w:r>
          </w:p>
        </w:tc>
        <w:tc>
          <w:tcPr>
            <w:tcW w:w="2593" w:type="dxa"/>
            <w:tcBorders>
              <w:top w:val="nil"/>
              <w:left w:val="nil"/>
              <w:bottom w:val="single" w:sz="6" w:space="0" w:color="000000"/>
              <w:right w:val="nil"/>
            </w:tcBorders>
          </w:tcPr>
          <w:p w:rsidR="004213BB" w:rsidRDefault="004213BB">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 В. Грохотов</w:t>
            </w:r>
          </w:p>
        </w:tc>
      </w:tr>
      <w:tr w:rsidR="004213BB">
        <w:tblPrEx>
          <w:tblCellMar>
            <w:top w:w="0" w:type="dxa"/>
            <w:left w:w="0" w:type="dxa"/>
            <w:bottom w:w="0" w:type="dxa"/>
            <w:right w:w="0" w:type="dxa"/>
          </w:tblCellMar>
        </w:tblPrEx>
        <w:trPr>
          <w:trHeight w:val="170"/>
        </w:trPr>
        <w:tc>
          <w:tcPr>
            <w:tcW w:w="5186" w:type="dxa"/>
            <w:gridSpan w:val="2"/>
            <w:tcBorders>
              <w:top w:val="nil"/>
              <w:left w:val="nil"/>
              <w:bottom w:val="nil"/>
              <w:right w:val="nil"/>
            </w:tcBorders>
          </w:tcPr>
          <w:p w:rsidR="004213BB" w:rsidRDefault="004213BB">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c>
          <w:tcPr>
            <w:tcW w:w="5186" w:type="dxa"/>
            <w:gridSpan w:val="2"/>
            <w:tcBorders>
              <w:top w:val="nil"/>
              <w:left w:val="nil"/>
              <w:bottom w:val="nil"/>
              <w:right w:val="nil"/>
            </w:tcBorders>
          </w:tcPr>
          <w:p w:rsidR="004213BB" w:rsidRDefault="004213BB">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rsidR="004213BB" w:rsidRDefault="004213BB">
      <w:pPr>
        <w:widowControl w:val="0"/>
        <w:autoSpaceDE w:val="0"/>
        <w:autoSpaceDN w:val="0"/>
        <w:adjustRightInd w:val="0"/>
        <w:spacing w:after="0" w:line="240" w:lineRule="auto"/>
        <w:rPr>
          <w:rFonts w:ascii="Arial" w:hAnsi="Arial" w:cs="Arial"/>
          <w:sz w:val="24"/>
          <w:szCs w:val="24"/>
        </w:rPr>
        <w:sectPr w:rsidR="004213BB">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4213BB">
        <w:tblPrEx>
          <w:tblCellMar>
            <w:top w:w="0" w:type="dxa"/>
            <w:left w:w="0" w:type="dxa"/>
            <w:bottom w:w="0" w:type="dxa"/>
            <w:right w:w="0" w:type="dxa"/>
          </w:tblCellMar>
        </w:tblPrEx>
        <w:tc>
          <w:tcPr>
            <w:tcW w:w="1133"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rsidR="004213BB" w:rsidRDefault="004213BB">
            <w:pPr>
              <w:widowControl w:val="0"/>
              <w:autoSpaceDE w:val="0"/>
              <w:autoSpaceDN w:val="0"/>
              <w:adjustRightInd w:val="0"/>
              <w:spacing w:after="0" w:line="240" w:lineRule="auto"/>
              <w:jc w:val="right"/>
              <w:rPr>
                <w:rFonts w:ascii="Times" w:hAnsi="Times" w:cs="Times"/>
                <w:b/>
                <w:bCs/>
                <w:color w:val="000000"/>
                <w:sz w:val="17"/>
                <w:szCs w:val="17"/>
              </w:rPr>
            </w:pPr>
            <w:r>
              <w:rPr>
                <w:rFonts w:ascii="Times" w:hAnsi="Times" w:cs="Times"/>
                <w:b/>
                <w:bCs/>
                <w:color w:val="000000"/>
                <w:sz w:val="17"/>
                <w:szCs w:val="17"/>
              </w:rPr>
              <w:t>Приложение 1</w:t>
            </w:r>
          </w:p>
          <w:p w:rsidR="004213BB" w:rsidRDefault="004213BB" w:rsidP="009C7759">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к Договору № К102555/26 от </w:t>
            </w:r>
            <w:r w:rsidR="009C7759">
              <w:rPr>
                <w:rFonts w:ascii="Times" w:hAnsi="Times" w:cs="Times"/>
                <w:color w:val="000000"/>
                <w:sz w:val="17"/>
                <w:szCs w:val="17"/>
              </w:rPr>
              <w:t>_____________</w:t>
            </w:r>
          </w:p>
        </w:tc>
      </w:tr>
      <w:tr w:rsidR="004213BB">
        <w:tblPrEx>
          <w:tblCellMar>
            <w:top w:w="0" w:type="dxa"/>
            <w:left w:w="0" w:type="dxa"/>
            <w:bottom w:w="0" w:type="dxa"/>
            <w:right w:w="0" w:type="dxa"/>
          </w:tblCellMar>
        </w:tblPrEx>
        <w:tc>
          <w:tcPr>
            <w:tcW w:w="10600" w:type="dxa"/>
            <w:gridSpan w:val="2"/>
            <w:tcBorders>
              <w:top w:val="nil"/>
              <w:left w:val="nil"/>
              <w:bottom w:val="nil"/>
              <w:right w:val="nil"/>
            </w:tcBorders>
          </w:tcPr>
          <w:p w:rsidR="004213BB" w:rsidRDefault="004213BB">
            <w:pPr>
              <w:widowControl w:val="0"/>
              <w:autoSpaceDE w:val="0"/>
              <w:autoSpaceDN w:val="0"/>
              <w:adjustRightInd w:val="0"/>
              <w:spacing w:after="0" w:line="240" w:lineRule="auto"/>
              <w:jc w:val="center"/>
              <w:rPr>
                <w:rFonts w:ascii="Times" w:hAnsi="Times" w:cs="Times"/>
                <w:b/>
                <w:bCs/>
                <w:color w:val="000000"/>
                <w:sz w:val="17"/>
                <w:szCs w:val="17"/>
              </w:rPr>
            </w:pPr>
            <w:r>
              <w:rPr>
                <w:rFonts w:ascii="Times" w:hAnsi="Times" w:cs="Times"/>
                <w:b/>
                <w:bCs/>
                <w:color w:val="000000"/>
                <w:sz w:val="17"/>
                <w:szCs w:val="17"/>
              </w:rPr>
              <w:t xml:space="preserve">Спецификация №1 </w:t>
            </w:r>
            <w:r w:rsidR="009C7759">
              <w:rPr>
                <w:rFonts w:ascii="Times" w:hAnsi="Times" w:cs="Times"/>
                <w:b/>
                <w:bCs/>
                <w:color w:val="000000"/>
                <w:sz w:val="17"/>
                <w:szCs w:val="17"/>
              </w:rPr>
              <w:t>от __________________</w:t>
            </w:r>
          </w:p>
          <w:p w:rsidR="004213BB" w:rsidRDefault="004213BB">
            <w:pPr>
              <w:widowControl w:val="0"/>
              <w:autoSpaceDE w:val="0"/>
              <w:autoSpaceDN w:val="0"/>
              <w:adjustRightInd w:val="0"/>
              <w:spacing w:after="0" w:line="240" w:lineRule="auto"/>
              <w:jc w:val="center"/>
              <w:rPr>
                <w:rFonts w:ascii="Times" w:hAnsi="Times" w:cs="Times"/>
                <w:color w:val="000000"/>
                <w:sz w:val="17"/>
                <w:szCs w:val="17"/>
              </w:rPr>
            </w:pPr>
            <w:r>
              <w:rPr>
                <w:rFonts w:ascii="Times" w:hAnsi="Times" w:cs="Times"/>
                <w:color w:val="000000"/>
                <w:sz w:val="17"/>
                <w:szCs w:val="17"/>
              </w:rPr>
              <w:t>с УПРАВЛЕНИЕ РОССЕЛЬХОЗНАДЗОРА ПО ЗАБАЙКАЛЬСКОМУ КРАЮ (ИНН 7536104163; КПП 753601001)</w:t>
            </w:r>
          </w:p>
        </w:tc>
      </w:tr>
    </w:tbl>
    <w:p w:rsidR="004213BB" w:rsidRDefault="004213BB">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1.1. Право использования программы для ЭВМ</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4213BB">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4213BB">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Право использования программы для ЭВМ “Контур.Экстерн” по тарифному плану “Бюджетник плюс” на 1 год, с применением встроенных в сертификат/ключевой контейнер СКЗИ “КриптоПро CSP”</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9272,03</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9272,03</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9272,03</w:t>
            </w:r>
          </w:p>
        </w:tc>
      </w:tr>
      <w:tr w:rsidR="004213BB">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Без НДС</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9272,03</w:t>
            </w:r>
          </w:p>
        </w:tc>
      </w:tr>
    </w:tbl>
    <w:p w:rsidR="004213BB" w:rsidRDefault="004213BB">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1.2. Оказание услуг/выполнение работ/передача ТМЦ</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4213BB">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4213BB">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Услуги по сопровождению программы для ЭВМ “Контур.Экстерн” (техническая поддержка в виде абонентского обслуживания) по тарифному плану “Бюджетник плюс” на 1 год</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2318,01</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2318,01</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22</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509,96</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2827,97</w:t>
            </w:r>
          </w:p>
        </w:tc>
      </w:tr>
      <w:tr w:rsidR="004213BB">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509,96</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213BB" w:rsidRDefault="004213BB">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2827,97</w:t>
            </w:r>
          </w:p>
        </w:tc>
      </w:tr>
    </w:tbl>
    <w:p w:rsidR="004213BB" w:rsidRDefault="004213BB">
      <w:pPr>
        <w:widowControl w:val="0"/>
        <w:autoSpaceDE w:val="0"/>
        <w:autoSpaceDN w:val="0"/>
        <w:adjustRightInd w:val="0"/>
        <w:spacing w:before="226" w:after="0" w:line="240" w:lineRule="auto"/>
        <w:rPr>
          <w:rFonts w:ascii="Times" w:hAnsi="Times" w:cs="Times"/>
          <w:color w:val="000000"/>
          <w:sz w:val="17"/>
          <w:szCs w:val="17"/>
        </w:rPr>
      </w:pPr>
      <w:r>
        <w:rPr>
          <w:rFonts w:ascii="Times" w:hAnsi="Times" w:cs="Times"/>
          <w:color w:val="000000"/>
          <w:sz w:val="17"/>
          <w:szCs w:val="17"/>
        </w:rPr>
        <w:t>Общая стоимость Спецификации по п.1 составляет: 12100,00 руб. (двенадцать тысяч сто рублей 00 копеек), НДС, исчисленный по ставке, установленной п. 3 ст. 164 Налогового кодекса Российской Федерации, составляет: пятьсот девять рублей 96 копеек</w:t>
      </w:r>
    </w:p>
    <w:p w:rsidR="004213BB" w:rsidRDefault="004213B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p w:rsidR="004213BB" w:rsidRDefault="004213BB">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rsidR="004213BB" w:rsidRDefault="004213B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4213BB">
        <w:tblPrEx>
          <w:tblCellMar>
            <w:top w:w="0" w:type="dxa"/>
            <w:left w:w="0" w:type="dxa"/>
            <w:bottom w:w="0" w:type="dxa"/>
            <w:right w:w="0" w:type="dxa"/>
          </w:tblCellMar>
        </w:tblPrEx>
        <w:tc>
          <w:tcPr>
            <w:tcW w:w="5300" w:type="dxa"/>
            <w:gridSpan w:val="2"/>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ОПЕРАТОР</w:t>
            </w:r>
          </w:p>
        </w:tc>
        <w:tc>
          <w:tcPr>
            <w:tcW w:w="5300" w:type="dxa"/>
            <w:gridSpan w:val="2"/>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АБОНЕНТ</w:t>
            </w:r>
          </w:p>
        </w:tc>
      </w:tr>
      <w:tr w:rsidR="004213BB">
        <w:tblPrEx>
          <w:tblCellMar>
            <w:top w:w="0" w:type="dxa"/>
            <w:left w:w="0" w:type="dxa"/>
            <w:bottom w:w="0" w:type="dxa"/>
            <w:right w:w="0" w:type="dxa"/>
          </w:tblCellMar>
        </w:tblPrEx>
        <w:tc>
          <w:tcPr>
            <w:tcW w:w="5300" w:type="dxa"/>
            <w:gridSpan w:val="2"/>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АО «ПФ «СКБ Контур»</w:t>
            </w:r>
          </w:p>
        </w:tc>
        <w:tc>
          <w:tcPr>
            <w:tcW w:w="5300" w:type="dxa"/>
            <w:gridSpan w:val="2"/>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УПРАВЛЕНИЕ РОССЕЛЬХОЗНАДЗОРА ПО ЗАБАЙКАЛЬСКОМУ КРАЮ</w:t>
            </w:r>
          </w:p>
        </w:tc>
      </w:tr>
      <w:tr w:rsidR="004213BB">
        <w:tblPrEx>
          <w:tblCellMar>
            <w:top w:w="0" w:type="dxa"/>
            <w:left w:w="0" w:type="dxa"/>
            <w:bottom w:w="0" w:type="dxa"/>
            <w:right w:w="0" w:type="dxa"/>
          </w:tblCellMar>
        </w:tblPrEx>
        <w:tc>
          <w:tcPr>
            <w:tcW w:w="5300" w:type="dxa"/>
            <w:gridSpan w:val="2"/>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Советник генерального директора по правовым вопросам</w:t>
            </w:r>
          </w:p>
        </w:tc>
        <w:tc>
          <w:tcPr>
            <w:tcW w:w="5300" w:type="dxa"/>
            <w:gridSpan w:val="2"/>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Руководитель</w:t>
            </w:r>
          </w:p>
        </w:tc>
      </w:tr>
      <w:tr w:rsidR="004213BB">
        <w:tblPrEx>
          <w:tblCellMar>
            <w:top w:w="0" w:type="dxa"/>
            <w:left w:w="0" w:type="dxa"/>
            <w:bottom w:w="0" w:type="dxa"/>
            <w:right w:w="0" w:type="dxa"/>
          </w:tblCellMar>
        </w:tblPrEx>
        <w:tc>
          <w:tcPr>
            <w:tcW w:w="2650" w:type="dxa"/>
            <w:tcBorders>
              <w:top w:val="nil"/>
              <w:left w:val="nil"/>
              <w:bottom w:val="single" w:sz="6" w:space="0" w:color="000000"/>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И.Е. Левитан</w:t>
            </w:r>
          </w:p>
        </w:tc>
        <w:tc>
          <w:tcPr>
            <w:tcW w:w="2650" w:type="dxa"/>
            <w:tcBorders>
              <w:top w:val="nil"/>
              <w:left w:val="nil"/>
              <w:bottom w:val="single" w:sz="6" w:space="0" w:color="000000"/>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А. В. Грохотов</w:t>
            </w:r>
          </w:p>
        </w:tc>
      </w:tr>
      <w:tr w:rsidR="004213BB">
        <w:tblPrEx>
          <w:tblCellMar>
            <w:top w:w="0" w:type="dxa"/>
            <w:left w:w="0" w:type="dxa"/>
            <w:bottom w:w="0" w:type="dxa"/>
            <w:right w:w="0" w:type="dxa"/>
          </w:tblCellMar>
        </w:tblPrEx>
        <w:tc>
          <w:tcPr>
            <w:tcW w:w="2650" w:type="dxa"/>
            <w:tcBorders>
              <w:top w:val="nil"/>
              <w:left w:val="nil"/>
              <w:bottom w:val="nil"/>
              <w:right w:val="nil"/>
            </w:tcBorders>
          </w:tcPr>
          <w:p w:rsidR="004213BB" w:rsidRDefault="004213BB">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4213BB" w:rsidRDefault="004213BB">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7"/>
                <w:szCs w:val="17"/>
              </w:rPr>
            </w:pPr>
          </w:p>
        </w:tc>
      </w:tr>
    </w:tbl>
    <w:p w:rsidR="004213BB" w:rsidRDefault="004213BB">
      <w:pPr>
        <w:widowControl w:val="0"/>
        <w:autoSpaceDE w:val="0"/>
        <w:autoSpaceDN w:val="0"/>
        <w:adjustRightInd w:val="0"/>
        <w:spacing w:after="0" w:line="240" w:lineRule="auto"/>
        <w:rPr>
          <w:rFonts w:ascii="Arial" w:hAnsi="Arial" w:cs="Arial"/>
          <w:sz w:val="24"/>
          <w:szCs w:val="24"/>
        </w:rPr>
        <w:sectPr w:rsidR="004213BB">
          <w:pgSz w:w="11905" w:h="16837"/>
          <w:pgMar w:top="623" w:right="623" w:bottom="623" w:left="907" w:header="720" w:footer="720" w:gutter="0"/>
          <w:cols w:space="720"/>
          <w:noEndnote/>
        </w:sectPr>
      </w:pPr>
    </w:p>
    <w:p w:rsidR="004213BB" w:rsidRDefault="004213BB">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Приложение 2</w:t>
      </w:r>
    </w:p>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ЛИЦЕНЗИОННЫЙ ДОГОВОР № К102555/26</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4213BB">
        <w:tblPrEx>
          <w:tblCellMar>
            <w:top w:w="0" w:type="dxa"/>
            <w:left w:w="0" w:type="dxa"/>
            <w:bottom w:w="0" w:type="dxa"/>
            <w:right w:w="0" w:type="dxa"/>
          </w:tblCellMar>
        </w:tblPrEx>
        <w:tc>
          <w:tcPr>
            <w:tcW w:w="8277"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Екатеринбург</w:t>
            </w:r>
          </w:p>
        </w:tc>
        <w:tc>
          <w:tcPr>
            <w:tcW w:w="2097" w:type="dxa"/>
            <w:tcBorders>
              <w:top w:val="nil"/>
              <w:left w:val="nil"/>
              <w:bottom w:val="nil"/>
              <w:right w:val="nil"/>
            </w:tcBorders>
          </w:tcPr>
          <w:p w:rsidR="004213BB" w:rsidRDefault="009C7759">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_____________________</w:t>
            </w:r>
          </w:p>
        </w:tc>
      </w:tr>
    </w:tbl>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Лицензионный договор является офертой АО «ПФ «СКБ Контур», именуемого в дальнейшем Лицензиар, Пользователю − юридическому лицу, именуемому в дальнейшем Лицензиат, заключающему с АО «ПФ «СКБ Контур» Договор на право использования программы для ЭВМ «Контур.Экстерн» и оказание услуг по сопровождению (технической поддержке) (далее – Договор). Лицензионный договор признается заключенным с момента его акцепта Лицензиатом. Под акцептом в целях Лицензионного договора признается факт начала использования Продукта или факт оплаты вознаграждения по Договору, в зависимости от того, какое событие наступит раньше.</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Лицензиату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Лицензионного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Лицензиар предоставляет Лицензиату право использования Продукта на условиях простой (неисключительной) лицензии.</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Исключительные права на Продукт принадлежат Лицензиару и охраняются как объект интеллектуальной собственности.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3.3. Свидетельство о государственной регистрации прав на Продукт официально публикуется на сайте Лицензиара </w:t>
      </w:r>
      <w:hyperlink r:id="rId16" w:history="1">
        <w:r>
          <w:rPr>
            <w:rFonts w:ascii="Times" w:hAnsi="Times" w:cs="Times"/>
            <w:color w:val="0000CD"/>
            <w:sz w:val="18"/>
            <w:szCs w:val="18"/>
          </w:rPr>
          <w:t>https://kontur.ru/about/licences</w:t>
        </w:r>
      </w:hyperlink>
      <w:r>
        <w:rPr>
          <w:rFonts w:ascii="Times" w:hAnsi="Times" w:cs="Times"/>
          <w:color w:val="000000"/>
          <w:sz w:val="18"/>
          <w:szCs w:val="18"/>
        </w:rPr>
        <w:t>.</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Продукт внесен в единый реестр российских программ для электронных вычислительных машин и баз данных 29.04.2016, регистрационный номер 523.</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3.6.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Гарантии Лицензиара. Условия использования (объем предоставляемых прав)</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Лицензиар гарантирует: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что является обладателем исключительных прав на Продукт, и что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4.1.2. что Продукт сертифицирован в соответствии с законодательством Российской Федерации. Данные по сертификации расположены на сайте по адресу </w:t>
      </w:r>
      <w:hyperlink r:id="rId17" w:history="1">
        <w:r>
          <w:rPr>
            <w:rFonts w:ascii="Times" w:hAnsi="Times" w:cs="Times"/>
            <w:color w:val="0000CD"/>
            <w:sz w:val="18"/>
            <w:szCs w:val="18"/>
          </w:rPr>
          <w:t>https://kontur.ru</w:t>
        </w:r>
      </w:hyperlink>
      <w:r>
        <w:rPr>
          <w:rFonts w:ascii="Times" w:hAnsi="Times" w:cs="Times"/>
          <w:color w:val="000000"/>
          <w:sz w:val="18"/>
          <w:szCs w:val="18"/>
        </w:rPr>
        <w:t>;</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4.1.3. что Продукт будет соответствовать функциональности, описанной в Пользовательской документации, публикуемой на сайте </w:t>
      </w:r>
      <w:hyperlink r:id="rId18" w:history="1">
        <w:r>
          <w:rPr>
            <w:rFonts w:ascii="Times" w:hAnsi="Times" w:cs="Times"/>
            <w:color w:val="0000CD"/>
            <w:sz w:val="18"/>
            <w:szCs w:val="18"/>
          </w:rPr>
          <w:t>https://support.kontur.ru/extern</w:t>
        </w:r>
      </w:hyperlink>
      <w:r>
        <w:rPr>
          <w:rFonts w:ascii="Times" w:hAnsi="Times" w:cs="Times"/>
          <w:color w:val="000000"/>
          <w:sz w:val="18"/>
          <w:szCs w:val="18"/>
        </w:rPr>
        <w:t>;</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защиту информации, обрабатываемой на сервере Лицензиара, от несанкционированного доступа;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своевременное обновление вспомогательного программного обеспечения на сервере Лицензиара;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4.1.6. круглосуточную доступность сервера Лицензиара, за исключением времени проведения профилактических работ.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Лицензиату предоставляется право не отправлять отчеты об использовании Продукта Лицензиару.</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Порядок предоставления доступа и способы использования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Неисключительное право использования Продукта предоставляется Лицензиату путем открытия доступа к серверу Лицензиара и необходимым для функционирования Продукта дистрибутивам программных компонентов на срок, установленный оплаченным Тарифным планом.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При этом Лицензиат может использовать Продукт следующими способами: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круглосуточно получать доступ к серверу Лицензиара, за исключением времени проведения профилактических работ, и воспроизводить графическую часть (рабочий интерфейс) на экране персонального компьютера;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самостоятельно осуществлять интеграцию информационных систем Лицензиата с Продуктом с использованием API;</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все функциональные возможности Продукта, описанные Тарифным планом в Прайс-листе Лицензиара;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размножать Пользовательскую документацию Продукта для личного использования;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для оказания собственных услуг третьим лицам при условии приобретения Тарифного плана, предусматривающего такую возможность.</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Лицензиат не вправе: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законодательства;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копировать, модифицировать, декомпилировать, деассемблировать Продукт;</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Пользовательской документации;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Территория действия Лицензионного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Лицензионный договор действует на всей территории Российской Федерации.</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Срок действия Лицензионного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Лицензионный договор действует с момента его акцепта Лицензиатом в течение срока действия Договора на право использования программы для ЭВМ «Контур.Экстерн» и оказание услуг по сопровождению (технической поддержке).</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Вознаграждение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Лицензиат уплачивает по Лицензионному договору вознаграждение Лицензиару в размере и на условиях согласно Договору на право использования программы для ЭВМ «Контур.Экстерн» и оказание услуг по сопровождению (технической поддержке).</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Прочие условия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Все иные условия, не урегулированные Лицензионным договором, регулируются Договором на право использования программы для ЭВМ «Контур.Экстерн» и оказание услуг по сопровождению (технической поддержке).</w:t>
      </w:r>
    </w:p>
    <w:p w:rsidR="004213BB" w:rsidRDefault="004213BB">
      <w:pPr>
        <w:widowControl w:val="0"/>
        <w:autoSpaceDE w:val="0"/>
        <w:autoSpaceDN w:val="0"/>
        <w:adjustRightInd w:val="0"/>
        <w:spacing w:after="0" w:line="240" w:lineRule="auto"/>
        <w:rPr>
          <w:rFonts w:ascii="Arial" w:hAnsi="Arial" w:cs="Arial"/>
          <w:sz w:val="24"/>
          <w:szCs w:val="24"/>
        </w:rPr>
        <w:sectPr w:rsidR="004213BB">
          <w:pgSz w:w="11905" w:h="16837"/>
          <w:pgMar w:top="623" w:right="623" w:bottom="623" w:left="907" w:header="720" w:footer="720" w:gutter="0"/>
          <w:cols w:space="720"/>
          <w:noEndnote/>
        </w:sectPr>
      </w:pPr>
    </w:p>
    <w:p w:rsidR="004213BB" w:rsidRDefault="004213BB">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Приложение 3</w:t>
      </w:r>
    </w:p>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СУБЛИЦЕНЗИОННЫЙ ДОГОВОР № К102555/26</w:t>
      </w:r>
    </w:p>
    <w:p w:rsidR="004213BB" w:rsidRDefault="004213B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использование программы для ЭВМ СКЗИ «КриптоПро»</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4213BB">
        <w:tblPrEx>
          <w:tblCellMar>
            <w:top w:w="0" w:type="dxa"/>
            <w:left w:w="0" w:type="dxa"/>
            <w:bottom w:w="0" w:type="dxa"/>
            <w:right w:w="0" w:type="dxa"/>
          </w:tblCellMar>
        </w:tblPrEx>
        <w:tc>
          <w:tcPr>
            <w:tcW w:w="8277" w:type="dxa"/>
            <w:tcBorders>
              <w:top w:val="nil"/>
              <w:left w:val="nil"/>
              <w:bottom w:val="nil"/>
              <w:right w:val="nil"/>
            </w:tcBorders>
          </w:tcPr>
          <w:p w:rsidR="004213BB" w:rsidRDefault="004213BB">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Екатеринбург</w:t>
            </w:r>
          </w:p>
        </w:tc>
        <w:tc>
          <w:tcPr>
            <w:tcW w:w="2097" w:type="dxa"/>
            <w:tcBorders>
              <w:top w:val="nil"/>
              <w:left w:val="nil"/>
              <w:bottom w:val="nil"/>
              <w:right w:val="nil"/>
            </w:tcBorders>
          </w:tcPr>
          <w:p w:rsidR="004213BB" w:rsidRDefault="009A51A5">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___________________</w:t>
            </w:r>
          </w:p>
        </w:tc>
      </w:tr>
    </w:tbl>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Сублицензионный договор является офертой АО «ПФ «СКБ Контур» именуемого в дальнейшем Лицензиат, Пользователю − физическому или юридическому лицу, именуемому в дальнейшем Сублицензиат, заключающему с АО «ПФ «СКБ Контур» Договор на право использования программы для ЭВМ «Контур.Экстерн» и оказание услуг по сопровождению (технической поддержке) (далее – Договор). Сублицензионный договор признается заключенным с момента его акцепта Сублицензиатом. Под акцептом в целях Сублицензионного договора признается факт оплаты вознаграждения по Договору, либо факт получения сертификата ключа проверки электронной подписи, в составе которого имеется лицензия на использование программы для ЭВМ СКЗИ «КриптоПро», либо факт передачи Лицензиатом Сублицензиату лицензии на использование программы для ЭВМ СКЗИ «КриптоПро», в зависимости от того какое событие наступит раньше.</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Договора Стороны согласовывают финансовые условия путем подписания Спецификаций, и/или в выставленном Лицензиатом счете.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Документация − печатные материалы и носители, содержащие документы в электронном виде. Документация является неотъемлемой частью СКЗИ.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Сертификат ключа – сертификат ключа проверки электронной подписи.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Лицензия в составе сертификата ключа – программные алгоритмы, встроенные в сертификат ключа, позволяющие активировать СКЗИ, установленное на рабочем месте. Не сопровождается бланком лицензии.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Лицензия, встроенная в ключевой контейнер, − серийный номер, привязанный к ключевому контейнеру, позволяющий активировать СКЗИ, установленные на рабочем месте. Не сопровождается бланком лицензии.</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Сублицензионного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Предметом Сублицензионного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Сублицензионного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Право использования СКЗИ предоставляется только Сублицензиату (и никаким иным третьим лицам), за исключением случаев, когда Договором предусмотрено наличие Конечных пользователей, список которых устанавливается в указанном Договоре или приложении к нему. В таких случаях право использования СКЗИ предоставляется также Конечным пользователям.</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Средство криптографической защиты информации «КриптоПро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5.0, установленное на рабочем месте Сублицензиата.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Право использования СКЗИ предоставляется Сублицензиату исключительно в объеме, оговоренном Сублицензионным договором, если нет письменного согласия Правообладателя на иное.</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Условия использования СКЗИ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Сублицензиат не имеет права осуществлять следующую деятельность:</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допускать использование СКЗИ лицами, не имеющими прав на такое использование;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дизассемблировать (анализировать и исследовать объектный код), декомпилировать (преобразовывать объектный код в исходный текст), адаптировать и модифицировать СКЗИ;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Территория действия Сублицензионного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Сублицензионный договор действует на территории всего мира.</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Сублицензионного договора и передаваемых прав использования (лицензии)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Сублицензионный договор вступает в силу с момента его акцепта Сублицензиатом и действует в течение срока, установленного заключенным между Лицензиатом и Сублицензиатом Договором и автоматически пролонгируется на срок и по условиям пролонгации Договора.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Передача бессрочных лицензий осуществляется на весь период действия исключительного права Правообладателя.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Передача лицензий в составе сертификата ключа осуществляется на срок, указанный в таком сертификате. В случае досрочного прекращения срока действия сертификата ключа по любой причине – досрочно прекращается срок действия лицензии.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расшифрования и проверки электронной подписи.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прекращения срока действия сертификата ключа по любой причине – досрочно прекращается срок действия лицензии.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расшифрования и проверки электронной подписи.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6.7. В случае нарушения условий Сублицензионного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быть уничтожены, бланки лицензий возвращены.</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Вознаграждение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Сублицензиат уплачивает Лицензиату по Сублицензионному договору вознаграждение в размере и на условиях согласно заключенному между Лицензиатом и Сублицензиатом Договору.</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Количество лицензий и общий размер лицензионного вознаграждения устанавливаются Лицензиатом в Договоре.</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Ответственность</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Сублицензиат приобретает право использования СКЗИ в объеме, оговоренном Сублицензионным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Незаконное использование СКЗИ является нарушением законодательства Российской Федерации и преследуется по закону.</w:t>
      </w:r>
    </w:p>
    <w:p w:rsidR="004213BB" w:rsidRDefault="004213B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Гарантии изготовителя (Правообладателя)</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rsidR="004213BB" w:rsidRDefault="004213B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p>
    <w:sectPr w:rsidR="004213BB">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B4C"/>
    <w:rsid w:val="001F75C5"/>
    <w:rsid w:val="004213BB"/>
    <w:rsid w:val="00520256"/>
    <w:rsid w:val="005B69E6"/>
    <w:rsid w:val="008E77E5"/>
    <w:rsid w:val="009A51A5"/>
    <w:rsid w:val="009C7759"/>
    <w:rsid w:val="00A33242"/>
    <w:rsid w:val="00B65ADC"/>
    <w:rsid w:val="00C755CA"/>
    <w:rsid w:val="00CE135D"/>
    <w:rsid w:val="00DC3B4C"/>
    <w:rsid w:val="00FE15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86513F6-1A65-4B6C-AC65-C0358205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213BB"/>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ntur.ru/contacts/all" TargetMode="External"/><Relationship Id="rId13" Type="http://schemas.openxmlformats.org/officeDocument/2006/relationships/hyperlink" Target="https://kontur.ru" TargetMode="External"/><Relationship Id="rId18" Type="http://schemas.openxmlformats.org/officeDocument/2006/relationships/hyperlink" Target="https://support.kontur.ru/extern" TargetMode="External"/><Relationship Id="rId3" Type="http://schemas.openxmlformats.org/officeDocument/2006/relationships/webSettings" Target="webSettings.xml"/><Relationship Id="rId7" Type="http://schemas.openxmlformats.org/officeDocument/2006/relationships/hyperlink" Target="https://support.kontur.ru/extern" TargetMode="External"/><Relationship Id="rId12" Type="http://schemas.openxmlformats.org/officeDocument/2006/relationships/hyperlink" Target="https://support.kontur.ru/extern" TargetMode="External"/><Relationship Id="rId17" Type="http://schemas.openxmlformats.org/officeDocument/2006/relationships/hyperlink" Target="https://kontur.ru" TargetMode="External"/><Relationship Id="rId2" Type="http://schemas.openxmlformats.org/officeDocument/2006/relationships/settings" Target="settings.xml"/><Relationship Id="rId16" Type="http://schemas.openxmlformats.org/officeDocument/2006/relationships/hyperlink" Target="https://kontur.ru/about/licences"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a.kontur.ru" TargetMode="External"/><Relationship Id="rId11" Type="http://schemas.openxmlformats.org/officeDocument/2006/relationships/hyperlink" Target="https://kontur.ru/about/licences" TargetMode="External"/><Relationship Id="rId5" Type="http://schemas.openxmlformats.org/officeDocument/2006/relationships/hyperlink" Target="https://www.kontur-extern.ru" TargetMode="External"/><Relationship Id="rId15" Type="http://schemas.openxmlformats.org/officeDocument/2006/relationships/hyperlink" Target="mailto:tu11-buh@fsvps.gov.ru" TargetMode="External"/><Relationship Id="rId10" Type="http://schemas.openxmlformats.org/officeDocument/2006/relationships/hyperlink" Target="https://www.kontur.ru/extern"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kontur-extern.ru/support/start" TargetMode="External"/><Relationship Id="rId14" Type="http://schemas.openxmlformats.org/officeDocument/2006/relationships/hyperlink" Target="http://www.kontur-exter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7761</Words>
  <Characters>44244</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Сошникова Елена Анатольевна</dc:creator>
  <cp:keywords/>
  <dc:description/>
  <cp:lastModifiedBy>Сошникова Елена Анатольевна</cp:lastModifiedBy>
  <cp:revision>2</cp:revision>
  <dcterms:created xsi:type="dcterms:W3CDTF">2026-09-16T01:09:00Z</dcterms:created>
  <dcterms:modified xsi:type="dcterms:W3CDTF">2026-09-16T01:09:00Z</dcterms:modified>
</cp:coreProperties>
</file>