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Определение и обоснование начальной цены единицы услуги, начальной суммы цен указанных единиц, максимального значения цены контракта.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284" w:firstLine="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Управление Федеральной службы государственной регистрации, кадастра и картографии по </w:t>
      </w:r>
      <w:r>
        <w:rPr>
          <w:sz w:val="22"/>
          <w:szCs w:val="22"/>
        </w:rPr>
        <w:t xml:space="preserve">Республике Алтай</w:t>
      </w:r>
      <w:r>
        <w:rPr>
          <w:sz w:val="22"/>
          <w:szCs w:val="22"/>
        </w:rPr>
        <w:t xml:space="preserve"> (далее – Управление) является федеральным органом исполнительной власти, осуще</w:t>
      </w:r>
      <w:r>
        <w:rPr>
          <w:sz w:val="22"/>
          <w:szCs w:val="22"/>
        </w:rPr>
        <w:t xml:space="preserve">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осуществления государственного кадастрового учета недвижимого имущества,</w:t>
      </w:r>
      <w:r>
        <w:rPr>
          <w:sz w:val="22"/>
          <w:szCs w:val="22"/>
        </w:rPr>
        <w:t xml:space="preserve"> землеустройства, государственного мониторинга земель, геодезии и картографии, а также функции по государственной кадастровой оценке, осуществлению федерального государственного надзора в области геодезии и картографии, государственного земельного надзора.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Контракт на оказание услуг беспроводной связи (подвижной радиотелефонной связи стандарта GSM 900/1800) Управлению (далее – подвижная связь) заключается с единственным поставщиком в соответствии с пунктом 4 части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jc w:val="both"/>
        <w:rPr>
          <w:b/>
          <w:sz w:val="22"/>
          <w:szCs w:val="22"/>
          <w:highlight w:val="yellow"/>
        </w:rPr>
      </w:pPr>
      <w:r>
        <w:rPr>
          <w:sz w:val="22"/>
          <w:szCs w:val="22"/>
        </w:rPr>
        <w:t xml:space="preserve">Закупка услуг подвижной связи осуществляется в целях оперативного решения вопросов служебной деятельности и обеспечения деятельности Управления.</w:t>
      </w:r>
      <w:r>
        <w:rPr>
          <w:b/>
          <w:sz w:val="22"/>
          <w:szCs w:val="22"/>
          <w:highlight w:val="yellow"/>
        </w:rPr>
        <w:t xml:space="preserve"> </w:t>
      </w:r>
      <w:r>
        <w:rPr>
          <w:b/>
          <w:sz w:val="22"/>
          <w:szCs w:val="22"/>
          <w:highlight w:val="yellow"/>
        </w:rPr>
      </w:r>
      <w:r>
        <w:rPr>
          <w:b/>
          <w:sz w:val="22"/>
          <w:szCs w:val="22"/>
          <w:highlight w:val="yellow"/>
        </w:rPr>
      </w:r>
    </w:p>
    <w:p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tbl>
      <w:tblPr>
        <w:tblW w:w="5130" w:type="pct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39"/>
        <w:gridCol w:w="11524"/>
      </w:tblGrid>
      <w:tr>
        <w:tblPrEx/>
        <w:trPr>
          <w:trHeight w:val="4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39" w:type="dxa"/>
            <w:textDirection w:val="lrTb"/>
            <w:noWrap w:val="false"/>
          </w:tcPr>
          <w:p>
            <w:pPr>
              <w:ind w:left="57" w:right="57" w:hanging="57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Наименование объекта закупки</w:t>
            </w:r>
            <w:r>
              <w:rPr>
                <w:b/>
                <w:bCs/>
                <w:lang w:eastAsia="ar-SA"/>
              </w:rPr>
            </w:r>
            <w:r>
              <w:rPr>
                <w:b/>
                <w:bCs/>
                <w:lang w:eastAsia="ar-SA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4" w:type="dxa"/>
            <w:vAlign w:val="center"/>
            <w:textDirection w:val="lrTb"/>
            <w:noWrap w:val="false"/>
          </w:tcPr>
          <w:p>
            <w:pPr>
              <w:ind w:left="57" w:firstLine="11"/>
              <w:rPr>
                <w:lang w:eastAsia="ar-SA"/>
              </w:rPr>
            </w:pPr>
            <w:r>
              <w:rPr>
                <w:lang w:eastAsia="ar-SA"/>
              </w:rPr>
              <w:t xml:space="preserve">Услуги беспроводной связи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39" w:type="dxa"/>
            <w:textDirection w:val="lrTb"/>
            <w:noWrap w:val="false"/>
          </w:tcPr>
          <w:p>
            <w:pPr>
              <w:ind w:right="57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Используемый метод определения НМЦК с обоснованием:</w:t>
            </w:r>
            <w:r>
              <w:rPr>
                <w:b/>
                <w:bCs/>
                <w:lang w:eastAsia="ar-SA"/>
              </w:rPr>
            </w:r>
            <w:r>
              <w:rPr>
                <w:b/>
                <w:bCs/>
                <w:lang w:eastAsia="ar-SA"/>
              </w:rPr>
            </w:r>
          </w:p>
          <w:p>
            <w:pPr>
              <w:ind w:right="57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</w:r>
            <w:r>
              <w:rPr>
                <w:b/>
                <w:bCs/>
                <w:lang w:eastAsia="ar-SA"/>
              </w:rPr>
            </w:r>
            <w:r>
              <w:rPr>
                <w:b/>
                <w:bCs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4" w:type="dxa"/>
            <w:vAlign w:val="center"/>
            <w:textDirection w:val="lrTb"/>
            <w:noWrap w:val="false"/>
          </w:tcPr>
          <w:p>
            <w:pPr>
              <w:ind w:left="57" w:firstLine="11"/>
              <w:rPr>
                <w:lang w:eastAsia="ar-SA"/>
              </w:rPr>
            </w:pPr>
            <w:r>
              <w:rPr>
                <w:lang w:eastAsia="ar-SA"/>
              </w:rPr>
              <w:t xml:space="preserve">Метод сопоставимых рыночных цен (анализ рынка) на основании ценовой информации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</w:tr>
      <w:tr>
        <w:tblPrEx/>
        <w:trPr>
          <w:trHeight w:val="353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39" w:type="dxa"/>
            <w:textDirection w:val="lrTb"/>
            <w:noWrap w:val="false"/>
          </w:tcPr>
          <w:p>
            <w:pPr>
              <w:ind w:left="57" w:right="57" w:hanging="57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Расчет НМЦК</w:t>
            </w:r>
            <w:r>
              <w:rPr>
                <w:b/>
                <w:bCs/>
                <w:lang w:eastAsia="ar-SA"/>
              </w:rPr>
            </w:r>
            <w:r>
              <w:rPr>
                <w:b/>
                <w:bCs/>
                <w:lang w:eastAsia="ar-SA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524" w:type="dxa"/>
            <w:textDirection w:val="lrTb"/>
            <w:noWrap w:val="false"/>
          </w:tcPr>
          <w:p>
            <w:pPr>
              <w:ind w:right="230" w:firstLine="312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Для определения НМЦК Заказчиком использован метод сопоставимых рыночных цен (ст. 22 Федерального закона от 05.</w:t>
            </w:r>
            <w:r>
              <w:rPr>
                <w:lang w:eastAsia="ar-SA"/>
              </w:rPr>
              <w:t xml:space="preserve">04.2013 № 44-ФЗ «О контрактной системе в сфере закупок товаров, работ, услуг для обеспечения государственных и муниципальных нужд»). Расчёт НМЦК произведён с учётом методических рекомендаций, утверждённых Приказом Министерства экономического развития РФ от</w:t>
            </w:r>
            <w:r>
              <w:rPr>
                <w:lang w:eastAsia="ar-SA"/>
              </w:rPr>
              <w:t xml:space="preserve">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(далее – Методические рекомендации).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right="230" w:firstLine="312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В соответствии с пп. 3.7.1 части </w:t>
            </w:r>
            <w:r>
              <w:rPr>
                <w:lang w:val="en-US" w:eastAsia="ar-SA"/>
              </w:rPr>
              <w:t xml:space="preserve">III</w:t>
            </w:r>
            <w:r>
              <w:rPr>
                <w:lang w:eastAsia="ar-SA"/>
              </w:rPr>
              <w:t xml:space="preserve"> Методических рекомендаций направлены запросы о предоставлении ценовой информации </w:t>
            </w:r>
            <w:r>
              <w:rPr>
                <w:lang w:eastAsia="ar-SA"/>
              </w:rPr>
              <w:t xml:space="preserve">пят</w:t>
            </w:r>
            <w:r>
              <w:rPr>
                <w:lang w:eastAsia="ar-SA"/>
              </w:rPr>
              <w:t xml:space="preserve">и поставщикам, обладающих опытом оказания подобных услуг. В результате, получены ответы, содержащие необходимую информацию, от </w:t>
            </w:r>
            <w:r>
              <w:rPr>
                <w:lang w:eastAsia="ar-SA"/>
              </w:rPr>
              <w:t xml:space="preserve">трех </w:t>
            </w:r>
            <w:r>
              <w:rPr>
                <w:lang w:eastAsia="ar-SA"/>
              </w:rPr>
              <w:t xml:space="preserve">поставщик</w:t>
            </w:r>
            <w:r>
              <w:rPr>
                <w:lang w:eastAsia="ar-SA"/>
              </w:rPr>
              <w:t xml:space="preserve">ов</w:t>
            </w:r>
            <w:r>
              <w:rPr>
                <w:lang w:eastAsia="ar-SA"/>
              </w:rPr>
              <w:t xml:space="preserve">.</w:t>
            </w:r>
            <w:r>
              <w:rPr>
                <w:lang w:eastAsia="ar-SA"/>
              </w:rPr>
              <w:t xml:space="preserve">  </w:t>
            </w:r>
            <w:r>
              <w:rPr>
                <w:color w:val="ff0000"/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В соответствии с произведенными расчетами и представленными коммерческими предложениями, с учетом принципа эффективности использования бюджетных средств, закрепленного в с</w:t>
            </w:r>
            <w:r>
              <w:rPr>
                <w:lang w:eastAsia="ar-SA"/>
              </w:rPr>
              <w:t xml:space="preserve">т. 34. БК РФ, письма Министерства финансов РФ от 16 июня 2017 г. N 24-01-10/37713, и выделенных на данные цели лимитов бюджетных обязательств, Заказчиком принято решение указать наименьшую цену из представленных в обосновании НМЦК коммерческих предложений.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right="230" w:firstLine="312"/>
              <w:jc w:val="both"/>
              <w:rPr>
                <w:highlight w:val="white"/>
              </w:rPr>
            </w:pPr>
            <w:r>
              <w:rPr>
                <w:lang w:eastAsia="ar-SA"/>
              </w:rPr>
              <w:t xml:space="preserve"> </w:t>
            </w:r>
            <w:r>
              <w:rPr>
                <w:highlight w:val="white"/>
                <w:lang w:eastAsia="ar-SA"/>
              </w:rPr>
              <w:t xml:space="preserve"> </w:t>
            </w:r>
            <w:r>
              <w:rPr>
                <w:highlight w:val="white"/>
                <w:lang w:eastAsia="ar-SA"/>
              </w:rPr>
              <w:t xml:space="preserve"> </w:t>
            </w:r>
            <w:r>
              <w:rPr>
                <w:highlight w:val="white"/>
                <w:lang w:eastAsia="ar-SA"/>
              </w:rPr>
              <w:t xml:space="preserve">Н</w:t>
            </w:r>
            <w:r>
              <w:rPr>
                <w:highlight w:val="white"/>
                <w:lang w:eastAsia="ar-SA"/>
              </w:rPr>
              <w:t xml:space="preserve">МЦК составляет</w:t>
            </w:r>
            <w:r>
              <w:rPr>
                <w:highlight w:val="white"/>
                <w:lang w:eastAsia="ar-SA"/>
              </w:rPr>
              <w:t xml:space="preserve"> 19800 </w:t>
            </w:r>
            <w:r>
              <w:rPr>
                <w:b/>
                <w:highlight w:val="white"/>
                <w:lang w:eastAsia="ar-SA"/>
              </w:rPr>
              <w:t xml:space="preserve">р</w:t>
            </w:r>
            <w:r>
              <w:rPr>
                <w:b/>
                <w:highlight w:val="white"/>
                <w:lang w:eastAsia="ar-SA"/>
              </w:rPr>
              <w:t xml:space="preserve">у</w:t>
            </w:r>
            <w:r>
              <w:rPr>
                <w:b/>
                <w:highlight w:val="white"/>
                <w:lang w:eastAsia="ar-SA"/>
              </w:rPr>
              <w:t xml:space="preserve">б</w:t>
            </w:r>
            <w:r>
              <w:rPr>
                <w:highlight w:val="white"/>
                <w:lang w:eastAsia="ar-SA"/>
              </w:rPr>
              <w:t xml:space="preserve">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right="151" w:firstLine="312"/>
              <w:jc w:val="both"/>
              <w:rPr>
                <w:lang w:eastAsia="ar-SA"/>
              </w:rPr>
            </w:pPr>
            <w:r>
              <w:rPr>
                <w:highlight w:val="white"/>
                <w:lang w:eastAsia="ar-SA"/>
              </w:rPr>
              <w:t xml:space="preserve">Информация о валюте, используемой для фо</w:t>
            </w:r>
            <w:r>
              <w:rPr>
                <w:highlight w:val="white"/>
                <w:lang w:eastAsia="ar-SA"/>
              </w:rPr>
              <w:t xml:space="preserve">рмир</w:t>
            </w:r>
            <w:r>
              <w:rPr>
                <w:lang w:eastAsia="ar-SA"/>
              </w:rPr>
              <w:t xml:space="preserve">ования цены контракта и расчётов с поставщиком (подрядчиком, исполнителем): рубль российский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right="151" w:firstLine="312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Расчёт представлен ниже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</w:tr>
      <w:tr>
        <w:tblPrEx/>
        <w:trPr>
          <w:trHeight w:val="137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2" w:type="dxa"/>
            <w:textDirection w:val="lrTb"/>
            <w:noWrap w:val="false"/>
          </w:tcPr>
          <w:p>
            <w:pPr>
              <w:ind w:left="57" w:right="-28" w:firstLine="11"/>
              <w:rPr>
                <w:b/>
                <w:sz w:val="10"/>
                <w:szCs w:val="10"/>
                <w:lang w:eastAsia="ar-SA"/>
              </w:rPr>
            </w:pPr>
            <w:r>
              <w:rPr>
                <w:b/>
                <w:sz w:val="10"/>
                <w:szCs w:val="10"/>
                <w:lang w:eastAsia="ar-SA"/>
              </w:rPr>
            </w:r>
            <w:r>
              <w:rPr>
                <w:b/>
                <w:sz w:val="10"/>
                <w:szCs w:val="10"/>
                <w:lang w:eastAsia="ar-SA"/>
              </w:rPr>
            </w:r>
            <w:r>
              <w:rPr>
                <w:b/>
                <w:sz w:val="10"/>
                <w:szCs w:val="10"/>
                <w:lang w:eastAsia="ar-SA"/>
              </w:rPr>
            </w:r>
          </w:p>
          <w:p>
            <w:pPr>
              <w:ind w:left="57" w:right="-28" w:firstLine="11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Дата подготовки обоснования: 22.09.2026</w:t>
            </w:r>
            <w:r>
              <w:rPr>
                <w:b/>
                <w:lang w:eastAsia="ar-SA"/>
              </w:rPr>
            </w:r>
          </w:p>
        </w:tc>
      </w:tr>
    </w:tbl>
    <w:p>
      <w:pPr>
        <w:ind w:right="8250"/>
        <w:tabs>
          <w:tab w:val="left" w:pos="13438" w:leader="none"/>
        </w:tabs>
        <w:rPr>
          <w:b/>
          <w:bCs/>
          <w:sz w:val="16"/>
          <w:szCs w:val="16"/>
          <w:lang w:eastAsia="ar-SA"/>
        </w:rPr>
      </w:pPr>
      <w:r>
        <w:rPr>
          <w:b/>
          <w:bCs/>
          <w:sz w:val="16"/>
          <w:szCs w:val="16"/>
          <w:lang w:eastAsia="ar-SA"/>
        </w:rPr>
      </w:r>
      <w:r>
        <w:rPr>
          <w:b/>
          <w:bCs/>
          <w:sz w:val="16"/>
          <w:szCs w:val="16"/>
          <w:lang w:eastAsia="ar-SA"/>
        </w:rPr>
      </w:r>
      <w:r>
        <w:rPr>
          <w:b/>
          <w:bCs/>
          <w:sz w:val="16"/>
          <w:szCs w:val="16"/>
          <w:lang w:eastAsia="ar-SA"/>
        </w:rPr>
      </w:r>
    </w:p>
    <w:tbl>
      <w:tblPr>
        <w:tblW w:w="1544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427"/>
        <w:gridCol w:w="904"/>
        <w:gridCol w:w="562"/>
        <w:gridCol w:w="682"/>
        <w:gridCol w:w="829"/>
        <w:gridCol w:w="1026"/>
        <w:gridCol w:w="1242"/>
        <w:gridCol w:w="992"/>
        <w:gridCol w:w="1559"/>
        <w:gridCol w:w="1559"/>
        <w:gridCol w:w="1667"/>
      </w:tblGrid>
      <w:tr>
        <w:tblPrEx/>
        <w:trPr>
          <w:trHeight w:val="446"/>
        </w:trPr>
        <w:tc>
          <w:tcPr>
            <w:tcW w:w="442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 Наименование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jc w:val="center"/>
              <w:rPr>
                <w:highlight w:val="none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услуги, </w:t>
            </w:r>
            <w:r>
              <w:rPr>
                <w:lang w:eastAsia="ar-SA"/>
              </w:rPr>
              <w:t xml:space="preserve">основные характеристики услуги</w:t>
            </w:r>
            <w:r>
              <w:rPr>
                <w:highlight w:val="none"/>
                <w:lang w:eastAsia="ar-SA"/>
              </w:rPr>
            </w:r>
            <w:r>
              <w:rPr>
                <w:highlight w:val="none"/>
                <w:lang w:eastAsia="ar-SA"/>
              </w:rPr>
            </w:r>
          </w:p>
          <w:p>
            <w:pPr>
              <w:jc w:val="center"/>
              <w:rPr>
                <w:color w:val="000000"/>
                <w:lang w:eastAsia="ar-SA"/>
              </w:rPr>
            </w:pPr>
            <w:r>
              <w:rPr>
                <w:highlight w:val="none"/>
                <w:lang w:eastAsia="ar-SA"/>
              </w:rPr>
            </w:r>
            <w:r>
              <w:rPr>
                <w:highlight w:val="none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W w:w="90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  <w:t xml:space="preserve">Кол-во абонентских номеров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ind w:right="-125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Кол-во/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right="-125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мес.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gridSpan w:val="6"/>
            <w:tcW w:w="6329" w:type="dxa"/>
            <w:textDirection w:val="lrTb"/>
            <w:noWrap w:val="false"/>
          </w:tcPr>
          <w:p>
            <w:pPr>
              <w:ind w:right="-107" w:firstLine="18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Наименование источника информации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gridSpan w:val="2"/>
            <w:tcW w:w="3226" w:type="dxa"/>
            <w:vAlign w:val="center"/>
            <w:textDirection w:val="lrTb"/>
            <w:noWrap/>
          </w:tcPr>
          <w:p>
            <w:pPr>
              <w:ind w:right="-107" w:firstLine="18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right="-107" w:firstLine="18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 xml:space="preserve">Начальная (максимальная) (руб)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</w:tc>
      </w:tr>
      <w:tr>
        <w:tblPrEx/>
        <w:trPr>
          <w:trHeight w:val="273"/>
        </w:trPr>
        <w:tc>
          <w:tcPr>
            <w:tcW w:w="4427" w:type="dxa"/>
            <w:vAlign w:val="center"/>
            <w:vMerge w:val="continue"/>
            <w:textDirection w:val="lrTb"/>
            <w:noWrap/>
          </w:tcPr>
          <w:p>
            <w:pPr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W w:w="90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gridSpan w:val="2"/>
            <w:tcW w:w="1510" w:type="dxa"/>
            <w:textDirection w:val="lrTb"/>
            <w:noWrap w:val="false"/>
          </w:tcPr>
          <w:p>
            <w:pPr>
              <w:ind w:right="-128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Источник </w:t>
            </w:r>
            <w:r>
              <w:rPr>
                <w:color w:val="000000"/>
                <w:lang w:eastAsia="ar-SA"/>
              </w:rPr>
              <w:t xml:space="preserve">№ 1, </w:t>
            </w:r>
            <w:r>
              <w:rPr>
                <w:color w:val="000000"/>
                <w:lang w:eastAsia="ar-SA"/>
              </w:rPr>
              <w:t xml:space="preserve">Вх-06163/26</w:t>
            </w:r>
            <w:r>
              <w:rPr>
                <w:color w:val="000000"/>
                <w:lang w:eastAsia="ar-SA"/>
              </w:rPr>
              <w:t xml:space="preserve"> от </w:t>
            </w:r>
            <w:r>
              <w:rPr>
                <w:color w:val="000000"/>
                <w:lang w:eastAsia="ar-SA"/>
              </w:rPr>
              <w:t xml:space="preserve">14.09.2026</w:t>
            </w:r>
            <w:r>
              <w:rPr>
                <w:color w:val="000000"/>
                <w:lang w:eastAsia="ar-SA"/>
              </w:rPr>
              <w:t xml:space="preserve"> </w:t>
            </w:r>
            <w:r>
              <w:rPr>
                <w:color w:val="000000"/>
                <w:lang w:eastAsia="ar-SA"/>
              </w:rPr>
              <w:t xml:space="preserve">, руб.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gridSpan w:val="2"/>
            <w:tcW w:w="2268" w:type="dxa"/>
            <w:vAlign w:val="center"/>
            <w:textDirection w:val="lrTb"/>
            <w:noWrap w:val="false"/>
          </w:tcPr>
          <w:p>
            <w:pPr>
              <w:ind w:right="-128"/>
              <w:jc w:val="center"/>
              <w:rPr>
                <w:color w:val="000000"/>
                <w:lang w:eastAsia="ar-SA"/>
                <w14:ligatures w14:val="none"/>
              </w:rPr>
            </w:pPr>
            <w:r>
              <w:rPr>
                <w:color w:val="000000"/>
                <w:lang w:eastAsia="ar-SA"/>
              </w:rPr>
              <w:t xml:space="preserve">Источ</w:t>
            </w:r>
            <w:r>
              <w:rPr>
                <w:color w:val="000000"/>
                <w:lang w:eastAsia="ar-SA"/>
              </w:rPr>
              <w:t xml:space="preserve">ник</w:t>
            </w:r>
            <w:r>
              <w:rPr>
                <w:color w:val="000000"/>
                <w:lang w:eastAsia="ar-SA"/>
              </w:rPr>
              <w:t xml:space="preserve"> № </w:t>
            </w:r>
            <w:r>
              <w:rPr>
                <w:color w:val="000000"/>
                <w:lang w:eastAsia="ar-SA"/>
              </w:rPr>
              <w:t xml:space="preserve">2, </w:t>
            </w:r>
            <w:r>
              <w:rPr>
                <w:color w:val="000000"/>
                <w:lang w:eastAsia="ar-SA"/>
              </w:rPr>
              <w:t xml:space="preserve">№ </w:t>
            </w:r>
            <w:r>
              <w:rPr>
                <w:color w:val="000000"/>
                <w:lang w:eastAsia="ar-SA"/>
              </w:rPr>
              <w:t xml:space="preserve">Вх-06187/26</w:t>
            </w:r>
            <w:r>
              <w:rPr>
                <w:color w:val="000000"/>
                <w:lang w:eastAsia="ar-SA"/>
              </w:rPr>
              <w:t xml:space="preserve"> от </w:t>
            </w:r>
            <w:r>
              <w:rPr>
                <w:color w:val="000000"/>
                <w:lang w:eastAsia="ar-SA"/>
              </w:rPr>
              <w:t xml:space="preserve">15.09.2026</w:t>
            </w:r>
            <w:r>
              <w:rPr>
                <w:color w:val="000000"/>
                <w:lang w:eastAsia="ar-SA"/>
              </w:rPr>
              <w:t xml:space="preserve">, руб.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  <w14:ligatures w14:val="none"/>
              </w:rPr>
            </w:r>
          </w:p>
        </w:tc>
        <w:tc>
          <w:tcPr>
            <w:gridSpan w:val="2"/>
            <w:tcW w:w="255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lang w:eastAsia="ar-SA"/>
                <w14:ligatures w14:val="none"/>
              </w:rPr>
            </w:pPr>
            <w:r>
              <w:rPr>
                <w:color w:val="000000"/>
                <w:lang w:eastAsia="ar-SA"/>
              </w:rPr>
              <w:t xml:space="preserve">Источник</w:t>
            </w:r>
            <w:r>
              <w:rPr>
                <w:color w:val="000000"/>
                <w:lang w:eastAsia="ar-SA"/>
              </w:rPr>
              <w:t xml:space="preserve"> № </w:t>
            </w:r>
            <w:r>
              <w:rPr>
                <w:color w:val="000000"/>
                <w:lang w:eastAsia="ar-SA"/>
              </w:rPr>
              <w:t xml:space="preserve">3, </w:t>
            </w:r>
            <w:r>
              <w:rPr>
                <w:color w:val="000000"/>
                <w:lang w:eastAsia="ar-SA"/>
              </w:rPr>
              <w:t xml:space="preserve">№ </w:t>
            </w:r>
            <w:r>
              <w:rPr>
                <w:color w:val="000000"/>
                <w:lang w:eastAsia="ar-SA"/>
              </w:rPr>
              <w:t xml:space="preserve">Вх-05623/26</w:t>
            </w:r>
            <w:r>
              <w:rPr>
                <w:color w:val="000000"/>
                <w:lang w:eastAsia="ar-SA"/>
              </w:rPr>
              <w:t xml:space="preserve"> от </w:t>
            </w:r>
            <w:r>
              <w:rPr>
                <w:color w:val="000000"/>
                <w:lang w:eastAsia="ar-SA"/>
              </w:rPr>
              <w:t xml:space="preserve">25.08.2026</w:t>
            </w:r>
            <w:r>
              <w:rPr>
                <w:color w:val="000000"/>
                <w:lang w:eastAsia="ar-SA"/>
              </w:rPr>
              <w:t xml:space="preserve">, руб.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  <w14:ligatures w14:val="none"/>
              </w:rPr>
            </w:r>
          </w:p>
        </w:tc>
        <w:tc>
          <w:tcPr>
            <w:gridSpan w:val="2"/>
            <w:tcW w:w="32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</w:tc>
      </w:tr>
      <w:tr>
        <w:tblPrEx/>
        <w:trPr>
          <w:trHeight w:val="1055"/>
        </w:trPr>
        <w:tc>
          <w:tcPr>
            <w:tcW w:w="4427" w:type="dxa"/>
            <w:vAlign w:val="center"/>
            <w:vMerge w:val="continue"/>
            <w:textDirection w:val="lrTb"/>
            <w:noWrap/>
          </w:tcPr>
          <w:p>
            <w:pPr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Borders>
              <w:bottom w:val="single" w:color="000000" w:sz="4" w:space="0"/>
            </w:tcBorders>
            <w:tcW w:w="90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single" w:color="auto" w:sz="4" w:space="0"/>
            </w:tcBorders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W w:w="682" w:type="dxa"/>
            <w:vAlign w:val="center"/>
            <w:textDirection w:val="lrTb"/>
            <w:noWrap w:val="false"/>
          </w:tcPr>
          <w:p>
            <w:pPr>
              <w:ind w:right="-128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цена за 1  мес., руб.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W w:w="829" w:type="dxa"/>
            <w:vAlign w:val="center"/>
            <w:textDirection w:val="lrTb"/>
            <w:noWrap w:val="false"/>
          </w:tcPr>
          <w:p>
            <w:pPr>
              <w:ind w:right="-128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общая стоимость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W w:w="1026" w:type="dxa"/>
            <w:vAlign w:val="center"/>
            <w:textDirection w:val="lrTb"/>
            <w:noWrap w:val="false"/>
          </w:tcPr>
          <w:p>
            <w:pPr>
              <w:ind w:right="-128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цена за 1  мес., руб.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W w:w="1242" w:type="dxa"/>
            <w:vAlign w:val="center"/>
            <w:textDirection w:val="lrTb"/>
            <w:noWrap w:val="false"/>
          </w:tcPr>
          <w:p>
            <w:pPr>
              <w:ind w:right="-128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общая стоимость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цена за 1  мес.,    руб.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общая стоимость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right="-128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 xml:space="preserve">Наим. </w:t>
            </w:r>
            <w:r>
              <w:rPr>
                <w:b/>
                <w:color w:val="000000"/>
                <w:lang w:eastAsia="ar-SA"/>
              </w:rPr>
              <w:t xml:space="preserve">цена за 1 мес., руб.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ind w:right="-128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 xml:space="preserve">общая стоимость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</w:tc>
      </w:tr>
      <w:tr>
        <w:tblPrEx/>
        <w:trPr>
          <w:trHeight w:val="1687"/>
        </w:trPr>
        <w:tc>
          <w:tcPr>
            <w:tcW w:w="4427" w:type="dxa"/>
            <w:vAlign w:val="center"/>
            <w:textDirection w:val="lrTb"/>
            <w:noWrap/>
          </w:tcPr>
          <w:tbl>
            <w:tblPr>
              <w:tblW w:w="4051" w:type="dxa"/>
              <w:tblInd w:w="93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2"/>
              <w:gridCol w:w="675"/>
              <w:gridCol w:w="1134"/>
            </w:tblGrid>
            <w:tr>
              <w:tblPrEx/>
              <w:trPr>
                <w:trHeight w:val="306"/>
              </w:trPr>
              <w:tc>
                <w:tcPr>
                  <w:gridSpan w:val="3"/>
                  <w:shd w:val="clear" w:color="auto" w:fill="auto"/>
                  <w:tcW w:w="4051" w:type="dxa"/>
                  <w:vAlign w:val="center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highlight w:val="none"/>
                      <w:lang w:eastAsia="ar-SA"/>
                      <w14:ligatures w14:val="none"/>
                    </w:rPr>
                  </w:pPr>
                  <w:r>
                    <w:rPr>
                      <w:bCs/>
                      <w:sz w:val="16"/>
                      <w:szCs w:val="16"/>
                      <w:lang w:eastAsia="ar-SA"/>
                    </w:rPr>
                    <w:t xml:space="preserve">Услуги беспроводной связи, </w:t>
                  </w:r>
                  <w:r>
                    <w:rPr>
                      <w:rFonts w:ascii="Times New Roman" w:hAnsi="Times New Roman" w:eastAsia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ar-SA"/>
                    </w:rPr>
                    <w:t xml:space="preserve">предполагаемый тариф – в соответствии с характеристиками, указанными в </w:t>
                  </w:r>
                  <w:r>
                    <w:rPr>
                      <w:sz w:val="16"/>
                      <w:szCs w:val="16"/>
                      <w:lang w:eastAsia="ar-SA"/>
                    </w:rPr>
                    <w:t xml:space="preserve">таблице № 1</w:t>
                  </w:r>
                  <w:r>
                    <w:rPr>
                      <w:sz w:val="16"/>
                      <w:szCs w:val="16"/>
                      <w:lang w:eastAsia="ar-SA"/>
                    </w:rPr>
                    <w:t xml:space="preserve">, с предоставлением SIM-карт (без взимания платы), с сохранением </w:t>
                  </w:r>
                  <w:r>
                    <w:rPr>
                      <w:sz w:val="16"/>
                      <w:szCs w:val="16"/>
                      <w:lang w:eastAsia="ar-SA"/>
                    </w:rPr>
                    <w:t xml:space="preserve">3 </w:t>
                  </w:r>
                  <w:r>
                    <w:rPr>
                      <w:sz w:val="16"/>
                      <w:szCs w:val="16"/>
                      <w:lang w:eastAsia="ar-SA"/>
                    </w:rPr>
                    <w:t xml:space="preserve">(</w:t>
                  </w:r>
                  <w:r>
                    <w:rPr>
                      <w:sz w:val="16"/>
                      <w:szCs w:val="16"/>
                      <w:lang w:eastAsia="ar-SA"/>
                    </w:rPr>
                    <w:t xml:space="preserve">трех</w:t>
                  </w:r>
                  <w:r>
                    <w:rPr>
                      <w:sz w:val="16"/>
                      <w:szCs w:val="16"/>
                      <w:lang w:eastAsia="ar-SA"/>
                    </w:rPr>
                    <w:t xml:space="preserve">) действующих номеров сотрудников Заказчика с федеральным форматом; 8-991-541-66-34; 8-991-541-66-41;</w:t>
                  </w:r>
                  <w:r>
                    <w:rPr>
                      <w:sz w:val="16"/>
                      <w:szCs w:val="16"/>
                      <w:lang w:eastAsia="ar-SA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ar-SA"/>
                    </w:rPr>
                    <w:t xml:space="preserve">8-991-541-66-44</w:t>
                  </w:r>
                  <w:r>
                    <w:rPr>
                      <w:sz w:val="16"/>
                      <w:szCs w:val="16"/>
                      <w:highlight w:val="none"/>
                      <w:lang w:eastAsia="ar-SA"/>
                      <w14:ligatures w14:val="none"/>
                    </w:rPr>
                  </w:r>
                  <w:r>
                    <w:rPr>
                      <w:sz w:val="16"/>
                      <w:szCs w:val="16"/>
                      <w:highlight w:val="none"/>
                      <w:lang w:eastAsia="ar-SA"/>
                      <w14:ligatures w14:val="none"/>
                    </w:rPr>
                  </w:r>
                </w:p>
                <w:p>
                  <w:pPr>
                    <w:ind w:left="57"/>
                    <w:rPr>
                      <w:sz w:val="16"/>
                      <w:szCs w:val="16"/>
                      <w:lang w:eastAsia="ar-SA"/>
                      <w14:ligatures w14:val="none"/>
                    </w:rPr>
                  </w:pPr>
                  <w:r>
                    <w:rPr>
                      <w:sz w:val="16"/>
                      <w:szCs w:val="16"/>
                      <w:lang w:eastAsia="ar-SA"/>
                      <w14:ligatures w14:val="none"/>
                    </w:rPr>
                  </w:r>
                  <w:r>
                    <w:rPr>
                      <w:sz w:val="16"/>
                      <w:szCs w:val="16"/>
                      <w:lang w:eastAsia="ar-SA"/>
                      <w14:ligatures w14:val="none"/>
                    </w:rPr>
                  </w:r>
                  <w:r>
                    <w:rPr>
                      <w:sz w:val="16"/>
                      <w:szCs w:val="16"/>
                      <w:lang w:eastAsia="ar-SA"/>
                      <w14:ligatures w14:val="none"/>
                    </w:rPr>
                  </w:r>
                </w:p>
                <w:p>
                  <w:pPr>
                    <w:ind w:left="57"/>
                    <w:rPr>
                      <w:sz w:val="16"/>
                      <w:szCs w:val="16"/>
                      <w:lang w:eastAsia="ar-SA"/>
                      <w14:ligatures w14:val="none"/>
                    </w:rPr>
                  </w:pPr>
                  <w:r>
                    <w:rPr>
                      <w:sz w:val="16"/>
                      <w:szCs w:val="16"/>
                      <w:highlight w:val="none"/>
                      <w:lang w:eastAsia="ar-SA"/>
                    </w:rPr>
                    <w:t xml:space="preserve">Таблица № 1</w:t>
                  </w:r>
                  <w:r>
                    <w:rPr>
                      <w:sz w:val="16"/>
                      <w:szCs w:val="16"/>
                      <w:highlight w:val="none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  <w14:ligatures w14:val="none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shd w:val="clear" w:color="auto" w:fill="auto"/>
                  <w:tcW w:w="2242" w:type="dxa"/>
                  <w:vAlign w:val="center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Наименование направления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675" w:type="dxa"/>
                  <w:vAlign w:val="center"/>
                  <w:textDirection w:val="lrTb"/>
                  <w:noWrap w:val="false"/>
                </w:tcPr>
                <w:p>
                  <w:pPr>
                    <w:ind w:left="57"/>
                    <w:rPr>
                      <w:bCs/>
                      <w:sz w:val="16"/>
                      <w:szCs w:val="16"/>
                      <w:lang w:eastAsia="ar-SA"/>
                    </w:rPr>
                  </w:pPr>
                  <w:r>
                    <w:rPr>
                      <w:bCs/>
                      <w:sz w:val="16"/>
                      <w:szCs w:val="16"/>
                      <w:lang w:eastAsia="ar-SA"/>
                    </w:rPr>
                    <w:t xml:space="preserve">Ед. изм.</w:t>
                  </w:r>
                  <w:r>
                    <w:rPr>
                      <w:bCs/>
                      <w:sz w:val="16"/>
                      <w:szCs w:val="16"/>
                      <w:lang w:eastAsia="ar-SA"/>
                    </w:rPr>
                  </w:r>
                  <w:r>
                    <w:rPr>
                      <w:bCs/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Align w:val="center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Количество, 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  <w:p>
                  <w:pPr>
                    <w:ind w:left="57"/>
                    <w:rPr>
                      <w:bCs/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не менее</w:t>
                  </w:r>
                  <w:r>
                    <w:rPr>
                      <w:bCs/>
                      <w:sz w:val="16"/>
                      <w:szCs w:val="16"/>
                      <w:lang w:eastAsia="ar-SA"/>
                    </w:rPr>
                  </w:r>
                  <w:r>
                    <w:rPr>
                      <w:bCs/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gridSpan w:val="3"/>
                  <w:shd w:val="clear" w:color="auto" w:fill="auto"/>
                  <w:tcW w:w="4051" w:type="dxa"/>
                  <w:textDirection w:val="lrTb"/>
                  <w:noWrap/>
                </w:tcPr>
                <w:p>
                  <w:pPr>
                    <w:ind w:left="57"/>
                    <w:rPr>
                      <w:b/>
                      <w:bCs/>
                      <w:sz w:val="16"/>
                      <w:szCs w:val="16"/>
                      <w:lang w:eastAsia="ar-SA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eastAsia="ar-SA"/>
                    </w:rPr>
                    <w:t xml:space="preserve">Вызовы при нахождении на территории России:</w:t>
                  </w:r>
                  <w:r>
                    <w:rPr>
                      <w:b/>
                      <w:bCs/>
                      <w:sz w:val="16"/>
                      <w:szCs w:val="16"/>
                      <w:lang w:eastAsia="ar-SA"/>
                    </w:rPr>
                  </w:r>
                  <w:r>
                    <w:rPr>
                      <w:b/>
                      <w:bCs/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238"/>
              </w:trPr>
              <w:tc>
                <w:tcPr>
                  <w:shd w:val="clear" w:color="auto" w:fill="auto"/>
                  <w:tcBorders>
                    <w:bottom w:val="single" w:color="auto" w:sz="4" w:space="0"/>
                  </w:tcBorders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Исходящие вызовы на телефоны Оператора, оформленные на один контракт (корпоративную группу)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Borders>
                    <w:bottom w:val="single" w:color="auto" w:sz="4" w:space="0"/>
                  </w:tcBorders>
                  <w:tcW w:w="675" w:type="dxa"/>
                  <w:vAlign w:val="center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минута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Align w:val="center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Без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ограничений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238"/>
              </w:trPr>
              <w:tc>
                <w:tcPr>
                  <w:shd w:val="clear" w:color="auto" w:fill="auto"/>
                  <w:tcBorders>
                    <w:bottom w:val="single" w:color="auto" w:sz="4" w:space="0"/>
                  </w:tcBorders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Исходящие вызовы на телефоны Оператора домашнего региона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Borders>
                    <w:bottom w:val="single" w:color="auto" w:sz="4" w:space="0"/>
                  </w:tcBorders>
                  <w:tcW w:w="675" w:type="dxa"/>
                  <w:vAlign w:val="center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минута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Align w:val="center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Без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ограничений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486"/>
              </w:trPr>
              <w:tc>
                <w:tcPr>
                  <w:shd w:val="clear" w:color="auto" w:fill="auto"/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Исходящие вызовы на других Операторов сотовой и фиксированной связи Республики Алтай при нахождении на территории Республики Алтай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675" w:type="dxa"/>
                  <w:vAlign w:val="center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минута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1500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shd w:val="clear" w:color="auto" w:fill="auto"/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Исходящие вызовы на телефоны Оператора в других регионах России при нахождении на территории России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675" w:type="dxa"/>
                  <w:vAlign w:val="center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минута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shd w:val="clear" w:color="auto" w:fill="auto"/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Исходящие вызовы на телефоны Операторов сотовой и фиксированной связи в других регионах России при нахождении на территории России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675" w:type="dxa"/>
                  <w:vAlign w:val="center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минута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gridSpan w:val="3"/>
                  <w:shd w:val="clear" w:color="auto" w:fill="auto"/>
                  <w:tcW w:w="4051" w:type="dxa"/>
                  <w:textDirection w:val="lrTb"/>
                  <w:noWrap/>
                </w:tcPr>
                <w:p>
                  <w:pPr>
                    <w:ind w:left="57"/>
                    <w:rPr>
                      <w:b/>
                      <w:sz w:val="16"/>
                      <w:szCs w:val="16"/>
                      <w:lang w:eastAsia="ar-SA"/>
                    </w:rPr>
                  </w:pPr>
                  <w:r>
                    <w:rPr>
                      <w:b/>
                      <w:sz w:val="16"/>
                      <w:szCs w:val="16"/>
                      <w:lang w:eastAsia="ar-SA"/>
                    </w:rPr>
                    <w:t xml:space="preserve">SMS сообщения </w:t>
                  </w:r>
                  <w:r>
                    <w:rPr>
                      <w:b/>
                      <w:bCs/>
                      <w:sz w:val="16"/>
                      <w:szCs w:val="16"/>
                      <w:lang w:eastAsia="ar-SA"/>
                    </w:rPr>
                    <w:t xml:space="preserve">при нахождении на территории России:</w:t>
                  </w:r>
                  <w:r>
                    <w:rPr>
                      <w:b/>
                      <w:sz w:val="16"/>
                      <w:szCs w:val="16"/>
                      <w:lang w:eastAsia="ar-SA"/>
                    </w:rPr>
                  </w:r>
                  <w:r>
                    <w:rPr>
                      <w:b/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shd w:val="clear" w:color="auto" w:fill="auto"/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Исходящие SMS сообщения на телефоны Оператора, оформленные на один контракт (корпоративную группу)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675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сообщение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300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shd w:val="clear" w:color="auto" w:fill="auto"/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Исходящие SMS сообщения на телефоны Оператора домашнего региона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675" w:type="dxa"/>
                  <w:vMerge w:val="continue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Merge w:val="continue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shd w:val="clear" w:color="auto" w:fill="auto"/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Исходящие SMS сообщения на телефоны других Операторов домашнего региона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675" w:type="dxa"/>
                  <w:vMerge w:val="continue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Merge w:val="continue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shd w:val="clear" w:color="auto" w:fill="auto"/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Исходящие SMS сообщения на телефоны Оператора в других регионах России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675" w:type="dxa"/>
                  <w:vMerge w:val="continue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Merge w:val="continue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shd w:val="clear" w:color="auto" w:fill="auto"/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Исходящие SMS сообщения на телефоны иных Операторов в других регионах России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675" w:type="dxa"/>
                  <w:vMerge w:val="continue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vMerge w:val="continue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60"/>
              </w:trPr>
              <w:tc>
                <w:tcPr>
                  <w:gridSpan w:val="3"/>
                  <w:shd w:val="clear" w:color="auto" w:fill="auto"/>
                  <w:tcW w:w="4051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b/>
                      <w:sz w:val="16"/>
                      <w:szCs w:val="16"/>
                      <w:lang w:eastAsia="ar-SA"/>
                    </w:rPr>
                    <w:t xml:space="preserve">Доступ к сети Интернет</w:t>
                  </w:r>
                  <w:r>
                    <w:rPr>
                      <w:b/>
                      <w:bCs/>
                      <w:sz w:val="16"/>
                      <w:szCs w:val="16"/>
                      <w:lang w:eastAsia="ar-SA"/>
                    </w:rPr>
                    <w:t xml:space="preserve"> при нахождении на территории России: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  <w:tr>
              <w:tblPrEx/>
              <w:trPr>
                <w:trHeight w:val="306"/>
              </w:trPr>
              <w:tc>
                <w:tcPr>
                  <w:shd w:val="clear" w:color="auto" w:fill="auto"/>
                  <w:tcW w:w="2242" w:type="dxa"/>
                  <w:textDirection w:val="lrTb"/>
                  <w:noWrap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Объем Интернет-трафика без ограничения по скорости 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675" w:type="dxa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Гб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  <w:tc>
                <w:tcPr>
                  <w:tcW w:w="1134" w:type="dxa"/>
                  <w:textDirection w:val="lrTb"/>
                  <w:noWrap w:val="false"/>
                </w:tcPr>
                <w:p>
                  <w:pPr>
                    <w:ind w:left="57"/>
                    <w:rPr>
                      <w:sz w:val="16"/>
                      <w:szCs w:val="16"/>
                      <w:lang w:eastAsia="ar-SA"/>
                    </w:rPr>
                  </w:pPr>
                  <w:r>
                    <w:rPr>
                      <w:sz w:val="16"/>
                      <w:szCs w:val="16"/>
                      <w:lang w:eastAsia="ar-SA"/>
                    </w:rPr>
                    <w:t xml:space="preserve">25</w:t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  <w:r>
                    <w:rPr>
                      <w:sz w:val="16"/>
                      <w:szCs w:val="16"/>
                      <w:lang w:eastAsia="ar-SA"/>
                    </w:rPr>
                  </w:r>
                </w:p>
              </w:tc>
            </w:tr>
          </w:tbl>
          <w:p>
            <w:pPr>
              <w:ind w:left="57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</w:r>
            <w:r>
              <w:rPr>
                <w:sz w:val="16"/>
                <w:szCs w:val="16"/>
                <w:lang w:eastAsia="ar-SA"/>
              </w:rPr>
            </w:r>
            <w:r>
              <w:rPr>
                <w:sz w:val="16"/>
                <w:szCs w:val="16"/>
                <w:lang w:eastAsia="ar-SA"/>
              </w:rPr>
            </w:r>
          </w:p>
          <w:p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color w:val="000000"/>
                <w:sz w:val="16"/>
                <w:szCs w:val="16"/>
                <w:lang w:eastAsia="ar-SA"/>
              </w:rPr>
            </w:r>
            <w:r>
              <w:rPr>
                <w:color w:val="000000"/>
                <w:sz w:val="16"/>
                <w:szCs w:val="16"/>
                <w:lang w:eastAsia="ar-SA"/>
              </w:rPr>
            </w:r>
            <w:r>
              <w:rPr>
                <w:color w:val="000000"/>
                <w:sz w:val="16"/>
                <w:szCs w:val="16"/>
                <w:lang w:eastAsia="ar-SA"/>
              </w:rPr>
            </w:r>
          </w:p>
        </w:tc>
        <w:tc>
          <w:tcPr>
            <w:tcBorders>
              <w:bottom w:val="single" w:color="000000" w:sz="4" w:space="0"/>
            </w:tcBorders>
            <w:tcW w:w="90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3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Borders>
              <w:bottom w:val="single" w:color="auto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 xml:space="preserve">12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tcW w:w="68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1650</w:t>
            </w:r>
            <w:r/>
          </w:p>
        </w:tc>
        <w:tc>
          <w:tcPr>
            <w:tcW w:w="82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19800</w:t>
            </w:r>
            <w:r/>
          </w:p>
        </w:tc>
        <w:tc>
          <w:tcPr>
            <w:tcW w:w="10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2100</w:t>
            </w:r>
            <w:r/>
          </w:p>
        </w:tc>
        <w:tc>
          <w:tcPr>
            <w:tcW w:w="12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25200</w:t>
            </w:r>
            <w:r/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1800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21600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1650</w:t>
            </w:r>
            <w:r/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19800</w:t>
            </w:r>
            <w:r/>
          </w:p>
        </w:tc>
      </w:tr>
    </w:tbl>
    <w:tbl>
      <w:tblPr>
        <w:tblW w:w="1548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5482"/>
      </w:tblGrid>
      <w:tr>
        <w:tblPrEx/>
        <w:trPr>
          <w:trHeight w:val="148"/>
        </w:trPr>
        <w:tc>
          <w:tcPr>
            <w:shd w:val="clear" w:color="auto" w:fill="auto"/>
            <w:tcW w:w="15482" w:type="dxa"/>
            <w:textDirection w:val="lrTb"/>
            <w:noWrap w:val="false"/>
          </w:tcPr>
          <w:p>
            <w:pPr>
              <w:rPr>
                <w:b/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  <w:lang w:eastAsia="ar-SA"/>
              </w:rPr>
              <w:t xml:space="preserve">     ИТОГО: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18"/>
                <w:szCs w:val="18"/>
                <w:lang w:eastAsia="ar-SA"/>
              </w:rPr>
              <w:t xml:space="preserve">                       </w:t>
            </w:r>
            <w:r>
              <w:rPr>
                <w:b/>
                <w:sz w:val="18"/>
                <w:szCs w:val="18"/>
                <w:lang w:eastAsia="ar-SA"/>
              </w:rPr>
              <w:t xml:space="preserve">                            19800</w:t>
            </w:r>
            <w:r>
              <w:rPr>
                <w:b/>
                <w:sz w:val="18"/>
                <w:szCs w:val="18"/>
                <w:lang w:eastAsia="ar-SA"/>
              </w:rPr>
            </w:r>
          </w:p>
        </w:tc>
      </w:tr>
    </w:tbl>
    <w:p>
      <w:pPr>
        <w:rPr>
          <w:b/>
          <w:sz w:val="18"/>
          <w:szCs w:val="18"/>
          <w:lang w:eastAsia="ar-SA"/>
        </w:rPr>
      </w:pPr>
      <w:r>
        <w:rPr>
          <w:b/>
          <w:sz w:val="18"/>
          <w:szCs w:val="18"/>
          <w:lang w:eastAsia="ar-SA"/>
        </w:rPr>
      </w:r>
      <w:r>
        <w:rPr>
          <w:b/>
          <w:sz w:val="18"/>
          <w:szCs w:val="18"/>
          <w:lang w:eastAsia="ar-SA"/>
        </w:rPr>
      </w:r>
      <w:r>
        <w:rPr>
          <w:b/>
          <w:sz w:val="18"/>
          <w:szCs w:val="18"/>
          <w:lang w:eastAsia="ar-SA"/>
        </w:rPr>
      </w:r>
    </w:p>
    <w:p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ind w:firstLine="567"/>
        <w:jc w:val="both"/>
        <w:widowControl w:val="o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соответствии с Распоряжение Правительства РФ от 28 апреля 2018 г. № 824-р «О соз</w:t>
      </w:r>
      <w:r>
        <w:rPr>
          <w:color w:val="000000"/>
          <w:sz w:val="22"/>
          <w:szCs w:val="22"/>
        </w:rPr>
        <w:t xml:space="preserve">дании единого агрегатора торговли, с использованием которого заказчики вправе осуществлять закупки для обеспечения государственных и муниципальных нужд» договор будет заключен путем проведения закупочной сессии с использованием единого агрегатора торговли.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ind w:firstLine="567"/>
        <w:jc w:val="both"/>
        <w:widowControl w:val="o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целях экономии средств федерального бюджета, стартовая цена контракта для объявления закупочной сессии составит </w:t>
      </w:r>
      <w:r>
        <w:rPr>
          <w:color w:val="000000"/>
          <w:sz w:val="22"/>
          <w:szCs w:val="22"/>
        </w:rPr>
        <w:t xml:space="preserve">19 800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(девятнадцать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тысяч</w:t>
      </w:r>
      <w:r>
        <w:rPr>
          <w:color w:val="000000"/>
          <w:sz w:val="22"/>
          <w:szCs w:val="22"/>
        </w:rPr>
        <w:t xml:space="preserve"> восемьсот</w:t>
      </w:r>
      <w:r>
        <w:rPr>
          <w:color w:val="000000"/>
          <w:sz w:val="22"/>
          <w:szCs w:val="22"/>
        </w:rPr>
        <w:t xml:space="preserve">) рублей 00 копеек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ind w:firstLine="567"/>
        <w:jc w:val="both"/>
        <w:rPr>
          <w:color w:val="000000"/>
          <w:highlight w:val="yellow"/>
        </w:rPr>
      </w:pPr>
      <w:r>
        <w:rPr>
          <w:color w:val="000000"/>
          <w:highlight w:val="yellow"/>
        </w:rPr>
      </w:r>
      <w:r>
        <w:rPr>
          <w:color w:val="000000"/>
          <w:highlight w:val="yellow"/>
        </w:rPr>
      </w:r>
      <w:r>
        <w:rPr>
          <w:color w:val="000000"/>
          <w:highlight w:val="yellow"/>
        </w:rPr>
      </w:r>
    </w:p>
    <w:p>
      <w:pPr>
        <w:ind w:firstLine="567"/>
        <w:jc w:val="both"/>
        <w:rPr>
          <w:color w:val="000000"/>
          <w:highlight w:val="yellow"/>
        </w:rPr>
      </w:pPr>
      <w:r>
        <w:rPr>
          <w:color w:val="000000"/>
          <w:highlight w:val="yellow"/>
        </w:rPr>
      </w:r>
      <w:r>
        <w:rPr>
          <w:color w:val="000000"/>
          <w:highlight w:val="yellow"/>
        </w:rPr>
      </w:r>
      <w:r>
        <w:rPr>
          <w:color w:val="000000"/>
          <w:highlight w:val="yellow"/>
        </w:rPr>
      </w:r>
    </w:p>
    <w:p>
      <w:pPr>
        <w:ind w:firstLine="567"/>
        <w:jc w:val="both"/>
        <w:rPr>
          <w:color w:val="000000"/>
          <w:highlight w:val="yellow"/>
        </w:rPr>
      </w:pPr>
      <w:r>
        <w:rPr>
          <w:color w:val="000000"/>
          <w:highlight w:val="yellow"/>
        </w:rPr>
      </w:r>
      <w:r>
        <w:rPr>
          <w:color w:val="000000"/>
          <w:highlight w:val="yellow"/>
        </w:rPr>
      </w:r>
      <w:r>
        <w:rPr>
          <w:color w:val="000000"/>
          <w:highlight w:val="yellow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Главный специалист-</w:t>
      </w:r>
      <w:r>
        <w:rPr>
          <w:sz w:val="22"/>
          <w:szCs w:val="22"/>
        </w:rPr>
        <w:t xml:space="preserve">э</w:t>
      </w:r>
      <w:r>
        <w:rPr>
          <w:sz w:val="22"/>
          <w:szCs w:val="22"/>
        </w:rPr>
        <w:t xml:space="preserve">ксперт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</w:t>
      </w:r>
      <w:r>
        <w:rPr>
          <w:sz w:val="22"/>
          <w:szCs w:val="22"/>
        </w:rPr>
        <w:t xml:space="preserve">А.В. Собчак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headerReference w:type="default" r:id="rId9"/>
      <w:footnotePr/>
      <w:endnotePr/>
      <w:type w:val="nextPage"/>
      <w:pgSz w:w="16838" w:h="11906" w:orient="landscape"/>
      <w:pgMar w:top="1134" w:right="1103" w:bottom="851" w:left="567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7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85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3"/>
    <w:next w:val="853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basedOn w:val="854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3"/>
    <w:next w:val="853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basedOn w:val="854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3"/>
    <w:next w:val="853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basedOn w:val="854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3"/>
    <w:next w:val="853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basedOn w:val="854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3"/>
    <w:next w:val="853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basedOn w:val="854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3"/>
    <w:next w:val="853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basedOn w:val="854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3"/>
    <w:next w:val="853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basedOn w:val="854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3"/>
    <w:next w:val="853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basedOn w:val="854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3"/>
    <w:next w:val="853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basedOn w:val="854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3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3"/>
    <w:next w:val="853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basedOn w:val="854"/>
    <w:link w:val="696"/>
    <w:uiPriority w:val="10"/>
    <w:rPr>
      <w:sz w:val="48"/>
      <w:szCs w:val="48"/>
    </w:rPr>
  </w:style>
  <w:style w:type="paragraph" w:styleId="698">
    <w:name w:val="Subtitle"/>
    <w:basedOn w:val="853"/>
    <w:next w:val="853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basedOn w:val="854"/>
    <w:link w:val="698"/>
    <w:uiPriority w:val="11"/>
    <w:rPr>
      <w:sz w:val="24"/>
      <w:szCs w:val="24"/>
    </w:rPr>
  </w:style>
  <w:style w:type="paragraph" w:styleId="700">
    <w:name w:val="Quote"/>
    <w:basedOn w:val="853"/>
    <w:next w:val="853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3"/>
    <w:next w:val="853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character" w:styleId="704">
    <w:name w:val="Header Char"/>
    <w:basedOn w:val="854"/>
    <w:link w:val="857"/>
    <w:uiPriority w:val="99"/>
  </w:style>
  <w:style w:type="paragraph" w:styleId="705">
    <w:name w:val="Footer"/>
    <w:basedOn w:val="853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4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35"/>
  </w:style>
  <w:style w:type="table" w:styleId="709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basedOn w:val="854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basedOn w:val="854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54" w:default="1">
    <w:name w:val="Default Paragraph Font"/>
    <w:uiPriority w:val="1"/>
    <w:semiHidden/>
    <w:unhideWhenUsed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Header"/>
    <w:basedOn w:val="853"/>
    <w:link w:val="858"/>
    <w:uiPriority w:val="99"/>
    <w:pPr>
      <w:tabs>
        <w:tab w:val="center" w:pos="4677" w:leader="none"/>
        <w:tab w:val="right" w:pos="9355" w:leader="none"/>
      </w:tabs>
    </w:pPr>
  </w:style>
  <w:style w:type="character" w:styleId="858" w:customStyle="1">
    <w:name w:val="Верхний колонтитул Знак"/>
    <w:basedOn w:val="854"/>
    <w:link w:val="85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765D4-79EE-460C-843E-6A0E912DD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sobchak</cp:lastModifiedBy>
  <cp:revision>4</cp:revision>
  <dcterms:created xsi:type="dcterms:W3CDTF">2024-10-02T03:05:00Z</dcterms:created>
  <dcterms:modified xsi:type="dcterms:W3CDTF">2026-09-22T07:37:29Z</dcterms:modified>
</cp:coreProperties>
</file>