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 w:val="0"/>
        <w:ind w:firstLine="0"/>
        <w:jc w:val="center"/>
        <w:spacing w:line="240" w:lineRule="auto"/>
        <w:rPr>
          <w:rFonts w:eastAsia="Times New Roman"/>
          <w:b/>
          <w:color w:val="0d0d0d"/>
          <w:spacing w:val="0"/>
          <w:szCs w:val="24"/>
          <w:lang w:eastAsia="ru-RU"/>
        </w:rPr>
      </w:pPr>
      <w:r/>
      <w:bookmarkStart w:id="0" w:name="_Toc448149724"/>
      <w:r/>
      <w:bookmarkStart w:id="1" w:name="_Toc426640475"/>
      <w:r/>
      <w:bookmarkStart w:id="2" w:name="_Toc401332659"/>
      <w:r>
        <w:rPr>
          <w:rFonts w:eastAsia="Times New Roman"/>
          <w:b/>
          <w:color w:val="0d0d0d"/>
          <w:spacing w:val="0"/>
          <w:szCs w:val="24"/>
          <w:lang w:eastAsia="ru-RU"/>
        </w:rPr>
        <w:t xml:space="preserve">ТЕХНИЧЕСКОЕ ЗАДАНИЕ</w:t>
      </w:r>
      <w:r>
        <w:rPr>
          <w:rFonts w:eastAsia="Times New Roman"/>
          <w:b/>
          <w:color w:val="0d0d0d"/>
          <w:spacing w:val="0"/>
          <w:szCs w:val="24"/>
          <w:lang w:eastAsia="ru-RU"/>
        </w:rPr>
      </w:r>
    </w:p>
    <w:p>
      <w:pPr>
        <w:contextualSpacing w:val="0"/>
        <w:ind w:firstLine="0"/>
        <w:jc w:val="center"/>
        <w:spacing w:line="240" w:lineRule="auto"/>
        <w:rPr>
          <w:b/>
          <w:bCs/>
          <w:szCs w:val="24"/>
        </w:rPr>
        <w:suppressLineNumbers/>
      </w:pPr>
      <w:r>
        <w:rPr>
          <w:b/>
          <w:bCs/>
          <w:szCs w:val="24"/>
        </w:rPr>
        <w:t xml:space="preserve">на поставку многофункционального устройства (МФУ) и картриджей </w:t>
      </w:r>
      <w:r>
        <w:rPr>
          <w:b/>
          <w:bCs/>
          <w:szCs w:val="24"/>
        </w:rPr>
      </w:r>
    </w:p>
    <w:p>
      <w:pPr>
        <w:contextualSpacing w:val="0"/>
        <w:ind w:firstLine="0"/>
        <w:jc w:val="right"/>
        <w:spacing w:line="240" w:lineRule="auto"/>
        <w:rPr>
          <w:spacing w:val="0"/>
          <w:sz w:val="12"/>
          <w:szCs w:val="12"/>
        </w:rPr>
        <w:suppressLineNumbers/>
      </w:pPr>
      <w:r>
        <w:rPr>
          <w:spacing w:val="0"/>
          <w:sz w:val="12"/>
          <w:szCs w:val="12"/>
        </w:rPr>
      </w:r>
      <w:r>
        <w:rPr>
          <w:spacing w:val="0"/>
          <w:sz w:val="12"/>
          <w:szCs w:val="12"/>
        </w:rPr>
      </w:r>
    </w:p>
    <w:p>
      <w:pPr>
        <w:numPr>
          <w:ilvl w:val="0"/>
          <w:numId w:val="2"/>
        </w:numPr>
        <w:contextualSpacing w:val="0"/>
        <w:ind w:left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0"/>
      </w:pPr>
      <w:r>
        <w:rPr>
          <w:rFonts w:eastAsia="Times New Roman"/>
          <w:b/>
          <w:spacing w:val="0"/>
          <w:szCs w:val="24"/>
          <w:lang w:eastAsia="ru-RU"/>
        </w:rPr>
        <w:t xml:space="preserve">Общие положения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Наименование объекта закупки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pStyle w:val="858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Поставка многофункционального устройства (МФУ) и картриджей</w:t>
      </w:r>
      <w:r>
        <w:rPr>
          <w:color w:val="000000"/>
          <w:spacing w:val="0"/>
          <w:szCs w:val="24"/>
        </w:rPr>
      </w:r>
    </w:p>
    <w:p>
      <w:pPr>
        <w:pStyle w:val="858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</w:rPr>
        <w:t xml:space="preserve">КТРУ: 26.20.18.000-00000069 - Многофункциональное устройство (МФУ)</w:t>
      </w:r>
      <w:r>
        <w:rPr>
          <w:color w:val="000000"/>
          <w:spacing w:val="0"/>
        </w:rPr>
      </w:r>
    </w:p>
    <w:p>
      <w:pPr>
        <w:pStyle w:val="858"/>
        <w:numPr>
          <w:ilvl w:val="0"/>
          <w:numId w:val="0"/>
        </w:numPr>
        <w:ind w:right="-6"/>
        <w:jc w:val="left"/>
        <w:spacing w:line="240" w:lineRule="auto"/>
        <w:widowControl w:val="off"/>
        <w:rPr>
          <w:color w:val="000000"/>
          <w:spacing w:val="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</w:rPr>
        <w:t xml:space="preserve">ОКПД2: 28.99.40.110 – Комплектующие (запасные части) печатного оборудования, не имеющие самостоятельных группировок </w:t>
      </w:r>
      <w:r>
        <w:rPr>
          <w:color w:val="000000"/>
          <w:spacing w:val="0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>
        <w:rPr>
          <w:rFonts w:eastAsia="Times New Roman"/>
          <w:b/>
          <w:spacing w:val="0"/>
          <w:szCs w:val="24"/>
          <w:lang w:eastAsia="ru-RU"/>
        </w:rPr>
        <w:t xml:space="preserve">Источник финансирования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firstLine="0"/>
        <w:spacing w:line="240" w:lineRule="auto"/>
        <w:rPr>
          <w:color w:val="000000"/>
          <w:spacing w:val="0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pacing w:val="0"/>
          <w:szCs w:val="24"/>
        </w:rPr>
        <w:t xml:space="preserve">Источником финансирования являются средства субсидии федерального бюджета Российской Федерации, предоставленной в соответствии с абзацем вторым пункта 1 статьи 78.1 Бюджетного кодекса Российской Федерации (</w:t>
      </w:r>
      <w:r>
        <w:rPr>
          <w:color w:val="000000" w:themeColor="text1"/>
          <w:highlight w:val="white"/>
        </w:rPr>
        <w:t xml:space="preserve">КВР – 244, код цели </w:t>
      </w:r>
      <w:r>
        <w:rPr>
          <w:color w:val="000000" w:themeColor="text1"/>
        </w:rPr>
      </w:r>
      <w:r>
        <w:rPr>
          <w:color w:val="000000" w:themeColor="text1"/>
        </w:rPr>
        <w:t xml:space="preserve">08-18-Т8 73520</w:t>
      </w:r>
      <w:r/>
      <w:r>
        <w:rPr>
          <w:color w:val="000000" w:themeColor="text1"/>
        </w:rPr>
      </w:r>
      <w:r>
        <w:rPr>
          <w:color w:val="000000"/>
          <w:spacing w:val="0"/>
          <w:szCs w:val="24"/>
        </w:rPr>
        <w:t xml:space="preserve">).</w:t>
      </w:r>
      <w:r>
        <w:rPr>
          <w:color w:val="000000"/>
          <w:spacing w:val="0"/>
          <w:szCs w:val="24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/>
      <w:bookmarkStart w:id="3" w:name="_30j0zll"/>
      <w:r/>
      <w:bookmarkStart w:id="4" w:name="_1fob9te"/>
      <w:r/>
      <w:bookmarkStart w:id="5" w:name="_3znysh7"/>
      <w:r/>
      <w:bookmarkEnd w:id="3"/>
      <w:r/>
      <w:bookmarkEnd w:id="4"/>
      <w:r/>
      <w:bookmarkEnd w:id="5"/>
      <w:r>
        <w:rPr>
          <w:rFonts w:eastAsia="Times New Roman"/>
          <w:b/>
          <w:spacing w:val="0"/>
          <w:szCs w:val="24"/>
          <w:lang w:eastAsia="ru-RU"/>
        </w:rPr>
        <w:t xml:space="preserve">Срок поставки Товара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0"/>
        <w:jc w:val="left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 w:themeColor="text1"/>
          <w:spacing w:val="0"/>
          <w:szCs w:val="24"/>
          <w:highlight w:val="white"/>
          <w:lang w:eastAsia="ru-RU"/>
        </w:rPr>
        <w:t xml:space="preserve">Товар должен быть поставлен </w:t>
      </w:r>
      <w:r>
        <w:rPr>
          <w:rFonts w:eastAsia="Times New Roman"/>
          <w:color w:val="000000"/>
          <w:spacing w:val="0"/>
          <w:szCs w:val="24"/>
          <w:lang w:eastAsia="ru-RU"/>
        </w:rPr>
        <w:t xml:space="preserve">в течен</w:t>
      </w:r>
      <w:bookmarkStart w:id="6" w:name="_GoBack"/>
      <w:r/>
      <w:bookmarkEnd w:id="6"/>
      <w:r>
        <w:rPr>
          <w:rFonts w:eastAsia="Times New Roman"/>
          <w:color w:val="000000"/>
          <w:spacing w:val="0"/>
          <w:szCs w:val="24"/>
          <w:lang w:eastAsia="ru-RU"/>
        </w:rPr>
        <w:t xml:space="preserve">ие 20 (двадцати) рабочих дней с даты заключения Контракта.</w:t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numPr>
          <w:ilvl w:val="1"/>
          <w:numId w:val="2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outlineLvl w:val="1"/>
      </w:pPr>
      <w:r/>
      <w:bookmarkStart w:id="7" w:name="_2et92p0"/>
      <w:r/>
      <w:bookmarkEnd w:id="7"/>
      <w:r>
        <w:rPr>
          <w:rFonts w:eastAsia="Times New Roman"/>
          <w:b/>
          <w:spacing w:val="0"/>
          <w:szCs w:val="24"/>
          <w:lang w:eastAsia="ru-RU"/>
        </w:rPr>
        <w:t xml:space="preserve">Место поставки Товара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contextualSpacing w:val="0"/>
        <w:ind w:firstLine="0"/>
        <w:jc w:val="left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lang w:eastAsia="ru-RU"/>
        </w:rPr>
        <w:t xml:space="preserve">105082, г. Москва, ул. Большая Почтовая, д. 26, стр. 1.</w:t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numPr>
          <w:ilvl w:val="0"/>
          <w:numId w:val="2"/>
        </w:numPr>
        <w:contextualSpacing w:val="0"/>
        <w:ind w:left="0" w:right="-6"/>
        <w:jc w:val="left"/>
        <w:spacing w:line="240" w:lineRule="auto"/>
        <w:widowControl w:val="off"/>
        <w:rPr>
          <w:rFonts w:eastAsia="Times New Roman"/>
          <w:b/>
          <w:bCs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b/>
          <w:bCs/>
          <w:color w:val="000000"/>
          <w:spacing w:val="0"/>
          <w:szCs w:val="24"/>
          <w:lang w:eastAsia="ru-RU"/>
        </w:rPr>
        <w:t xml:space="preserve">Порядок поставки Товара</w:t>
      </w:r>
      <w:r>
        <w:rPr>
          <w:rFonts w:eastAsia="Times New Roman"/>
          <w:b/>
          <w:bCs/>
          <w:spacing w:val="0"/>
          <w:szCs w:val="24"/>
          <w:lang w:eastAsia="ru-RU"/>
        </w:rPr>
      </w:r>
    </w:p>
    <w:p>
      <w:pPr>
        <w:contextualSpacing w:val="0"/>
        <w:ind w:firstLine="708"/>
        <w:spacing w:line="240" w:lineRule="auto"/>
        <w:rPr>
          <w:rFonts w:eastAsia="Times New Roman"/>
          <w:color w:val="040404"/>
          <w:spacing w:val="0"/>
          <w:szCs w:val="24"/>
          <w:lang w:eastAsia="ru-RU"/>
        </w:rPr>
      </w:pPr>
      <w:r>
        <w:rPr>
          <w:rFonts w:eastAsia="Times New Roman"/>
          <w:color w:val="040404"/>
          <w:spacing w:val="0"/>
          <w:szCs w:val="24"/>
          <w:lang w:eastAsia="ru-RU"/>
        </w:rPr>
        <w:t xml:space="preserve">Товар должен быть поставлен, разгружен и размещен в местах хранения Заказчика по адресу, указанному в п. 1.4 настоящего Техничес</w:t>
      </w:r>
      <w:r>
        <w:rPr>
          <w:rFonts w:eastAsia="Times New Roman"/>
          <w:color w:val="040404"/>
          <w:spacing w:val="0"/>
          <w:szCs w:val="24"/>
          <w:lang w:eastAsia="ru-RU"/>
        </w:rPr>
        <w:t xml:space="preserve">кого задания, в срок в соответствии с п. 1.3 настоящего Технического задания, в рабочие часы Заказчика: с понедельника по четверг с 09.00 до 18.00 часов, в пятницу с 09.00 до 16.45 часов (за исключением выходных дней и дней общегосударственных праздников).</w:t>
      </w:r>
      <w:r>
        <w:rPr>
          <w:rFonts w:eastAsia="Times New Roman"/>
          <w:color w:val="040404"/>
          <w:spacing w:val="0"/>
          <w:szCs w:val="24"/>
          <w:lang w:eastAsia="ru-RU"/>
        </w:rPr>
      </w:r>
    </w:p>
    <w:p>
      <w:pPr>
        <w:contextualSpacing w:val="0"/>
        <w:ind w:firstLine="0"/>
        <w:spacing w:line="240" w:lineRule="auto"/>
        <w:rPr>
          <w:rFonts w:eastAsia="Times New Roman"/>
          <w:color w:val="040404"/>
          <w:spacing w:val="0"/>
          <w:szCs w:val="24"/>
          <w:lang w:eastAsia="ru-RU"/>
        </w:rPr>
      </w:pPr>
      <w:r>
        <w:rPr>
          <w:rFonts w:eastAsia="Times New Roman"/>
          <w:color w:val="040404"/>
          <w:spacing w:val="0"/>
          <w:szCs w:val="24"/>
          <w:lang w:eastAsia="ru-RU"/>
        </w:rPr>
        <w:tab/>
        <w:t xml:space="preserve">Поставщик доставляет товар по адресу поставки собственным транспортом или с привлечением транспорта третьих лиц за свой счет. Все ви</w:t>
      </w:r>
      <w:r>
        <w:rPr>
          <w:rFonts w:eastAsia="Times New Roman"/>
          <w:color w:val="040404"/>
          <w:spacing w:val="0"/>
          <w:szCs w:val="24"/>
          <w:lang w:eastAsia="ru-RU"/>
        </w:rPr>
        <w:t xml:space="preserve">ды погрузочно-разгрузочных работ, включая работы с применением грузоподъемных средств, а также занос товара на склад Заказчика (при необходимости), осуществляются Поставщиком за свой счет собственными техническими средствами или с привлечением третьих лиц.</w:t>
      </w:r>
      <w:r>
        <w:rPr>
          <w:rFonts w:eastAsia="Times New Roman"/>
          <w:color w:val="040404"/>
          <w:spacing w:val="0"/>
          <w:szCs w:val="24"/>
          <w:lang w:eastAsia="ru-RU"/>
        </w:rPr>
      </w:r>
    </w:p>
    <w:p>
      <w:pPr>
        <w:contextualSpacing w:val="0"/>
        <w:ind w:firstLine="708"/>
        <w:spacing w:line="240" w:lineRule="auto"/>
        <w:rPr>
          <w:rFonts w:eastAsia="Times New Roman"/>
          <w:color w:val="040404"/>
          <w:spacing w:val="0"/>
          <w:szCs w:val="24"/>
          <w:lang w:eastAsia="ru-RU"/>
        </w:rPr>
      </w:pPr>
      <w:r>
        <w:rPr>
          <w:rFonts w:eastAsia="Times New Roman"/>
          <w:color w:val="040404"/>
          <w:spacing w:val="0"/>
          <w:szCs w:val="24"/>
          <w:lang w:eastAsia="ru-RU"/>
        </w:rPr>
        <w:t xml:space="preserve">Весь Товар должен быть поставлен Заказчику единовременно.</w:t>
      </w:r>
      <w:r>
        <w:rPr>
          <w:rFonts w:eastAsia="Times New Roman"/>
          <w:color w:val="040404"/>
          <w:spacing w:val="0"/>
          <w:szCs w:val="24"/>
          <w:lang w:eastAsia="ru-RU"/>
        </w:rPr>
      </w:r>
    </w:p>
    <w:p>
      <w:pPr>
        <w:contextualSpacing w:val="0"/>
        <w:ind w:firstLine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</w:pPr>
      <w:r>
        <w:rPr>
          <w:rFonts w:eastAsia="Times New Roman"/>
          <w:b/>
          <w:spacing w:val="0"/>
          <w:szCs w:val="24"/>
          <w:lang w:eastAsia="ru-RU"/>
        </w:rPr>
        <w:t xml:space="preserve">3. Требования к поставляемому Товару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pStyle w:val="858"/>
        <w:numPr>
          <w:ilvl w:val="0"/>
          <w:numId w:val="0"/>
        </w:numPr>
        <w:ind w:firstLine="708"/>
        <w:spacing w:line="240" w:lineRule="auto"/>
        <w:rPr>
          <w:rFonts w:eastAsia="Times New Roman"/>
          <w:spacing w:val="0"/>
          <w:szCs w:val="24"/>
          <w:highlight w:val="white"/>
          <w:lang w:eastAsia="ru-RU"/>
        </w:rPr>
      </w:pPr>
      <w:r>
        <w:rPr>
          <w:rFonts w:eastAsia="Times New Roman"/>
          <w:spacing w:val="0"/>
          <w:szCs w:val="24"/>
          <w:highlight w:val="white"/>
          <w:lang w:eastAsia="ru-RU"/>
        </w:rPr>
        <w:t xml:space="preserve">Поставляемый товар должен быть новым товаром (товаром, который не был в употреблении, в ремон</w:t>
      </w:r>
      <w:r>
        <w:rPr>
          <w:rFonts w:eastAsia="Times New Roman"/>
          <w:spacing w:val="0"/>
          <w:szCs w:val="24"/>
          <w:highlight w:val="white"/>
          <w:lang w:eastAsia="ru-RU"/>
        </w:rPr>
        <w:t xml:space="preserve">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имеющим дефектов, связанных с конструкцией, материалами или функционированием в процессе эксплуатации.</w:t>
      </w:r>
      <w:r>
        <w:rPr>
          <w:rFonts w:eastAsia="Times New Roman"/>
          <w:spacing w:val="0"/>
          <w:szCs w:val="24"/>
          <w:highlight w:val="white"/>
          <w:lang w:eastAsia="ru-RU"/>
        </w:rPr>
      </w:r>
    </w:p>
    <w:p>
      <w:pPr>
        <w:contextualSpacing w:val="0"/>
        <w:ind w:firstLine="708"/>
        <w:spacing w:line="240" w:lineRule="auto"/>
        <w:rPr>
          <w:rFonts w:eastAsia="Times New Roman"/>
          <w:spacing w:val="0"/>
          <w:szCs w:val="24"/>
          <w:lang w:eastAsia="ru-RU"/>
        </w:rPr>
      </w:pPr>
      <w:r>
        <w:rPr>
          <w:rFonts w:eastAsia="Times New Roman"/>
          <w:spacing w:val="0"/>
          <w:szCs w:val="24"/>
        </w:rPr>
        <w:t xml:space="preserve">Товар должен поставляться в оригинальной заводской упаковке, соответствующей характеру поставляе</w:t>
      </w:r>
      <w:r>
        <w:rPr>
          <w:rFonts w:eastAsia="Times New Roman"/>
          <w:spacing w:val="0"/>
          <w:szCs w:val="24"/>
        </w:rPr>
        <w:t xml:space="preserve">мого Товара и способу транспортировки,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Упаковка Товара возврату Поставщику не подлежит.</w:t>
      </w:r>
      <w:r>
        <w:rPr>
          <w:rFonts w:eastAsia="Times New Roman"/>
          <w:spacing w:val="0"/>
          <w:szCs w:val="24"/>
          <w:lang w:eastAsia="ru-RU"/>
        </w:rPr>
      </w:r>
    </w:p>
    <w:p>
      <w:pPr>
        <w:pStyle w:val="858"/>
        <w:numPr>
          <w:ilvl w:val="0"/>
          <w:numId w:val="0"/>
        </w:numPr>
        <w:contextualSpacing w:val="0"/>
        <w:jc w:val="left"/>
        <w:spacing w:line="240" w:lineRule="auto"/>
        <w:rPr>
          <w:rFonts w:eastAsia="Times New Roman"/>
          <w:b/>
          <w:spacing w:val="0"/>
          <w:szCs w:val="24"/>
          <w:lang w:eastAsia="ru-RU"/>
        </w:rPr>
        <w:suppressLineNumbers/>
      </w:pPr>
      <w:r>
        <w:rPr>
          <w:rFonts w:eastAsia="Times New Roman"/>
          <w:b/>
          <w:spacing w:val="0"/>
          <w:szCs w:val="24"/>
          <w:lang w:eastAsia="ru-RU"/>
        </w:rPr>
        <w:t xml:space="preserve">4. Гарантийные обязательства</w:t>
      </w:r>
      <w:r>
        <w:rPr>
          <w:rFonts w:eastAsia="Times New Roman"/>
          <w:b/>
          <w:spacing w:val="0"/>
          <w:szCs w:val="24"/>
          <w:lang w:eastAsia="ru-RU"/>
        </w:rPr>
      </w:r>
    </w:p>
    <w:p>
      <w:pPr>
        <w:ind w:right="-6" w:firstLine="708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Гарантийный срок на поставляемый Товар устанавливается заводом-изготовителем, со</w:t>
      </w:r>
      <w:r>
        <w:rPr>
          <w:rFonts w:eastAsia="Times New Roman"/>
          <w:color w:val="000000"/>
          <w:spacing w:val="0"/>
          <w:szCs w:val="24"/>
          <w:lang w:eastAsia="ru-RU"/>
        </w:rPr>
        <w:t xml:space="preserve">ставляет не менее 12 (двенадцати) месяцев со дня подписания Заказчиком документа о приемке в Единой информационной системе в сфере закупок. Гарантийный срок распространяется на весь Товар в целом, включая все составляющие его части (комплектующие изделия).</w:t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ind w:right="-6" w:firstLine="708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В период действия гарантийного срока Поставщик за свой счет обязуется осуществлять в отношении поставленного Товара и всех составляющих (комплектующих) частей Товара замену, восстановление или ремонт, если недостатки (неисправность) вызваны дефектом кон</w:t>
      </w:r>
      <w:r>
        <w:rPr>
          <w:rFonts w:eastAsia="Times New Roman"/>
          <w:color w:val="000000"/>
          <w:spacing w:val="0"/>
          <w:szCs w:val="24"/>
          <w:lang w:eastAsia="ru-RU"/>
        </w:rPr>
        <w:t xml:space="preserve">струкции, некачественным материалом, некачественным производством или монтажом и не является результатом действия непреодолимой силы, нарушения правил пользования и хранения, неправильного обращения, внесения изменений или повреждения со стороны Заказчика.</w:t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ind w:right="-6" w:firstLine="708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Гарантийный объем на поставляемый товар:</w:t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ind w:right="-6" w:firstLine="708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Гарантийное обслуживание осуществляется Поставщиком путем ремонта или замены поставленного Товара (при отсутствии механических повреждений и соблюдения Заказчиком требований инструкций по эксплуатации). </w:t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ind w:right="-6" w:firstLine="708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В случае невозможности устранения неисправностей (ремонта) Товара по месту его установки транспортировка Товара в авторизованный сервисный центр и обратно осуществляется силами и за счет Поставщика.</w:t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ind w:right="-6" w:firstLine="708"/>
        <w:spacing w:line="240" w:lineRule="auto"/>
        <w:rPr>
          <w:rFonts w:eastAsia="Times New Roman"/>
          <w:color w:val="000000"/>
          <w:spacing w:val="0"/>
          <w:szCs w:val="24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Время устранения неисправностей (ремонта) Товара (или замены некачественного Товара на новый (качественный) Товар) в течение гарантийного срока не должно превышать 20 (двадцати) рабочих дней после получения от Заказчика соответствующего уведомления.</w:t>
      </w:r>
      <w:r>
        <w:rPr>
          <w:rFonts w:eastAsia="Times New Roman"/>
          <w:color w:val="000000"/>
          <w:spacing w:val="0"/>
          <w:szCs w:val="24"/>
          <w:lang w:eastAsia="ru-RU"/>
        </w:rPr>
      </w:r>
    </w:p>
    <w:p>
      <w:pPr>
        <w:ind w:right="-6" w:firstLine="708"/>
        <w:spacing w:line="240" w:lineRule="auto"/>
        <w:rPr>
          <w:color w:val="000000"/>
          <w:lang w:bidi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eastAsia="Times New Roman"/>
          <w:color w:val="000000"/>
          <w:spacing w:val="0"/>
          <w:szCs w:val="24"/>
          <w:lang w:eastAsia="ru-RU"/>
        </w:rPr>
        <w:t xml:space="preserve">В случае устранения неисправностей (ремонта) Товара гарантийный срок на него продлевается на перио</w:t>
      </w:r>
      <w:r>
        <w:rPr>
          <w:rFonts w:eastAsia="Times New Roman"/>
          <w:color w:val="000000"/>
          <w:spacing w:val="0"/>
          <w:szCs w:val="24"/>
          <w:lang w:eastAsia="ru-RU"/>
        </w:rPr>
        <w:t xml:space="preserve">д, в течение которого Товар не использовался. Указанный период исчисляется со дня обращения Заказчика с требованием об устранении неисправностей (ремонта) Товара. Поставщик в течение гарантийного срока несёт все расходы по гарантийному обслуживанию Товара.</w:t>
      </w:r>
      <w:r>
        <w:rPr>
          <w:color w:val="000000"/>
          <w:spacing w:val="0"/>
          <w:szCs w:val="24"/>
          <w:lang w:eastAsia="ru-RU" w:bidi="ru-RU"/>
        </w:rPr>
        <w:t xml:space="preserve"> </w:t>
      </w:r>
      <w:bookmarkEnd w:id="0"/>
      <w:r/>
      <w:bookmarkEnd w:id="1"/>
      <w:r/>
      <w:bookmarkEnd w:id="2"/>
      <w:r/>
      <w:r>
        <w:rPr>
          <w:color w:val="000000"/>
          <w:lang w:bidi="ru-RU"/>
        </w:rPr>
      </w:r>
    </w:p>
    <w:p>
      <w:pPr>
        <w:contextualSpacing w:val="0"/>
        <w:ind w:firstLine="0"/>
        <w:jc w:val="right"/>
        <w:spacing w:line="240" w:lineRule="auto"/>
        <w:rPr>
          <w:rFonts w:eastAsia="Times New Roman"/>
          <w:spacing w:val="0"/>
          <w:szCs w:val="24"/>
          <w:lang w:eastAsia="ru-RU"/>
        </w:rPr>
      </w:pPr>
      <w:r>
        <w:rPr>
          <w:rFonts w:eastAsia="Times New Roman"/>
          <w:spacing w:val="0"/>
          <w:szCs w:val="24"/>
          <w:lang w:eastAsia="ru-RU"/>
        </w:rPr>
        <w:t xml:space="preserve">Таблица № 1</w:t>
      </w:r>
      <w:r>
        <w:rPr>
          <w:rFonts w:eastAsia="Times New Roman"/>
          <w:spacing w:val="0"/>
          <w:szCs w:val="24"/>
          <w:lang w:eastAsia="ru-RU"/>
        </w:rPr>
      </w:r>
    </w:p>
    <w:tbl>
      <w:tblPr>
        <w:tblW w:w="102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2272"/>
        <w:gridCol w:w="3827"/>
        <w:gridCol w:w="1843"/>
        <w:gridCol w:w="1134"/>
        <w:gridCol w:w="709"/>
      </w:tblGrid>
      <w:tr>
        <w:tblPrEx/>
        <w:trPr/>
        <w:tc>
          <w:tcPr>
            <w:shd w:val="clear" w:color="auto" w:fill="auto"/>
            <w:tcW w:w="417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№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2272" w:type="dxa"/>
            <w:textDirection w:val="lrTb"/>
            <w:noWrap w:val="false"/>
          </w:tcPr>
          <w:p>
            <w:pPr>
              <w:ind w:left="18" w:firstLine="0"/>
              <w:jc w:val="center"/>
              <w:spacing w:line="240" w:lineRule="auto"/>
              <w:rPr>
                <w:rFonts w:eastAsia="Times New Roman"/>
                <w:b/>
                <w:bCs/>
                <w:spacing w:val="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pacing w:val="0"/>
                <w:sz w:val="20"/>
                <w:szCs w:val="20"/>
              </w:rPr>
              <w:t xml:space="preserve">Наименование Товара</w:t>
            </w:r>
            <w:r>
              <w:rPr>
                <w:rFonts w:eastAsia="Times New Roman"/>
                <w:b/>
                <w:bCs/>
                <w:spacing w:val="0"/>
                <w:sz w:val="20"/>
                <w:szCs w:val="20"/>
              </w:rPr>
            </w:r>
          </w:p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i/>
                <w:spacing w:val="0"/>
                <w:sz w:val="20"/>
                <w:szCs w:val="20"/>
                <w:highlight w:val="lightGray"/>
              </w:rPr>
              <w:t xml:space="preserve">Участник закупки дополнительно указывает в заявке: марку, модель, страну происхождения товара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3827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Наименование характеристики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ind w:left="18" w:firstLine="0"/>
              <w:jc w:val="center"/>
              <w:spacing w:line="240" w:lineRule="auto"/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  <w:t xml:space="preserve">Значение характеристики </w:t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r>
          </w:p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i/>
                <w:spacing w:val="0"/>
                <w:sz w:val="20"/>
                <w:szCs w:val="20"/>
                <w:highlight w:val="lightGray"/>
              </w:rPr>
              <w:t xml:space="preserve">Участник закупки указывает в заявке конкретные характеристики предлагаемого к поставке Товара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contextualSpacing w:val="0"/>
              <w:ind w:firstLine="0"/>
              <w:jc w:val="center"/>
              <w:spacing w:line="240" w:lineRule="auto"/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  <w:t xml:space="preserve">Единица измерения характеристики</w:t>
            </w:r>
            <w:r>
              <w:rPr>
                <w:rFonts w:eastAsia="Times New Roman"/>
                <w:b/>
                <w:bCs/>
                <w:color w:val="000000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ind w:left="18" w:firstLine="0"/>
              <w:jc w:val="center"/>
              <w:spacing w:line="240" w:lineRule="auto"/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  <w:t xml:space="preserve">Кол-во, </w:t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  <w:t xml:space="preserve">шт</w:t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  <w:t xml:space="preserve">.</w:t>
            </w:r>
            <w:r>
              <w:rPr>
                <w:rFonts w:eastAsia="Times New Roman"/>
                <w:b/>
                <w:spacing w:val="0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Многофункциональное 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устройство (МФУ)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Товарный знак (марка, модель): </w:t>
            </w:r>
            <w:r>
              <w:rPr>
                <w:sz w:val="20"/>
                <w:szCs w:val="20"/>
              </w:rPr>
              <w:t xml:space="preserve">МФУ "Катюша" M240 (артикул: M240pm-pp)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Россия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b/>
                <w:bCs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КТРУ: 26.20.18.000-00000069</w:t>
            </w:r>
            <w:r>
              <w:rPr>
                <w:rFonts w:eastAsia="Times New Roman"/>
                <w:b/>
                <w:bCs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Цветность печати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Черно-Белая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Максимальный формат печати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А4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печати страниц в месяц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Roboto"/>
                <w:sz w:val="20"/>
                <w:szCs w:val="20"/>
                <w:highlight w:val="white"/>
              </w:rPr>
              <w:t xml:space="preserve">90000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Штука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Возможность автоматической двухсторонней печати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 печати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Электрографическая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факса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Нет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модуля WI-FI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разъема USB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ЖК-дисплея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Возможность автоматического двухстороннего сканирования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Скорость черно-белой печати в формате А4,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стр/мин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Roboto"/>
                <w:sz w:val="20"/>
                <w:szCs w:val="20"/>
                <w:highlight w:val="white"/>
              </w:rPr>
              <w:t xml:space="preserve">Время выхода первого черно-белого отпечатка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Roboto"/>
                <w:sz w:val="20"/>
                <w:szCs w:val="20"/>
                <w:highlight w:val="white"/>
              </w:rPr>
              <w:t xml:space="preserve">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Roboto"/>
                <w:sz w:val="20"/>
                <w:szCs w:val="20"/>
                <w:highlight w:val="white"/>
              </w:rPr>
              <w:t xml:space="preserve">Секунда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установленной оперативной памяти 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4096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Мегабайт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Частота процессора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1200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Мегагерц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Возможность сканирования в форматах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 подключения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USB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Ethernet (RJ-45)</w:t>
            </w:r>
            <w:r>
              <w:rPr>
                <w:sz w:val="20"/>
                <w:szCs w:val="20"/>
                <w:lang w:val="en-US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сканирования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Планшетный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Протяжный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Скорость черно-белого копирования в формате А4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40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стр/мин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оригинальных черных тонер-картриджей (включая стартовый), поставляемых с оборудованием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Штука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2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Картридж к МФУ указанному в п.1, черный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Товарный знак (марка, модель): </w:t>
            </w:r>
            <w:r>
              <w:rPr>
                <w:sz w:val="20"/>
                <w:szCs w:val="20"/>
              </w:rPr>
              <w:t xml:space="preserve">TK240XL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Китай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ОКПД2: 28.99.40.110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 МФУ, указанном в п.1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черный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совместимый 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W w:w="417" w:type="dxa"/>
            <w:vMerge w:val="continue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Ресурс картриджа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10000 при 5% заполнении листа А4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3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contextualSpacing w:val="0"/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  <w:t xml:space="preserve">3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Картридж к МФУ Konica Minolta bizhub C251, 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Товарный знак (марка, модель): </w:t>
            </w:r>
            <w:r>
              <w:rPr>
                <w:sz w:val="20"/>
                <w:szCs w:val="20"/>
              </w:rPr>
              <w:t xml:space="preserve">Тонер черный TN-328K для Konica Minolta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Китай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ОКПД2: 28.99.40.110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Konica Minolta bizhub C251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черный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совместимый 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Ресурс картриджа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10000 при 5% </w:t>
            </w:r>
            <w:r>
              <w:rPr>
                <w:sz w:val="20"/>
                <w:szCs w:val="20"/>
              </w:rPr>
              <w:t xml:space="preserve">заполнении листа А4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Картридж к МФУ Konica Minolta bizhub C251, 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Товарный знак (марка, модель): </w:t>
            </w:r>
            <w:r>
              <w:rPr>
                <w:sz w:val="20"/>
                <w:szCs w:val="20"/>
              </w:rPr>
              <w:t xml:space="preserve">Тонер желтый TN-328Y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Konica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Minolta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Китай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ОКПД2: 28.99.40.110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Konica Minolta bizhub C251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желтый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совместимый 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Ресурс картриджа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10000 при 5% заполнении листа А4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Картридж к МФУ Konica Minolta bizhub C251, 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Товарный знак (марка, модель): </w:t>
            </w:r>
            <w:r>
              <w:rPr>
                <w:sz w:val="20"/>
                <w:szCs w:val="20"/>
              </w:rPr>
              <w:t xml:space="preserve">Тонер голубой </w:t>
            </w:r>
            <w:r>
              <w:rPr>
                <w:sz w:val="20"/>
                <w:szCs w:val="20"/>
                <w:lang w:val="en-US"/>
              </w:rPr>
              <w:t xml:space="preserve">TN</w:t>
            </w:r>
            <w:r>
              <w:rPr>
                <w:sz w:val="20"/>
                <w:szCs w:val="20"/>
              </w:rPr>
              <w:t xml:space="preserve">-328</w:t>
            </w:r>
            <w:r>
              <w:rPr>
                <w:sz w:val="20"/>
                <w:szCs w:val="20"/>
                <w:lang w:val="en-US"/>
              </w:rPr>
              <w:t xml:space="preserve">C</w:t>
            </w:r>
            <w:r>
              <w:rPr>
                <w:sz w:val="20"/>
                <w:szCs w:val="20"/>
              </w:rPr>
              <w:t xml:space="preserve"> для </w:t>
            </w:r>
            <w:r>
              <w:rPr>
                <w:sz w:val="20"/>
                <w:szCs w:val="20"/>
                <w:lang w:val="en-US"/>
              </w:rPr>
              <w:t xml:space="preserve">Konica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Minolta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Китай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ОКПД2: 28.99.40.110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Konica Minolta bizhub C251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голубой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совместимый 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Ресурс картриджа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10000 при 5% заполнении листа А4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0"/>
                <w:szCs w:val="20"/>
              </w:rPr>
              <w:t xml:space="preserve">Картридж к МФУ Konica Minolta bizhub C251, 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Товарный знак (марка, модель): </w:t>
            </w:r>
            <w:r>
              <w:rPr>
                <w:sz w:val="20"/>
                <w:szCs w:val="20"/>
              </w:rPr>
              <w:t xml:space="preserve">Тонер пурпурный TN-328M для Konica Minolta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 товара: </w:t>
            </w:r>
            <w:r>
              <w:rPr>
                <w:sz w:val="20"/>
                <w:szCs w:val="20"/>
              </w:rPr>
              <w:t xml:space="preserve">Китай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</w:r>
          </w:p>
          <w:p>
            <w:pPr>
              <w:ind w:firstLine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ОКПД2: 28.99.40.110</w:t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Совместимые модели печатающих устройств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Konica Minolta bizhub C251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restart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Цвет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пурпурный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Тип расходного материала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совместимый картридж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360"/>
        </w:trPr>
        <w:tc>
          <w:tcPr>
            <w:tcW w:w="417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2272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3827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Ресурс картриджа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843" w:type="dxa"/>
            <w:textDirection w:val="lrTb"/>
            <w:noWrap w:val="false"/>
          </w:tcPr>
          <w:p>
            <w:pPr>
              <w:ind w:firstLine="0"/>
              <w:jc w:val="left"/>
              <w:spacing w:line="240" w:lineRule="auto"/>
              <w:rPr>
                <w:rFonts w:eastAsia="Times New Roman"/>
                <w:spacing w:val="0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10000 при 5% заполнении листа А4</w:t>
            </w:r>
            <w:r>
              <w:rPr>
                <w:rFonts w:eastAsia="Times New Roman"/>
                <w:spacing w:val="0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W w:w="1134" w:type="dxa"/>
            <w:vMerge w:val="continue"/>
            <w:textDirection w:val="lrTb"/>
            <w:noWrap w:val="false"/>
          </w:tcPr>
          <w:p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ffffff" w:fill="ffffff"/>
            <w:tcW w:w="709" w:type="dxa"/>
            <w:vMerge w:val="continue"/>
            <w:textDirection w:val="lrTb"/>
            <w:noWrap w:val="false"/>
          </w:tcPr>
          <w:p>
            <w:pPr>
              <w:jc w:val="center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jc w:val="left"/>
        <w:rPr>
          <w:b/>
          <w:szCs w:val="24"/>
        </w:rPr>
      </w:pPr>
      <w:r>
        <w:rPr>
          <w:szCs w:val="24"/>
        </w:rPr>
        <w:t xml:space="preserve">  </w:t>
      </w:r>
      <w:r>
        <w:rPr>
          <w:b/>
          <w:szCs w:val="24"/>
        </w:rPr>
      </w:r>
    </w:p>
    <w:sectPr>
      <w:footnotePr/>
      <w:endnotePr/>
      <w:type w:val="nextPage"/>
      <w:pgSz w:w="11906" w:h="16838" w:orient="portrait"/>
      <w:pgMar w:top="567" w:right="567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370" w:firstLine="0"/>
      </w:pPr>
      <w:rPr>
        <w:vertAlign w:val="baseline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0"/>
      </w:pPr>
      <w:rPr>
        <w:b w:val="0"/>
        <w:i w:val="0"/>
        <w:vertAlign w:val="baselin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15" w:hanging="504"/>
      </w:pPr>
      <w:rPr>
        <w:rFonts w:hint="default" w:ascii="Times New Roman" w:hAnsi="Times New Roman" w:cs="Times New Roman"/>
        <w:vertAlign w:val="baselin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76" w:hanging="647"/>
      </w:pPr>
      <w:rPr>
        <w:vertAlign w:val="baseline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380" w:hanging="792"/>
      </w:pPr>
      <w:rPr>
        <w:vertAlign w:val="baseline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4" w:hanging="935"/>
      </w:pPr>
      <w:rPr>
        <w:vertAlign w:val="baseline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388" w:hanging="1080"/>
      </w:pPr>
      <w:rPr>
        <w:vertAlign w:val="baseline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892" w:hanging="1224"/>
      </w:pPr>
      <w:rPr>
        <w:vertAlign w:val="baseline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68" w:hanging="1440"/>
      </w:pPr>
      <w:rPr>
        <w:vertAlign w:val="baseline"/>
      </w:rPr>
    </w:lvl>
  </w:abstractNum>
  <w:abstractNum w:abstractNumId="1">
    <w:multiLevelType w:val="hybridMultilevel"/>
    <w:lvl w:ilvl="0">
      <w:start w:val="1"/>
      <w:numFmt w:val="russianLower"/>
      <w:pStyle w:val="858"/>
      <w:isLgl w:val="false"/>
      <w:suff w:val="tab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778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"/>
      <w:lvlJc w:val="left"/>
      <w:pPr>
        <w:ind w:left="2487" w:hanging="360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350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2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4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6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8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04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1070" w:hanging="360"/>
      </w:pPr>
    </w:lvl>
    <w:lvl w:ilvl="1">
      <w:start w:val="1"/>
      <w:numFmt w:val="decimal"/>
      <w:isLgl w:val="false"/>
      <w:suff w:val="tab"/>
      <w:lvlText w:val="%2)"/>
      <w:lvlJc w:val="left"/>
      <w:pPr>
        <w:ind w:left="1778" w:hanging="360"/>
      </w:pPr>
    </w:lvl>
    <w:lvl w:ilvl="2">
      <w:start w:val="1"/>
      <w:numFmt w:val="bullet"/>
      <w:isLgl w:val="false"/>
      <w:suff w:val="tab"/>
      <w:lvlText w:val=""/>
      <w:lvlJc w:val="left"/>
      <w:pPr>
        <w:ind w:left="2487" w:hanging="360"/>
      </w:pPr>
      <w:rPr>
        <w:rFonts w:hint="default" w:ascii="Symbol" w:hAnsi="Symbol"/>
      </w:rPr>
    </w:lvl>
    <w:lvl w:ilvl="3">
      <w:start w:val="1"/>
      <w:numFmt w:val="bullet"/>
      <w:isLgl w:val="false"/>
      <w:suff w:val="tab"/>
      <w:lvlText w:val=""/>
      <w:lvlJc w:val="left"/>
      <w:pPr>
        <w:ind w:left="350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2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4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6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8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04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 w:default="1">
    <w:name w:val="Normal"/>
    <w:qFormat/>
    <w:pPr>
      <w:contextualSpacing/>
      <w:ind w:firstLine="709"/>
      <w:jc w:val="both"/>
      <w:spacing w:after="0" w:line="360" w:lineRule="exact"/>
    </w:pPr>
    <w:rPr>
      <w:rFonts w:ascii="Times New Roman" w:hAnsi="Times New Roman" w:eastAsia="Calibri" w:cs="Times New Roman"/>
      <w:spacing w:val="2"/>
      <w:sz w:val="24"/>
    </w:rPr>
  </w:style>
  <w:style w:type="paragraph" w:styleId="660">
    <w:name w:val="Heading 1"/>
    <w:basedOn w:val="659"/>
    <w:next w:val="659"/>
    <w:link w:val="69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1">
    <w:name w:val="Heading 2"/>
    <w:basedOn w:val="659"/>
    <w:next w:val="659"/>
    <w:link w:val="6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2">
    <w:name w:val="Heading 3"/>
    <w:basedOn w:val="659"/>
    <w:next w:val="659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3">
    <w:name w:val="Heading 4"/>
    <w:basedOn w:val="659"/>
    <w:next w:val="659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659"/>
    <w:next w:val="659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665">
    <w:name w:val="Heading 6"/>
    <w:basedOn w:val="659"/>
    <w:next w:val="659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</w:rPr>
  </w:style>
  <w:style w:type="paragraph" w:styleId="666">
    <w:name w:val="Heading 7"/>
    <w:basedOn w:val="659"/>
    <w:next w:val="659"/>
    <w:link w:val="69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667">
    <w:name w:val="Heading 8"/>
    <w:basedOn w:val="659"/>
    <w:next w:val="659"/>
    <w:link w:val="6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</w:rPr>
  </w:style>
  <w:style w:type="paragraph" w:styleId="668">
    <w:name w:val="Heading 9"/>
    <w:basedOn w:val="659"/>
    <w:next w:val="659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Caption Char"/>
    <w:uiPriority w:val="99"/>
  </w:style>
  <w:style w:type="character" w:styleId="673" w:customStyle="1">
    <w:name w:val="Heading 1 Char"/>
    <w:basedOn w:val="669"/>
    <w:uiPriority w:val="9"/>
    <w:rPr>
      <w:rFonts w:ascii="Arial" w:hAnsi="Arial" w:eastAsia="Arial" w:cs="Arial"/>
      <w:sz w:val="40"/>
      <w:szCs w:val="40"/>
    </w:rPr>
  </w:style>
  <w:style w:type="character" w:styleId="674" w:customStyle="1">
    <w:name w:val="Heading 2 Char"/>
    <w:basedOn w:val="669"/>
    <w:uiPriority w:val="9"/>
    <w:rPr>
      <w:rFonts w:ascii="Arial" w:hAnsi="Arial" w:eastAsia="Arial" w:cs="Arial"/>
      <w:sz w:val="34"/>
    </w:rPr>
  </w:style>
  <w:style w:type="character" w:styleId="675" w:customStyle="1">
    <w:name w:val="Heading 3 Char"/>
    <w:basedOn w:val="669"/>
    <w:uiPriority w:val="9"/>
    <w:rPr>
      <w:rFonts w:ascii="Arial" w:hAnsi="Arial" w:eastAsia="Arial" w:cs="Arial"/>
      <w:sz w:val="30"/>
      <w:szCs w:val="30"/>
    </w:rPr>
  </w:style>
  <w:style w:type="character" w:styleId="676" w:customStyle="1">
    <w:name w:val="Heading 4 Char"/>
    <w:basedOn w:val="669"/>
    <w:uiPriority w:val="9"/>
    <w:rPr>
      <w:rFonts w:ascii="Arial" w:hAnsi="Arial" w:eastAsia="Arial" w:cs="Arial"/>
      <w:b/>
      <w:bCs/>
      <w:sz w:val="26"/>
      <w:szCs w:val="26"/>
    </w:rPr>
  </w:style>
  <w:style w:type="character" w:styleId="677" w:customStyle="1">
    <w:name w:val="Heading 5 Char"/>
    <w:basedOn w:val="669"/>
    <w:uiPriority w:val="9"/>
    <w:rPr>
      <w:rFonts w:ascii="Arial" w:hAnsi="Arial" w:eastAsia="Arial" w:cs="Arial"/>
      <w:b/>
      <w:bCs/>
      <w:sz w:val="24"/>
      <w:szCs w:val="24"/>
    </w:rPr>
  </w:style>
  <w:style w:type="character" w:styleId="678" w:customStyle="1">
    <w:name w:val="Heading 6 Char"/>
    <w:basedOn w:val="669"/>
    <w:uiPriority w:val="9"/>
    <w:rPr>
      <w:rFonts w:ascii="Arial" w:hAnsi="Arial" w:eastAsia="Arial" w:cs="Arial"/>
      <w:b/>
      <w:bCs/>
      <w:sz w:val="22"/>
      <w:szCs w:val="22"/>
    </w:rPr>
  </w:style>
  <w:style w:type="character" w:styleId="679" w:customStyle="1">
    <w:name w:val="Heading 7 Char"/>
    <w:basedOn w:val="66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 w:customStyle="1">
    <w:name w:val="Heading 8 Char"/>
    <w:basedOn w:val="669"/>
    <w:uiPriority w:val="9"/>
    <w:rPr>
      <w:rFonts w:ascii="Arial" w:hAnsi="Arial" w:eastAsia="Arial" w:cs="Arial"/>
      <w:i/>
      <w:iCs/>
      <w:sz w:val="22"/>
      <w:szCs w:val="22"/>
    </w:rPr>
  </w:style>
  <w:style w:type="character" w:styleId="681" w:customStyle="1">
    <w:name w:val="Heading 9 Char"/>
    <w:basedOn w:val="669"/>
    <w:uiPriority w:val="9"/>
    <w:rPr>
      <w:rFonts w:ascii="Arial" w:hAnsi="Arial" w:eastAsia="Arial" w:cs="Arial"/>
      <w:i/>
      <w:iCs/>
      <w:sz w:val="21"/>
      <w:szCs w:val="21"/>
    </w:rPr>
  </w:style>
  <w:style w:type="character" w:styleId="682" w:customStyle="1">
    <w:name w:val="Title Char"/>
    <w:basedOn w:val="669"/>
    <w:uiPriority w:val="10"/>
    <w:rPr>
      <w:sz w:val="48"/>
      <w:szCs w:val="48"/>
    </w:rPr>
  </w:style>
  <w:style w:type="character" w:styleId="683" w:customStyle="1">
    <w:name w:val="Subtitle Char"/>
    <w:basedOn w:val="669"/>
    <w:uiPriority w:val="11"/>
    <w:rPr>
      <w:sz w:val="24"/>
      <w:szCs w:val="24"/>
    </w:rPr>
  </w:style>
  <w:style w:type="character" w:styleId="684" w:customStyle="1">
    <w:name w:val="Quote Char"/>
    <w:uiPriority w:val="29"/>
    <w:rPr>
      <w:i/>
    </w:rPr>
  </w:style>
  <w:style w:type="character" w:styleId="685" w:customStyle="1">
    <w:name w:val="Intense Quote Char"/>
    <w:uiPriority w:val="30"/>
    <w:rPr>
      <w:i/>
    </w:rPr>
  </w:style>
  <w:style w:type="character" w:styleId="686" w:customStyle="1">
    <w:name w:val="Header Char"/>
    <w:basedOn w:val="669"/>
    <w:uiPriority w:val="99"/>
  </w:style>
  <w:style w:type="character" w:styleId="687" w:customStyle="1">
    <w:name w:val="Название объекта Знак"/>
    <w:link w:val="712"/>
    <w:uiPriority w:val="99"/>
  </w:style>
  <w:style w:type="character" w:styleId="688" w:customStyle="1">
    <w:name w:val="Footnote Text Char"/>
    <w:uiPriority w:val="99"/>
    <w:rPr>
      <w:sz w:val="18"/>
    </w:rPr>
  </w:style>
  <w:style w:type="character" w:styleId="689" w:customStyle="1">
    <w:name w:val="Endnote Text Char"/>
    <w:uiPriority w:val="99"/>
    <w:rPr>
      <w:sz w:val="20"/>
    </w:rPr>
  </w:style>
  <w:style w:type="character" w:styleId="690" w:customStyle="1">
    <w:name w:val="Заголовок 1 Знак"/>
    <w:basedOn w:val="669"/>
    <w:link w:val="660"/>
    <w:uiPriority w:val="9"/>
    <w:rPr>
      <w:rFonts w:ascii="Arial" w:hAnsi="Arial" w:eastAsia="Arial" w:cs="Arial"/>
      <w:sz w:val="40"/>
      <w:szCs w:val="40"/>
    </w:rPr>
  </w:style>
  <w:style w:type="character" w:styleId="691" w:customStyle="1">
    <w:name w:val="Заголовок 2 Знак"/>
    <w:basedOn w:val="669"/>
    <w:link w:val="661"/>
    <w:uiPriority w:val="9"/>
    <w:rPr>
      <w:rFonts w:ascii="Arial" w:hAnsi="Arial" w:eastAsia="Arial" w:cs="Arial"/>
      <w:sz w:val="34"/>
    </w:rPr>
  </w:style>
  <w:style w:type="character" w:styleId="692" w:customStyle="1">
    <w:name w:val="Заголовок 3 Знак"/>
    <w:basedOn w:val="669"/>
    <w:link w:val="662"/>
    <w:uiPriority w:val="9"/>
    <w:rPr>
      <w:rFonts w:ascii="Arial" w:hAnsi="Arial" w:eastAsia="Arial" w:cs="Arial"/>
      <w:sz w:val="30"/>
      <w:szCs w:val="30"/>
    </w:rPr>
  </w:style>
  <w:style w:type="character" w:styleId="693" w:customStyle="1">
    <w:name w:val="Заголовок 4 Знак"/>
    <w:basedOn w:val="669"/>
    <w:link w:val="663"/>
    <w:uiPriority w:val="9"/>
    <w:rPr>
      <w:rFonts w:ascii="Arial" w:hAnsi="Arial" w:eastAsia="Arial" w:cs="Arial"/>
      <w:b/>
      <w:bCs/>
      <w:sz w:val="26"/>
      <w:szCs w:val="26"/>
    </w:rPr>
  </w:style>
  <w:style w:type="character" w:styleId="694" w:customStyle="1">
    <w:name w:val="Заголовок 5 Знак"/>
    <w:basedOn w:val="669"/>
    <w:link w:val="664"/>
    <w:uiPriority w:val="9"/>
    <w:rPr>
      <w:rFonts w:ascii="Arial" w:hAnsi="Arial" w:eastAsia="Arial" w:cs="Arial"/>
      <w:b/>
      <w:bCs/>
      <w:sz w:val="24"/>
      <w:szCs w:val="24"/>
    </w:rPr>
  </w:style>
  <w:style w:type="character" w:styleId="695" w:customStyle="1">
    <w:name w:val="Заголовок 6 Знак"/>
    <w:basedOn w:val="669"/>
    <w:link w:val="665"/>
    <w:uiPriority w:val="9"/>
    <w:rPr>
      <w:rFonts w:ascii="Arial" w:hAnsi="Arial" w:eastAsia="Arial" w:cs="Arial"/>
      <w:b/>
      <w:bCs/>
      <w:sz w:val="22"/>
      <w:szCs w:val="22"/>
    </w:rPr>
  </w:style>
  <w:style w:type="character" w:styleId="696" w:customStyle="1">
    <w:name w:val="Заголовок 7 Знак"/>
    <w:basedOn w:val="669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7" w:customStyle="1">
    <w:name w:val="Заголовок 8 Знак"/>
    <w:basedOn w:val="669"/>
    <w:link w:val="667"/>
    <w:uiPriority w:val="9"/>
    <w:rPr>
      <w:rFonts w:ascii="Arial" w:hAnsi="Arial" w:eastAsia="Arial" w:cs="Arial"/>
      <w:i/>
      <w:iCs/>
      <w:sz w:val="22"/>
      <w:szCs w:val="22"/>
    </w:rPr>
  </w:style>
  <w:style w:type="character" w:styleId="698" w:customStyle="1">
    <w:name w:val="Заголовок 9 Знак"/>
    <w:basedOn w:val="669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after="0" w:line="240" w:lineRule="auto"/>
    </w:pPr>
  </w:style>
  <w:style w:type="paragraph" w:styleId="700">
    <w:name w:val="Title"/>
    <w:basedOn w:val="659"/>
    <w:next w:val="659"/>
    <w:link w:val="701"/>
    <w:uiPriority w:val="10"/>
    <w:qFormat/>
    <w:pPr>
      <w:spacing w:before="300" w:after="200"/>
    </w:pPr>
    <w:rPr>
      <w:sz w:val="48"/>
      <w:szCs w:val="48"/>
    </w:rPr>
  </w:style>
  <w:style w:type="character" w:styleId="701" w:customStyle="1">
    <w:name w:val="Заголовок Знак"/>
    <w:basedOn w:val="669"/>
    <w:link w:val="700"/>
    <w:uiPriority w:val="10"/>
    <w:rPr>
      <w:sz w:val="48"/>
      <w:szCs w:val="48"/>
    </w:rPr>
  </w:style>
  <w:style w:type="paragraph" w:styleId="702">
    <w:name w:val="Subtitle"/>
    <w:basedOn w:val="659"/>
    <w:next w:val="659"/>
    <w:link w:val="703"/>
    <w:uiPriority w:val="11"/>
    <w:qFormat/>
    <w:pPr>
      <w:spacing w:before="200" w:after="200"/>
    </w:pPr>
    <w:rPr>
      <w:szCs w:val="24"/>
    </w:rPr>
  </w:style>
  <w:style w:type="character" w:styleId="703" w:customStyle="1">
    <w:name w:val="Подзаголовок Знак"/>
    <w:basedOn w:val="669"/>
    <w:link w:val="702"/>
    <w:uiPriority w:val="11"/>
    <w:rPr>
      <w:sz w:val="24"/>
      <w:szCs w:val="24"/>
    </w:rPr>
  </w:style>
  <w:style w:type="paragraph" w:styleId="704">
    <w:name w:val="Quote"/>
    <w:basedOn w:val="659"/>
    <w:next w:val="659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59"/>
    <w:next w:val="659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59"/>
    <w:link w:val="709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09" w:customStyle="1">
    <w:name w:val="Верхний колонтитул Знак"/>
    <w:basedOn w:val="669"/>
    <w:link w:val="708"/>
    <w:uiPriority w:val="99"/>
  </w:style>
  <w:style w:type="paragraph" w:styleId="710">
    <w:name w:val="Footer"/>
    <w:basedOn w:val="659"/>
    <w:link w:val="713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711" w:customStyle="1">
    <w:name w:val="Footer Char"/>
    <w:basedOn w:val="669"/>
    <w:uiPriority w:val="99"/>
  </w:style>
  <w:style w:type="paragraph" w:styleId="712">
    <w:name w:val="Caption"/>
    <w:basedOn w:val="659"/>
    <w:next w:val="659"/>
    <w:link w:val="687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13" w:customStyle="1">
    <w:name w:val="Нижний колонтитул Знак"/>
    <w:link w:val="710"/>
    <w:uiPriority w:val="99"/>
  </w:style>
  <w:style w:type="table" w:styleId="714">
    <w:name w:val="Table Grid"/>
    <w:basedOn w:val="67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5" w:customStyle="1">
    <w:name w:val="Table Grid Light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6">
    <w:name w:val="Plain Table 1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67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4" w:customStyle="1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5" w:customStyle="1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6" w:customStyle="1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7" w:customStyle="1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8" w:customStyle="1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9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6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8" w:customStyle="1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9" w:customStyle="1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0" w:customStyle="1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1" w:customStyle="1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2" w:customStyle="1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3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 w:customStyle="1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9" w:customStyle="1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0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7" w:customStyle="1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8" w:customStyle="1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9" w:customStyle="1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0" w:customStyle="1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11" w:customStyle="1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2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8" w:customStyle="1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Lined - Accent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1" w:customStyle="1">
    <w:name w:val="Lined - Accent 2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2" w:customStyle="1">
    <w:name w:val="Lined - Accent 3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3" w:customStyle="1">
    <w:name w:val="Lined - Accent 4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4" w:customStyle="1">
    <w:name w:val="Lined - Accent 5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5" w:customStyle="1">
    <w:name w:val="Lined - Accent 6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6" w:customStyle="1">
    <w:name w:val="Bordered &amp; Lined - Accent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8" w:customStyle="1">
    <w:name w:val="Bordered &amp; Lined - Accent 2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Bordered &amp; Lined - Accent 3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Bordered &amp; Lined - Accent 4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Bordered &amp; Lined - Accent 5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2" w:customStyle="1">
    <w:name w:val="Bordered &amp; Lined - Accent 6"/>
    <w:basedOn w:val="670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5" w:customStyle="1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6" w:customStyle="1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7" w:customStyle="1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8" w:customStyle="1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9" w:customStyle="1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563c1" w:themeColor="hyperlink"/>
      <w:u w:val="single"/>
    </w:rPr>
  </w:style>
  <w:style w:type="paragraph" w:styleId="841">
    <w:name w:val="footnote text"/>
    <w:basedOn w:val="659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 w:customStyle="1">
    <w:name w:val="Текст сноски Знак"/>
    <w:link w:val="841"/>
    <w:uiPriority w:val="99"/>
    <w:rPr>
      <w:sz w:val="18"/>
    </w:rPr>
  </w:style>
  <w:style w:type="character" w:styleId="843">
    <w:name w:val="footnote reference"/>
    <w:basedOn w:val="669"/>
    <w:uiPriority w:val="99"/>
    <w:unhideWhenUsed/>
    <w:rPr>
      <w:vertAlign w:val="superscript"/>
    </w:rPr>
  </w:style>
  <w:style w:type="paragraph" w:styleId="844">
    <w:name w:val="endnote text"/>
    <w:basedOn w:val="659"/>
    <w:link w:val="845"/>
    <w:uiPriority w:val="99"/>
    <w:semiHidden/>
    <w:unhideWhenUsed/>
    <w:pPr>
      <w:spacing w:line="240" w:lineRule="auto"/>
    </w:pPr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basedOn w:val="669"/>
    <w:uiPriority w:val="99"/>
    <w:semiHidden/>
    <w:unhideWhenUsed/>
    <w:rPr>
      <w:vertAlign w:val="superscript"/>
    </w:rPr>
  </w:style>
  <w:style w:type="paragraph" w:styleId="847">
    <w:name w:val="toc 1"/>
    <w:basedOn w:val="659"/>
    <w:next w:val="659"/>
    <w:uiPriority w:val="39"/>
    <w:unhideWhenUsed/>
    <w:pPr>
      <w:ind w:firstLine="0"/>
      <w:spacing w:after="57"/>
    </w:pPr>
  </w:style>
  <w:style w:type="paragraph" w:styleId="848">
    <w:name w:val="toc 2"/>
    <w:basedOn w:val="659"/>
    <w:next w:val="659"/>
    <w:uiPriority w:val="39"/>
    <w:unhideWhenUsed/>
    <w:pPr>
      <w:ind w:left="283" w:firstLine="0"/>
      <w:spacing w:after="57"/>
    </w:pPr>
  </w:style>
  <w:style w:type="paragraph" w:styleId="849">
    <w:name w:val="toc 3"/>
    <w:basedOn w:val="659"/>
    <w:next w:val="659"/>
    <w:uiPriority w:val="39"/>
    <w:unhideWhenUsed/>
    <w:pPr>
      <w:ind w:left="567" w:firstLine="0"/>
      <w:spacing w:after="57"/>
    </w:pPr>
  </w:style>
  <w:style w:type="paragraph" w:styleId="850">
    <w:name w:val="toc 4"/>
    <w:basedOn w:val="659"/>
    <w:next w:val="659"/>
    <w:uiPriority w:val="39"/>
    <w:unhideWhenUsed/>
    <w:pPr>
      <w:ind w:left="850" w:firstLine="0"/>
      <w:spacing w:after="57"/>
    </w:pPr>
  </w:style>
  <w:style w:type="paragraph" w:styleId="851">
    <w:name w:val="toc 5"/>
    <w:basedOn w:val="659"/>
    <w:next w:val="659"/>
    <w:uiPriority w:val="39"/>
    <w:unhideWhenUsed/>
    <w:pPr>
      <w:ind w:left="1134" w:firstLine="0"/>
      <w:spacing w:after="57"/>
    </w:pPr>
  </w:style>
  <w:style w:type="paragraph" w:styleId="852">
    <w:name w:val="toc 6"/>
    <w:basedOn w:val="659"/>
    <w:next w:val="659"/>
    <w:uiPriority w:val="39"/>
    <w:unhideWhenUsed/>
    <w:pPr>
      <w:ind w:left="1417" w:firstLine="0"/>
      <w:spacing w:after="57"/>
    </w:pPr>
  </w:style>
  <w:style w:type="paragraph" w:styleId="853">
    <w:name w:val="toc 7"/>
    <w:basedOn w:val="659"/>
    <w:next w:val="659"/>
    <w:uiPriority w:val="39"/>
    <w:unhideWhenUsed/>
    <w:pPr>
      <w:ind w:left="1701" w:firstLine="0"/>
      <w:spacing w:after="57"/>
    </w:pPr>
  </w:style>
  <w:style w:type="paragraph" w:styleId="854">
    <w:name w:val="toc 8"/>
    <w:basedOn w:val="659"/>
    <w:next w:val="659"/>
    <w:uiPriority w:val="39"/>
    <w:unhideWhenUsed/>
    <w:pPr>
      <w:ind w:left="1984" w:firstLine="0"/>
      <w:spacing w:after="57"/>
    </w:pPr>
  </w:style>
  <w:style w:type="paragraph" w:styleId="855">
    <w:name w:val="toc 9"/>
    <w:basedOn w:val="659"/>
    <w:next w:val="659"/>
    <w:uiPriority w:val="39"/>
    <w:unhideWhenUsed/>
    <w:pPr>
      <w:ind w:left="2268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659"/>
    <w:next w:val="659"/>
    <w:uiPriority w:val="99"/>
    <w:unhideWhenUsed/>
  </w:style>
  <w:style w:type="paragraph" w:styleId="858">
    <w:name w:val="List Paragraph"/>
    <w:basedOn w:val="659"/>
    <w:link w:val="859"/>
    <w:qFormat/>
    <w:pPr>
      <w:numPr>
        <w:ilvl w:val="0"/>
        <w:numId w:val="1"/>
      </w:numPr>
    </w:pPr>
  </w:style>
  <w:style w:type="character" w:styleId="859" w:customStyle="1">
    <w:name w:val="Абзац списка Знак"/>
    <w:link w:val="858"/>
    <w:qFormat/>
    <w:rPr>
      <w:rFonts w:ascii="Times New Roman" w:hAnsi="Times New Roman" w:eastAsia="Calibri" w:cs="Times New Roman"/>
      <w:spacing w:val="2"/>
      <w:sz w:val="24"/>
    </w:rPr>
  </w:style>
  <w:style w:type="character" w:styleId="860" w:customStyle="1">
    <w:name w:val="es7ht5z5"/>
    <w:basedOn w:val="669"/>
  </w:style>
  <w:style w:type="character" w:styleId="861" w:customStyle="1">
    <w:name w:val="es7ht5z6"/>
    <w:basedOn w:val="66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p.mukhin</cp:lastModifiedBy>
  <cp:revision>3</cp:revision>
  <dcterms:created xsi:type="dcterms:W3CDTF">2026-07-23T15:05:00Z</dcterms:created>
  <dcterms:modified xsi:type="dcterms:W3CDTF">2026-07-23T15:12:44Z</dcterms:modified>
</cp:coreProperties>
</file>