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EFF15" w14:textId="77777777" w:rsidR="00EE78B1" w:rsidRDefault="00EE78B1" w:rsidP="00EE78B1">
      <w:pPr>
        <w:widowControl w:val="0"/>
        <w:autoSpaceDE w:val="0"/>
        <w:autoSpaceDN w:val="0"/>
        <w:adjustRightInd w:val="0"/>
        <w:jc w:val="both"/>
        <w:rPr>
          <w:b/>
        </w:rPr>
      </w:pP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4564"/>
        <w:gridCol w:w="1276"/>
        <w:gridCol w:w="992"/>
      </w:tblGrid>
      <w:tr w:rsidR="00220DFE" w14:paraId="19F21A77" w14:textId="77777777" w:rsidTr="00220DFE">
        <w:tc>
          <w:tcPr>
            <w:tcW w:w="567" w:type="dxa"/>
            <w:tcBorders>
              <w:top w:val="single" w:sz="4" w:space="0" w:color="auto"/>
              <w:left w:val="single" w:sz="4" w:space="0" w:color="auto"/>
              <w:bottom w:val="single" w:sz="4" w:space="0" w:color="auto"/>
              <w:right w:val="single" w:sz="4" w:space="0" w:color="auto"/>
            </w:tcBorders>
            <w:vAlign w:val="center"/>
            <w:hideMark/>
          </w:tcPr>
          <w:p w14:paraId="5EDCB6FF" w14:textId="77777777" w:rsidR="00220DFE" w:rsidRDefault="00220DFE">
            <w:pPr>
              <w:jc w:val="center"/>
              <w:rPr>
                <w:b/>
              </w:rPr>
            </w:pPr>
            <w:r>
              <w:rPr>
                <w:b/>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46543D4" w14:textId="77777777" w:rsidR="00220DFE" w:rsidRDefault="00220DFE">
            <w:pPr>
              <w:jc w:val="center"/>
              <w:rPr>
                <w:b/>
              </w:rPr>
            </w:pPr>
            <w:r>
              <w:rPr>
                <w:b/>
              </w:rPr>
              <w:t>Наименование товара</w:t>
            </w:r>
          </w:p>
        </w:tc>
        <w:tc>
          <w:tcPr>
            <w:tcW w:w="4564" w:type="dxa"/>
            <w:tcBorders>
              <w:top w:val="single" w:sz="4" w:space="0" w:color="auto"/>
              <w:left w:val="single" w:sz="4" w:space="0" w:color="auto"/>
              <w:bottom w:val="single" w:sz="4" w:space="0" w:color="auto"/>
              <w:right w:val="single" w:sz="4" w:space="0" w:color="auto"/>
            </w:tcBorders>
            <w:vAlign w:val="center"/>
            <w:hideMark/>
          </w:tcPr>
          <w:p w14:paraId="4BE80B22" w14:textId="77777777" w:rsidR="00220DFE" w:rsidRDefault="00220DFE">
            <w:pPr>
              <w:jc w:val="center"/>
              <w:rPr>
                <w:b/>
              </w:rPr>
            </w:pPr>
            <w:r>
              <w:rPr>
                <w:b/>
              </w:rPr>
              <w:t>Требования заказчика к объекту закупки по техническим, функциональным и качественным характеристикам, эксплуатационным характеристикам предмета закупки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FFFF81" w14:textId="77777777" w:rsidR="00220DFE" w:rsidRDefault="00220DFE">
            <w:pPr>
              <w:jc w:val="center"/>
              <w:rPr>
                <w:b/>
              </w:rPr>
            </w:pPr>
            <w:r>
              <w:rPr>
                <w:b/>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F9BDC6" w14:textId="77777777" w:rsidR="00220DFE" w:rsidRDefault="00220DFE">
            <w:pPr>
              <w:jc w:val="center"/>
              <w:rPr>
                <w:b/>
              </w:rPr>
            </w:pPr>
            <w:r>
              <w:rPr>
                <w:b/>
              </w:rPr>
              <w:t>Кол-во</w:t>
            </w:r>
          </w:p>
        </w:tc>
      </w:tr>
      <w:tr w:rsidR="00220DFE" w14:paraId="6F46D72B" w14:textId="77777777" w:rsidTr="00220DFE">
        <w:tc>
          <w:tcPr>
            <w:tcW w:w="567" w:type="dxa"/>
            <w:tcBorders>
              <w:top w:val="single" w:sz="4" w:space="0" w:color="auto"/>
              <w:left w:val="single" w:sz="4" w:space="0" w:color="auto"/>
              <w:bottom w:val="single" w:sz="4" w:space="0" w:color="auto"/>
              <w:right w:val="single" w:sz="4" w:space="0" w:color="auto"/>
            </w:tcBorders>
            <w:vAlign w:val="center"/>
            <w:hideMark/>
          </w:tcPr>
          <w:p w14:paraId="77EE1048" w14:textId="77777777" w:rsidR="00220DFE" w:rsidRDefault="00220DFE" w:rsidP="0042612E">
            <w:pPr>
              <w:jc w:val="center"/>
            </w:pPr>
            <w: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2F39E2F" w14:textId="77777777" w:rsidR="00220DFE" w:rsidRDefault="00220DFE" w:rsidP="0042612E">
            <w:pPr>
              <w:pStyle w:val="30"/>
              <w:spacing w:line="0" w:lineRule="atLeast"/>
              <w:ind w:left="0"/>
              <w:jc w:val="center"/>
              <w:rPr>
                <w:sz w:val="20"/>
              </w:rPr>
            </w:pPr>
            <w:proofErr w:type="spellStart"/>
            <w:r>
              <w:rPr>
                <w:sz w:val="20"/>
              </w:rPr>
              <w:t>Тибиальный</w:t>
            </w:r>
            <w:proofErr w:type="spellEnd"/>
            <w:r>
              <w:rPr>
                <w:sz w:val="20"/>
              </w:rPr>
              <w:t xml:space="preserve"> компонент</w:t>
            </w:r>
          </w:p>
          <w:p w14:paraId="570826A6" w14:textId="77777777" w:rsidR="00220DFE" w:rsidRDefault="00220DFE" w:rsidP="0042612E">
            <w:pPr>
              <w:pStyle w:val="30"/>
              <w:spacing w:line="0" w:lineRule="atLeast"/>
              <w:ind w:left="0"/>
              <w:jc w:val="center"/>
              <w:rPr>
                <w:sz w:val="20"/>
              </w:rPr>
            </w:pPr>
          </w:p>
          <w:p w14:paraId="6EBF8346" w14:textId="76FE64C0" w:rsidR="00220DFE" w:rsidRDefault="00220DFE" w:rsidP="0042612E">
            <w:pPr>
              <w:pStyle w:val="30"/>
              <w:spacing w:line="0" w:lineRule="atLeast"/>
              <w:ind w:left="0"/>
              <w:jc w:val="center"/>
              <w:rPr>
                <w:sz w:val="20"/>
              </w:rPr>
            </w:pPr>
          </w:p>
        </w:tc>
        <w:tc>
          <w:tcPr>
            <w:tcW w:w="4564" w:type="dxa"/>
            <w:tcBorders>
              <w:top w:val="single" w:sz="4" w:space="0" w:color="auto"/>
              <w:left w:val="single" w:sz="4" w:space="0" w:color="auto"/>
              <w:bottom w:val="single" w:sz="4" w:space="0" w:color="auto"/>
              <w:right w:val="single" w:sz="4" w:space="0" w:color="auto"/>
            </w:tcBorders>
            <w:hideMark/>
          </w:tcPr>
          <w:p w14:paraId="441C0486" w14:textId="77777777" w:rsidR="00220DFE" w:rsidRDefault="00220DFE" w:rsidP="0042612E">
            <w:pPr>
              <w:pStyle w:val="30"/>
              <w:spacing w:line="0" w:lineRule="atLeast"/>
              <w:ind w:left="0"/>
              <w:jc w:val="left"/>
              <w:rPr>
                <w:sz w:val="20"/>
              </w:rPr>
            </w:pPr>
            <w:proofErr w:type="spellStart"/>
            <w:r>
              <w:rPr>
                <w:sz w:val="20"/>
              </w:rPr>
              <w:t>Тибиальный</w:t>
            </w:r>
            <w:proofErr w:type="spellEnd"/>
            <w:r>
              <w:rPr>
                <w:sz w:val="20"/>
              </w:rPr>
              <w:t xml:space="preserve"> компонент металлический на ножке для цементной фиксации, изготовленный из кобальт-хромового сплава. Имеет </w:t>
            </w:r>
            <w:proofErr w:type="spellStart"/>
            <w:r>
              <w:rPr>
                <w:sz w:val="20"/>
              </w:rPr>
              <w:t>килевидную</w:t>
            </w:r>
            <w:proofErr w:type="spellEnd"/>
            <w:r>
              <w:rPr>
                <w:sz w:val="20"/>
              </w:rPr>
              <w:t xml:space="preserve"> форму ножку с не полированной поверхностью, что увеличивает площадь контакта с цементной мантией. Типоразмеры: 6 стандартных. Медиально-латеральный/переднезадний размер увеличивается от размера к размеру: 66/42 мм; 66/46 мм; 71/48 мм; 72/50 мм; 76/52 мм; 78/54 мм</w:t>
            </w:r>
            <w:r>
              <w:rPr>
                <w:sz w:val="20"/>
                <w:lang w:eastAsia="en-GB"/>
              </w:rPr>
              <w:t xml:space="preserve"> (</w:t>
            </w:r>
            <w:r>
              <w:rPr>
                <w:b/>
                <w:sz w:val="20"/>
                <w:lang w:eastAsia="en-GB"/>
              </w:rPr>
              <w:t>по выбору Заказчика</w:t>
            </w:r>
            <w:r>
              <w:rPr>
                <w:sz w:val="20"/>
                <w:lang w:eastAsia="en-GB"/>
              </w:rPr>
              <w:t>).</w:t>
            </w:r>
            <w:r>
              <w:rPr>
                <w:kern w:val="2"/>
                <w:sz w:val="20"/>
              </w:rPr>
              <w:t xml:space="preserve"> </w:t>
            </w:r>
            <w:r>
              <w:rPr>
                <w:sz w:val="20"/>
              </w:rPr>
              <w:t>Тип запорного механизма для полиэтиленовой прокладки - защелкивающийся. Поставляется стерильным в стерильной упаковке.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E65855" w14:textId="77777777" w:rsidR="00220DFE" w:rsidRDefault="00220DFE" w:rsidP="0042612E">
            <w:pPr>
              <w:jc w:val="center"/>
            </w:pPr>
            <w:r>
              <w:t>штука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D76B93" w14:textId="77777777" w:rsidR="00220DFE" w:rsidRDefault="00220DFE" w:rsidP="0042612E">
            <w:pPr>
              <w:jc w:val="center"/>
              <w:rPr>
                <w:color w:val="000000"/>
              </w:rPr>
            </w:pPr>
            <w:r>
              <w:rPr>
                <w:color w:val="000000"/>
              </w:rPr>
              <w:t>1</w:t>
            </w:r>
          </w:p>
        </w:tc>
      </w:tr>
      <w:tr w:rsidR="00220DFE" w14:paraId="1137C91A" w14:textId="77777777" w:rsidTr="00220DFE">
        <w:tc>
          <w:tcPr>
            <w:tcW w:w="567" w:type="dxa"/>
            <w:tcBorders>
              <w:top w:val="single" w:sz="4" w:space="0" w:color="auto"/>
              <w:left w:val="single" w:sz="4" w:space="0" w:color="auto"/>
              <w:bottom w:val="single" w:sz="4" w:space="0" w:color="auto"/>
              <w:right w:val="single" w:sz="4" w:space="0" w:color="auto"/>
            </w:tcBorders>
            <w:vAlign w:val="center"/>
            <w:hideMark/>
          </w:tcPr>
          <w:p w14:paraId="0BB98BA1" w14:textId="77777777" w:rsidR="00220DFE" w:rsidRDefault="00220DFE" w:rsidP="0042612E">
            <w:pPr>
              <w:jc w:val="center"/>
            </w:pPr>
            <w: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2E4E77" w14:textId="77777777" w:rsidR="00220DFE" w:rsidRDefault="00220DFE" w:rsidP="0042612E">
            <w:pPr>
              <w:pStyle w:val="30"/>
              <w:spacing w:line="0" w:lineRule="atLeast"/>
              <w:ind w:left="0"/>
              <w:jc w:val="center"/>
              <w:rPr>
                <w:sz w:val="20"/>
              </w:rPr>
            </w:pPr>
            <w:r>
              <w:rPr>
                <w:sz w:val="20"/>
              </w:rPr>
              <w:t xml:space="preserve">Прокладка </w:t>
            </w:r>
            <w:proofErr w:type="spellStart"/>
            <w:r>
              <w:rPr>
                <w:sz w:val="20"/>
              </w:rPr>
              <w:t>тибиальная</w:t>
            </w:r>
            <w:proofErr w:type="spellEnd"/>
          </w:p>
          <w:p w14:paraId="53852729" w14:textId="77777777" w:rsidR="00220DFE" w:rsidRDefault="00220DFE" w:rsidP="0042612E">
            <w:pPr>
              <w:pStyle w:val="30"/>
              <w:spacing w:line="0" w:lineRule="atLeast"/>
              <w:ind w:left="0"/>
              <w:jc w:val="center"/>
              <w:rPr>
                <w:sz w:val="20"/>
              </w:rPr>
            </w:pPr>
          </w:p>
          <w:p w14:paraId="363C3A5E" w14:textId="186C1F80" w:rsidR="00220DFE" w:rsidRDefault="00220DFE" w:rsidP="0042612E">
            <w:pPr>
              <w:pStyle w:val="30"/>
              <w:spacing w:line="0" w:lineRule="atLeast"/>
              <w:ind w:left="0"/>
              <w:jc w:val="center"/>
              <w:rPr>
                <w:sz w:val="20"/>
              </w:rPr>
            </w:pPr>
          </w:p>
        </w:tc>
        <w:tc>
          <w:tcPr>
            <w:tcW w:w="4564" w:type="dxa"/>
            <w:tcBorders>
              <w:top w:val="single" w:sz="4" w:space="0" w:color="auto"/>
              <w:left w:val="single" w:sz="4" w:space="0" w:color="auto"/>
              <w:bottom w:val="single" w:sz="4" w:space="0" w:color="auto"/>
              <w:right w:val="single" w:sz="4" w:space="0" w:color="auto"/>
            </w:tcBorders>
            <w:hideMark/>
          </w:tcPr>
          <w:p w14:paraId="3F980642" w14:textId="77777777" w:rsidR="00220DFE" w:rsidRDefault="00220DFE" w:rsidP="0042612E">
            <w:pPr>
              <w:pStyle w:val="30"/>
              <w:spacing w:line="0" w:lineRule="atLeast"/>
              <w:ind w:left="0"/>
              <w:jc w:val="left"/>
              <w:rPr>
                <w:sz w:val="20"/>
              </w:rPr>
            </w:pPr>
            <w:r>
              <w:rPr>
                <w:sz w:val="20"/>
              </w:rPr>
              <w:t xml:space="preserve">Полиэтиленовая прокладка эндопротеза коленного сустава изготовлена из </w:t>
            </w:r>
            <w:proofErr w:type="spellStart"/>
            <w:r>
              <w:rPr>
                <w:sz w:val="20"/>
              </w:rPr>
              <w:t>сверхвысокомолекулярного</w:t>
            </w:r>
            <w:proofErr w:type="spellEnd"/>
            <w:r>
              <w:rPr>
                <w:sz w:val="20"/>
              </w:rPr>
              <w:t xml:space="preserve"> полиэтилена. Верхняя поверхность вкладыша имеет форму сферической дуги, увеличивающая площадь соприкосновения конгруэнтных поверхностей. Наличие пяти точек крепления для улучшения стабильности компонента в связке "вкладыш-</w:t>
            </w:r>
            <w:proofErr w:type="spellStart"/>
            <w:r>
              <w:rPr>
                <w:sz w:val="20"/>
              </w:rPr>
              <w:t>тибиальный</w:t>
            </w:r>
            <w:proofErr w:type="spellEnd"/>
            <w:r>
              <w:rPr>
                <w:sz w:val="20"/>
              </w:rPr>
              <w:t xml:space="preserve"> компонент". </w:t>
            </w:r>
            <w:proofErr w:type="spellStart"/>
            <w:r>
              <w:rPr>
                <w:sz w:val="20"/>
              </w:rPr>
              <w:t>Типоразмерный</w:t>
            </w:r>
            <w:proofErr w:type="spellEnd"/>
            <w:r>
              <w:rPr>
                <w:sz w:val="20"/>
              </w:rPr>
              <w:t xml:space="preserve"> ряд предусматривает 3-и типоразмера по ширине и 4-е типоразмера по толщине: 9 мм; 11 мм; 14 мм; 17 мм</w:t>
            </w:r>
            <w:r>
              <w:rPr>
                <w:sz w:val="20"/>
                <w:lang w:eastAsia="en-GB"/>
              </w:rPr>
              <w:t xml:space="preserve"> (</w:t>
            </w:r>
            <w:r>
              <w:rPr>
                <w:b/>
                <w:sz w:val="20"/>
                <w:lang w:eastAsia="en-GB"/>
              </w:rPr>
              <w:t>по выбору Заказчика</w:t>
            </w:r>
            <w:r>
              <w:rPr>
                <w:sz w:val="20"/>
                <w:lang w:eastAsia="en-GB"/>
              </w:rPr>
              <w:t>).</w:t>
            </w:r>
            <w:r>
              <w:rPr>
                <w:kern w:val="2"/>
                <w:sz w:val="20"/>
              </w:rPr>
              <w:t xml:space="preserve"> </w:t>
            </w:r>
            <w:r>
              <w:rPr>
                <w:sz w:val="20"/>
              </w:rPr>
              <w:t xml:space="preserve">Возможна замена полиэтиленовой прокладки без удаления бедренного и </w:t>
            </w:r>
            <w:proofErr w:type="spellStart"/>
            <w:r>
              <w:rPr>
                <w:sz w:val="20"/>
              </w:rPr>
              <w:t>тибиального</w:t>
            </w:r>
            <w:proofErr w:type="spellEnd"/>
            <w:r>
              <w:rPr>
                <w:sz w:val="20"/>
              </w:rPr>
              <w:t xml:space="preserve"> компонентов. Тип фиксации в </w:t>
            </w:r>
            <w:proofErr w:type="spellStart"/>
            <w:r>
              <w:rPr>
                <w:sz w:val="20"/>
              </w:rPr>
              <w:t>тибиальном</w:t>
            </w:r>
            <w:proofErr w:type="spellEnd"/>
            <w:r>
              <w:rPr>
                <w:sz w:val="20"/>
              </w:rPr>
              <w:t xml:space="preserve"> компоненте: методом защелкивания. Поставляется стерильным в стерильной упаковке.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34F136" w14:textId="77777777" w:rsidR="00220DFE" w:rsidRDefault="00220DFE" w:rsidP="0042612E">
            <w:pPr>
              <w:jc w:val="center"/>
            </w:pPr>
            <w:r>
              <w:t>штука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167948" w14:textId="77777777" w:rsidR="00220DFE" w:rsidRDefault="00220DFE" w:rsidP="0042612E">
            <w:pPr>
              <w:jc w:val="center"/>
              <w:rPr>
                <w:color w:val="000000"/>
              </w:rPr>
            </w:pPr>
            <w:r>
              <w:rPr>
                <w:color w:val="000000"/>
              </w:rPr>
              <w:t>1</w:t>
            </w:r>
          </w:p>
        </w:tc>
      </w:tr>
      <w:tr w:rsidR="00220DFE" w14:paraId="20C81BED" w14:textId="77777777" w:rsidTr="00220DFE">
        <w:tc>
          <w:tcPr>
            <w:tcW w:w="567" w:type="dxa"/>
            <w:tcBorders>
              <w:top w:val="single" w:sz="4" w:space="0" w:color="auto"/>
              <w:left w:val="single" w:sz="4" w:space="0" w:color="auto"/>
              <w:bottom w:val="single" w:sz="4" w:space="0" w:color="auto"/>
              <w:right w:val="single" w:sz="4" w:space="0" w:color="auto"/>
            </w:tcBorders>
            <w:vAlign w:val="center"/>
            <w:hideMark/>
          </w:tcPr>
          <w:p w14:paraId="242AAD5C" w14:textId="77777777" w:rsidR="00220DFE" w:rsidRDefault="00220DFE" w:rsidP="0042612E">
            <w:pPr>
              <w:jc w:val="center"/>
            </w:pPr>
            <w: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495DC5" w14:textId="77777777" w:rsidR="00220DFE" w:rsidRDefault="00220DFE" w:rsidP="0042612E">
            <w:pPr>
              <w:jc w:val="center"/>
            </w:pPr>
            <w:r>
              <w:t>Компонент бедренный</w:t>
            </w:r>
          </w:p>
          <w:p w14:paraId="5D9EFCA5" w14:textId="77777777" w:rsidR="00220DFE" w:rsidRDefault="00220DFE" w:rsidP="0042612E">
            <w:pPr>
              <w:jc w:val="center"/>
            </w:pPr>
          </w:p>
          <w:p w14:paraId="374F3AFB" w14:textId="53478D3B" w:rsidR="00220DFE" w:rsidRPr="00220DFE" w:rsidRDefault="00220DFE" w:rsidP="0042612E">
            <w:pPr>
              <w:jc w:val="center"/>
            </w:pPr>
          </w:p>
        </w:tc>
        <w:tc>
          <w:tcPr>
            <w:tcW w:w="4564" w:type="dxa"/>
            <w:tcBorders>
              <w:top w:val="single" w:sz="4" w:space="0" w:color="auto"/>
              <w:left w:val="single" w:sz="4" w:space="0" w:color="auto"/>
              <w:bottom w:val="single" w:sz="4" w:space="0" w:color="auto"/>
              <w:right w:val="single" w:sz="4" w:space="0" w:color="auto"/>
            </w:tcBorders>
            <w:hideMark/>
          </w:tcPr>
          <w:p w14:paraId="75967E61" w14:textId="77777777" w:rsidR="00220DFE" w:rsidRDefault="00220DFE" w:rsidP="0042612E">
            <w:pPr>
              <w:pStyle w:val="a4"/>
              <w:rPr>
                <w:sz w:val="20"/>
                <w:szCs w:val="20"/>
              </w:rPr>
            </w:pPr>
            <w:r>
              <w:rPr>
                <w:sz w:val="20"/>
                <w:szCs w:val="20"/>
              </w:rPr>
              <w:t xml:space="preserve">Бедренный компонент металлический для цементной фиксации изготовленный из кобальт-хромового сплава. Компоненты двух типов - правые и левые. Назначение- при проведении первичной </w:t>
            </w:r>
            <w:proofErr w:type="spellStart"/>
            <w:r>
              <w:rPr>
                <w:sz w:val="20"/>
                <w:szCs w:val="20"/>
              </w:rPr>
              <w:t>двумыщелковой</w:t>
            </w:r>
            <w:proofErr w:type="spellEnd"/>
            <w:r>
              <w:rPr>
                <w:sz w:val="20"/>
                <w:szCs w:val="20"/>
              </w:rPr>
              <w:t xml:space="preserve"> замены коленного </w:t>
            </w:r>
            <w:r>
              <w:rPr>
                <w:sz w:val="20"/>
                <w:szCs w:val="20"/>
              </w:rPr>
              <w:lastRenderedPageBreak/>
              <w:t>сустава.  Медиально-латеральный размер бедренного компонента увеличивается от размера к размеру: 62 мм; 64 мм; 66 мм; 70 мм; 74 мм; 78 мм (</w:t>
            </w:r>
            <w:r>
              <w:rPr>
                <w:b/>
                <w:sz w:val="20"/>
                <w:szCs w:val="20"/>
              </w:rPr>
              <w:t>по выбору Заказчика</w:t>
            </w:r>
            <w:r>
              <w:rPr>
                <w:sz w:val="20"/>
                <w:szCs w:val="20"/>
              </w:rPr>
              <w:t>). Переднезадний размер имеет вариации: 58 мм; 60 мм; 62 мм; 66 мм; 70 мм; 74 мм (</w:t>
            </w:r>
            <w:r>
              <w:rPr>
                <w:b/>
                <w:sz w:val="20"/>
                <w:szCs w:val="20"/>
              </w:rPr>
              <w:t>по выбору Заказчика</w:t>
            </w:r>
            <w:r>
              <w:rPr>
                <w:sz w:val="20"/>
                <w:szCs w:val="20"/>
              </w:rPr>
              <w:t>). Оба мыщелка в дистальной части имеют единый радиус во фронтальной плоскости. Установка компонента не требует дополнительной костной резекции для формирования борозды под надколенник. Отсутствие короба под задний стабилизатор увеличивает объем движений имплантируемого эндопротеза. Поставляется стерильным в стерильной упаковке.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7B4F38" w14:textId="77777777" w:rsidR="00220DFE" w:rsidRDefault="00220DFE" w:rsidP="0042612E">
            <w:pPr>
              <w:jc w:val="center"/>
            </w:pPr>
            <w:r>
              <w:lastRenderedPageBreak/>
              <w:t>штука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9AD41B" w14:textId="77777777" w:rsidR="00220DFE" w:rsidRDefault="00220DFE" w:rsidP="0042612E">
            <w:pPr>
              <w:jc w:val="center"/>
              <w:rPr>
                <w:color w:val="000000"/>
              </w:rPr>
            </w:pPr>
            <w:r>
              <w:rPr>
                <w:color w:val="000000"/>
              </w:rPr>
              <w:t>1</w:t>
            </w:r>
          </w:p>
        </w:tc>
      </w:tr>
      <w:tr w:rsidR="009B4F9C" w14:paraId="58B051BC" w14:textId="77777777" w:rsidTr="00D84C59">
        <w:tc>
          <w:tcPr>
            <w:tcW w:w="567" w:type="dxa"/>
            <w:tcBorders>
              <w:top w:val="single" w:sz="4" w:space="0" w:color="auto"/>
              <w:left w:val="single" w:sz="4" w:space="0" w:color="auto"/>
              <w:bottom w:val="single" w:sz="4" w:space="0" w:color="auto"/>
              <w:right w:val="single" w:sz="4" w:space="0" w:color="auto"/>
            </w:tcBorders>
            <w:vAlign w:val="center"/>
            <w:hideMark/>
          </w:tcPr>
          <w:p w14:paraId="37E42059" w14:textId="77777777" w:rsidR="009B4F9C" w:rsidRDefault="009B4F9C" w:rsidP="009B4F9C">
            <w:pPr>
              <w:jc w:val="center"/>
            </w:pPr>
            <w:r>
              <w:t>4</w:t>
            </w:r>
          </w:p>
        </w:tc>
        <w:tc>
          <w:tcPr>
            <w:tcW w:w="1985" w:type="dxa"/>
            <w:tcBorders>
              <w:top w:val="single" w:sz="4" w:space="0" w:color="auto"/>
              <w:left w:val="single" w:sz="4" w:space="0" w:color="auto"/>
              <w:bottom w:val="single" w:sz="4" w:space="0" w:color="auto"/>
              <w:right w:val="single" w:sz="4" w:space="0" w:color="auto"/>
            </w:tcBorders>
          </w:tcPr>
          <w:p w14:paraId="45B9DA96" w14:textId="77777777" w:rsidR="009B4F9C" w:rsidRPr="00DF2997" w:rsidRDefault="009B4F9C" w:rsidP="009B4F9C">
            <w:r w:rsidRPr="00DF2997">
              <w:t xml:space="preserve">Степлер </w:t>
            </w:r>
          </w:p>
          <w:p w14:paraId="060387AF" w14:textId="424E40C6" w:rsidR="009B4F9C" w:rsidRPr="00DF2997" w:rsidRDefault="009B4F9C" w:rsidP="009B4F9C">
            <w:pPr>
              <w:rPr>
                <w:lang w:val="en-US"/>
              </w:rPr>
            </w:pPr>
          </w:p>
        </w:tc>
        <w:tc>
          <w:tcPr>
            <w:tcW w:w="4564" w:type="dxa"/>
            <w:tcBorders>
              <w:top w:val="single" w:sz="4" w:space="0" w:color="auto"/>
              <w:left w:val="single" w:sz="4" w:space="0" w:color="auto"/>
              <w:bottom w:val="single" w:sz="4" w:space="0" w:color="auto"/>
              <w:right w:val="single" w:sz="4" w:space="0" w:color="auto"/>
            </w:tcBorders>
          </w:tcPr>
          <w:p w14:paraId="5078FA39" w14:textId="77777777" w:rsidR="009B4F9C" w:rsidRPr="00DF2997" w:rsidRDefault="009B4F9C" w:rsidP="009B4F9C">
            <w:pPr>
              <w:jc w:val="both"/>
            </w:pPr>
            <w:r w:rsidRPr="00DF2997">
              <w:rPr>
                <w:rFonts w:eastAsia="Calibri"/>
              </w:rPr>
              <w:t xml:space="preserve">Инструмент хирургический сшивающий (аппарат для наложения кожных скобок, 35 скобок). Диаметр скобы 0,6 мм, высота закрытой скобы 4,5 мм, ширина коронки скобки в закрытом </w:t>
            </w:r>
            <w:proofErr w:type="gramStart"/>
            <w:r w:rsidRPr="00DF2997">
              <w:rPr>
                <w:rFonts w:eastAsia="Calibri"/>
              </w:rPr>
              <w:t>состоянии  до</w:t>
            </w:r>
            <w:proofErr w:type="gramEnd"/>
            <w:r w:rsidRPr="00DF2997">
              <w:rPr>
                <w:rFonts w:eastAsia="Calibri"/>
              </w:rPr>
              <w:t xml:space="preserve"> 7,5 мм. Материал скобы- нержавеющая сталь. Одноразовый. Стерильный.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2438A5" w14:textId="77777777" w:rsidR="009B4F9C" w:rsidRDefault="009B4F9C" w:rsidP="009B4F9C">
            <w:pPr>
              <w:jc w:val="center"/>
            </w:pPr>
            <w:r>
              <w:t>штука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9DE6E9" w14:textId="77777777" w:rsidR="009B4F9C" w:rsidRDefault="009B4F9C" w:rsidP="009B4F9C">
            <w:pPr>
              <w:jc w:val="center"/>
              <w:rPr>
                <w:color w:val="000000"/>
              </w:rPr>
            </w:pPr>
            <w:r>
              <w:rPr>
                <w:color w:val="000000"/>
              </w:rPr>
              <w:t>1</w:t>
            </w:r>
          </w:p>
        </w:tc>
      </w:tr>
    </w:tbl>
    <w:p w14:paraId="7F3C7202" w14:textId="77777777" w:rsidR="00D04A0C" w:rsidRDefault="00D04A0C"/>
    <w:sectPr w:rsidR="00D04A0C" w:rsidSect="00EE78B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27A"/>
    <w:rsid w:val="000F7217"/>
    <w:rsid w:val="001573A9"/>
    <w:rsid w:val="00220DFE"/>
    <w:rsid w:val="003757E5"/>
    <w:rsid w:val="003A0FCC"/>
    <w:rsid w:val="003B73C6"/>
    <w:rsid w:val="0042612E"/>
    <w:rsid w:val="00445095"/>
    <w:rsid w:val="0045727A"/>
    <w:rsid w:val="00481648"/>
    <w:rsid w:val="00671205"/>
    <w:rsid w:val="006E7645"/>
    <w:rsid w:val="00822DE1"/>
    <w:rsid w:val="00944613"/>
    <w:rsid w:val="009B4F9C"/>
    <w:rsid w:val="009B789C"/>
    <w:rsid w:val="00A578AD"/>
    <w:rsid w:val="00AA12F5"/>
    <w:rsid w:val="00B20E46"/>
    <w:rsid w:val="00CA5E4E"/>
    <w:rsid w:val="00D04A0C"/>
    <w:rsid w:val="00EA580A"/>
    <w:rsid w:val="00EB4D48"/>
    <w:rsid w:val="00EE7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9611"/>
  <w15:chartTrackingRefBased/>
  <w15:docId w15:val="{65E1A684-94E0-4F3D-9BB4-17D732E2F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78B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qFormat/>
    <w:locked/>
    <w:rsid w:val="00EE78B1"/>
    <w:rPr>
      <w:rFonts w:ascii="Times New Roman" w:eastAsia="Times New Roman" w:hAnsi="Times New Roman" w:cs="Times New Roman"/>
    </w:rPr>
  </w:style>
  <w:style w:type="paragraph" w:styleId="a4">
    <w:name w:val="No Spacing"/>
    <w:link w:val="a3"/>
    <w:uiPriority w:val="1"/>
    <w:qFormat/>
    <w:rsid w:val="00EE78B1"/>
    <w:pPr>
      <w:spacing w:after="0" w:line="240" w:lineRule="auto"/>
    </w:pPr>
    <w:rPr>
      <w:rFonts w:ascii="Times New Roman" w:eastAsia="Times New Roman" w:hAnsi="Times New Roman" w:cs="Times New Roman"/>
    </w:rPr>
  </w:style>
  <w:style w:type="character" w:customStyle="1" w:styleId="3">
    <w:name w:val="Стиль3 Знак"/>
    <w:link w:val="30"/>
    <w:locked/>
    <w:rsid w:val="00EE78B1"/>
    <w:rPr>
      <w:rFonts w:ascii="Times New Roman" w:eastAsia="Times New Roman" w:hAnsi="Times New Roman" w:cs="Times New Roman"/>
      <w:sz w:val="24"/>
      <w:lang w:val="x-none"/>
    </w:rPr>
  </w:style>
  <w:style w:type="paragraph" w:customStyle="1" w:styleId="30">
    <w:name w:val="Стиль3"/>
    <w:basedOn w:val="2"/>
    <w:link w:val="3"/>
    <w:qFormat/>
    <w:rsid w:val="00EE78B1"/>
    <w:pPr>
      <w:widowControl w:val="0"/>
      <w:tabs>
        <w:tab w:val="num" w:pos="360"/>
      </w:tabs>
      <w:adjustRightInd w:val="0"/>
      <w:spacing w:after="0" w:line="240" w:lineRule="auto"/>
      <w:jc w:val="both"/>
    </w:pPr>
    <w:rPr>
      <w:sz w:val="24"/>
      <w:szCs w:val="22"/>
      <w:lang w:val="x-none" w:eastAsia="en-US"/>
    </w:rPr>
  </w:style>
  <w:style w:type="character" w:customStyle="1" w:styleId="ConsPlusNormal">
    <w:name w:val="ConsPlusNormal Знак"/>
    <w:link w:val="ConsPlusNormal0"/>
    <w:locked/>
    <w:rsid w:val="00EE78B1"/>
    <w:rPr>
      <w:rFonts w:ascii="Arial" w:eastAsia="Times New Roman" w:hAnsi="Arial" w:cs="Arial"/>
    </w:rPr>
  </w:style>
  <w:style w:type="paragraph" w:customStyle="1" w:styleId="ConsPlusNormal0">
    <w:name w:val="ConsPlusNormal"/>
    <w:link w:val="ConsPlusNormal"/>
    <w:qFormat/>
    <w:rsid w:val="00EE78B1"/>
    <w:pPr>
      <w:widowControl w:val="0"/>
      <w:autoSpaceDE w:val="0"/>
      <w:autoSpaceDN w:val="0"/>
      <w:adjustRightInd w:val="0"/>
      <w:spacing w:after="0" w:line="240" w:lineRule="auto"/>
      <w:ind w:firstLine="720"/>
    </w:pPr>
    <w:rPr>
      <w:rFonts w:ascii="Arial" w:eastAsia="Times New Roman" w:hAnsi="Arial" w:cs="Arial"/>
    </w:rPr>
  </w:style>
  <w:style w:type="paragraph" w:styleId="2">
    <w:name w:val="Body Text Indent 2"/>
    <w:basedOn w:val="a"/>
    <w:link w:val="20"/>
    <w:uiPriority w:val="99"/>
    <w:semiHidden/>
    <w:unhideWhenUsed/>
    <w:rsid w:val="00EE78B1"/>
    <w:pPr>
      <w:spacing w:after="120" w:line="480" w:lineRule="auto"/>
      <w:ind w:left="283"/>
    </w:pPr>
  </w:style>
  <w:style w:type="character" w:customStyle="1" w:styleId="20">
    <w:name w:val="Основной текст с отступом 2 Знак"/>
    <w:basedOn w:val="a0"/>
    <w:link w:val="2"/>
    <w:uiPriority w:val="99"/>
    <w:semiHidden/>
    <w:rsid w:val="00EE78B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78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385</Words>
  <Characters>2196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Арещенко Ирина Владимировна</cp:lastModifiedBy>
  <cp:revision>2</cp:revision>
  <dcterms:created xsi:type="dcterms:W3CDTF">2026-07-15T17:02:00Z</dcterms:created>
  <dcterms:modified xsi:type="dcterms:W3CDTF">2026-07-23T08:09:00Z</dcterms:modified>
</cp:coreProperties>
</file>