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Государственный контракт № </w:t>
      </w:r>
      <w:r>
        <w:rPr>
          <w:rFonts w:ascii="Times New Roman" w:hAnsi="Times New Roman" w:cs="Times New Roman"/>
          <w:bCs/>
          <w:sz w:val="24"/>
          <w:szCs w:val="24"/>
        </w:rPr>
        <w:t xml:space="preserve">100201966126100121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поставку IP - телефонных аппаратов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9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>
        <w:tblPrEx/>
        <w:trPr>
          <w:trHeight w:val="302"/>
        </w:trPr>
        <w:tc>
          <w:tcPr>
            <w:tcW w:w="5097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г.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98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«___» ________ 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02"/>
        </w:trPr>
        <w:tc>
          <w:tcPr>
            <w:tcW w:w="5097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98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Министерство энергетики Российской Федерации (Минэнерго России), именуемое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в дальнейшем «Заказчик», в лице директора Департамента цифровой трансформации Мицкевича Феликса Владимировича, действующего на основании приказа Минэнерго России от 24.11.2021 </w:t>
        <w:br/>
        <w:t xml:space="preserve">№ 1286 и доверенности от 03.03.2025 № СЦ-3295/14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с одной стороны,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и </w:t>
      </w:r>
      <w:r>
        <w:rPr>
          <w:sz w:val="24"/>
          <w:szCs w:val="26"/>
        </w:rPr>
        <w:t xml:space="preserve">публичное акционерное общество «СОФТЛАЙН» (ПАО «СОФТЛАЙН»)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именуемое </w:t>
        <w:br/>
        <w:t xml:space="preserve">в дальнейшем «Поставщик»,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лице генер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ального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директора Лаврова Владимира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действующего на основании </w:t>
      </w:r>
      <w:r>
        <w:rPr>
          <w:sz w:val="24"/>
          <w:szCs w:val="26"/>
          <w:highlight w:val="white"/>
        </w:rPr>
        <w:t xml:space="preserve">Устава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с другой стороны, в дальнейшем именуемые «Стороны», </w:t>
        <w:br/>
        <w:t xml:space="preserve">а по отдельности – «Сторона», в соответствии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о контрактной системе) заключили настоящий государственный контракт (далее – Контракт)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о нижеследующем: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Предмет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3"/>
        </w:numPr>
        <w:contextualSpacing/>
        <w:ind w:left="0" w:right="19" w:firstLine="567"/>
        <w:tabs>
          <w:tab w:val="left" w:pos="993" w:leader="none"/>
        </w:tabs>
        <w:outlineLvl w:val="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Поставщик обязуется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поставить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IP -телефонные аппараты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(далее – Товар), а Заказчик принять и оплатить Товар.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numPr>
          <w:ilvl w:val="0"/>
          <w:numId w:val="13"/>
        </w:numPr>
        <w:contextualSpacing/>
        <w:ind w:left="0" w:right="19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Наименование, характеристики, стоимость и количество Товара указаны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br/>
        <w:t xml:space="preserve">в Техническом задании (</w:t>
      </w:r>
      <w:bookmarkStart w:id="0" w:name="_Hlk110243451"/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приложение № 1 к настоящему Контракту</w:t>
      </w:r>
      <w:bookmarkEnd w:id="0"/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) и в Спецификации (приложение № 2 к настоящему Контракту), которые являются неотъемлемой частью настоящего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3"/>
        </w:numPr>
        <w:contextualSpacing/>
        <w:ind w:right="19" w:hanging="862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  <w:highlight w:val="white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ИКЗ: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261770584752977050100100360000000244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numPr>
          <w:ilvl w:val="0"/>
          <w:numId w:val="13"/>
        </w:numPr>
        <w:contextualSpacing/>
        <w:ind w:right="19" w:hanging="862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КМИ: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022.00100022.22.Э.50023.26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3"/>
        </w:numPr>
        <w:contextualSpacing/>
        <w:ind w:left="0" w:right="19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Заказчиком установлено требование об отсутствии в предусмотренном Законом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о контрактной системе реестре недобросовестных поставщиков (подрядчиков, исполнителей) информации о Поставщике, в том числе о лицах, информация о которых содержится в заявке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на участие в закупке в соответствии с подпунктом «в» пункта 1 части 1 статьи 43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Закон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о контрактной системе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включенной в такой реестр в связи с отказом от исполнения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контракта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причине введения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отношении заказчика политических или экономических санкций иностранными государствами, совмещающими недружественные действия в отношении Российской Федерации, граждан Российской Федерации или российских юридических ли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ц, и (или) введения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left="567" w:right="19" w:firstLine="0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Цена Контракта и порядок оплаты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Цена Контракта составляет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t xml:space="preserve">597 487 </w:t>
      </w:r>
      <w:r>
        <w:rPr>
          <w:bCs/>
          <w:sz w:val="24"/>
          <w:szCs w:val="24"/>
        </w:rPr>
        <w:t xml:space="preserve">(</w:t>
      </w:r>
      <w:r>
        <w:rPr>
          <w:bCs/>
          <w:sz w:val="24"/>
          <w:szCs w:val="24"/>
        </w:rPr>
        <w:t xml:space="preserve">пятьсот девяносто семь тысяч четыреста восемьдесят семь</w:t>
      </w:r>
      <w:r>
        <w:rPr>
          <w:bCs/>
          <w:sz w:val="24"/>
          <w:szCs w:val="24"/>
        </w:rPr>
        <w:t xml:space="preserve">)</w:t>
      </w:r>
      <w:r>
        <w:rPr>
          <w:bCs/>
          <w:sz w:val="24"/>
          <w:szCs w:val="24"/>
        </w:rPr>
        <w:t xml:space="preserve"> рублей 80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копеек,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том числе НДС 22%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t xml:space="preserve">107 743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сто семь тысяч семьсот сорок три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рубля 70 копеек и включает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себя расходы на уплату налогов, пошлин и иных обязательных платежей, в том числе, расходов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 доставку, подъем и разгрузку Товара.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Цена Контракта является твёрдой и определяется на весь срок исполнения Контракта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и не подлежит изменению.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Все расчеты за поставленный Товар осуществляются в рублях и производятся путем безналичного перечисления денежных средств на расчетный счет Поставщика.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Оплата по настоящему Контракту осуществляется за фактически поставленный Товар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на основании Акта приема-передачи товара (приложение № 3 к настоящему Контракту)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с приложением счета, счета фактуры и товарной  накладной или универсального передаточного документа в течение 7 (семи) рабочих дней после подписания Заказчиком Акта приема-передачи товара (приложение № 3 к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настоящему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Контракту).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Финансирование по настоящему Контракту осуществляется за счет средств федерального бюджета.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неисполнения Поставщиком требований об уплате неустоек (пеней), предъявляемых Заказчиком, Заказчик производит оплату по Контракту за вычетом соответствующего размера неустойки (пени). Исполнение обязательства Поставщиком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по перечислению неустойки (пени) в доход бюджетной системы Российской Федерации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в данном случае возлагается на Заказчика и осуществляется последним на основании платежного документа с указанием Поставщика, за которого осуществляется перечисление неустойки (пени)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в доход соответствующего бюджета.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left="567" w:firstLine="0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Условия поставки Товара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Место поставки Товара – административное здание Заказчика (далее – офис), расположенное по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адресу: г. Москва, ул. Щепкина, д. 42 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тр.2, этаж 2, каб.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СКТЭК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Срок поставки Товара: 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течение 10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(десяти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) рабочих дней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с даты заключения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Контракта.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Поставщик осуществляет в офис Заказчика поставку, разгрузку и подъём Товара своими силами и за свой счет.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Товар должен быть упакован и замаркирован в соответствии с действующими стандартами. Упаковка (тара) должна гарантировать целостность и сохранность Товара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при перевозке и хранении. Упаковка (тара) не должна содержать вскрытие, вмятин, порезов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и обеспечивать сохранность при транспортировке и хранении. Упаковка (тара) Товара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комплектующих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или листы).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Поставщик сопроводительным письмом предоставляет Заказчику в день поставки Товара Акт приема-передачи товара (Приложение № 3 к настоящему Контракту) с приложением счета, товарной накладной и счета-фактуры или универсального передаточного документа.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Право на Товар переходит к Заказчику со дня его поставки Заказчику и оплаты полной стоимости Товара.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Заказчик в течение 10 (десяти) рабочих дней со дня получения Акта приема-передачи товара (приложение № 3 к Контракту) обязан подписать представленный Поставщиком акт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(или дать мотивированный отказ) и отправить второй экземпляр по адресу, указанному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в настоящем Контракте.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567" w:firstLine="0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Обязанности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5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Обязанности Поставщика: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Поставить Товар в офис Заказчика в сроки в соответствии с условиями настоящего Контракта.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Передать Товар, который по количеству, качеству и описанию соответствует Техническому заданию (приложение № 1 к настоящему Контракту) и Спецификации (приложение № 2 к настоящему Контракту).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Своевременно и в полном объеме представить документы на оплату Товара.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5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Обязанности Заказчика: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7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Обеспечить оплату Товара.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7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Принять Товар в соответствии с разделом 3 настоящего Контракта, в том числе обеспечив приемку Товара, проверку Товара и соответствующей документации.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firstLine="0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Ответственность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За неисполнение или ненадлежащее исполнение своих обязательств по настоящему Контракту Заказчик и Поставщик несут ответственность в соответствии с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 случае возникновения споров Стороны обязуются принять все меры для их разрешения путем договоренности.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 случае просрочки исполнения Поставщиком обязательства, предусмотренного настоящим Контрактом, Заказчик вправе потребовать уплату неустойки (пени) в размере 1/300 действующей на день уплаты неустойки ключе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вой ставки Центрального банка Российской Федерации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 случае задержки платежей Заказчиком против срока, указанного в Контракте, Поставщик вправе потребовать от Заказчика выплату неустойки (п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ени) на сумму задержанного платежа в размере 1/300 действующей на день уплаты неустойки ключевой ставки Центрального банка Российской Федерации за каждый день просрочки, начиная со дня, следующего за днем истечения срока оплаты, установленного в Контракте.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При недостижении дог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оворенности все споры, разногласия или требования, возникающие из настоящего Контракта или в связи с ним, в том числе касающиеся его заключения, исполнения, нарушения, прекращения или недействительности, подлежат рассмотрению в Арбитражном суде г. Москвы.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Срок действия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9"/>
        </w:numPr>
        <w:ind w:left="0" w:firstLine="567"/>
        <w:spacing w:line="100" w:lineRule="atLeast"/>
        <w:shd w:val="clear" w:color="auto" w:fill="ffffff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Настоящий Контра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кт вст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упает в силу с даты его заключения Сторонами и действует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br/>
        <w:t xml:space="preserve">до полного выполнения Сторонами свои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х обязательств,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но не позднее 01.10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.2026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Досрочное прекращение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0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/>
        <w:t xml:space="preserve">с гражданским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0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Заказчик вправе принять решение об одностороннем отказе от исполнения Контракта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/>
        <w:t xml:space="preserve">в случае поставки Товара ненадлежащего качества, нарушении сроков поставки Товара и по иным основаниям,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предусмотренным Гражданским кодексом Российской Федерации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Обстоятельства непреодолимой силы (форс-мажор)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 (форс-мажор).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наступлении форс-мажорных обстоятельств, а также о предполагаемом сроке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/>
        <w:t xml:space="preserve">их действия Сторона,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для которой они наступили, извещает в письменной форме другую Сторону не позднее 3 (трех) рабочих дней с момента их наступления. Сроки исполнения обязательств переносятся пропорционально действию форс-мажорных обстоятельств, но не более чем на два месяца.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Неизвещение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от ответственности за несвоевременное исполнение обязательств по отношению к другой Стороне.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случае если форс-мажорные обстоятельства продлятся более двух месяцев, Стороны вправе расторгнуть настоящий Контракт, создав комиссию из представителей Сторон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/>
        <w:t xml:space="preserve">для урегулирования всех споров.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Другие условия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Все споры и разногласия, которые могут возникнуть по настоящему Контракту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или в связи с ним, Стороны будут стремиться разрешить путем переговоров.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Настоящий Контракт составлен в форме электронного документа, подписанного усиленными электронными подписями Сторон.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Все приложения и изменения по основаниям, предусмотренным настоящим Контрактом, являются его неотъемлемой частью.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 изменении места нахождения и банковских реквизитов Стороны обязаны в течение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5 (пяти) рабочих дней письменно известить об этом друг друга.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Приложения к Контракту: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567" w:firstLine="0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1 – Техническое задание;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left"/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2 – Спецификация;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left"/>
        <w:rPr>
          <w:rFonts w:ascii="Times New Roman" w:hAnsi="Times New Roman" w:cs="Times New Roman"/>
          <w:color w:val="000000"/>
          <w:sz w:val="24"/>
          <w:szCs w:val="24"/>
          <w:highlight w:val="none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3 – Форма акта приема-передачи товара.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bookmarkStart w:id="1" w:name="_Ref94177724"/>
      <w:r>
        <w:rPr>
          <w:rFonts w:ascii="Times New Roman" w:hAnsi="Times New Roman" w:eastAsia="Times New Roman" w:cs="Times New Roman"/>
          <w:sz w:val="24"/>
          <w:szCs w:val="24"/>
        </w:rPr>
        <w:t xml:space="preserve">Реквизиты Сторон</w:t>
      </w:r>
      <w:bookmarkEnd w:id="1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>
          <w:trHeight w:val="313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ar-SA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ar-SA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070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Министерство энергетики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(Минэнерго России)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rPr>
                <w:color w:val="000000"/>
                <w:sz w:val="24"/>
                <w:szCs w:val="24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  <w:lang w:val="en-US"/>
              </w:rPr>
              <w:t xml:space="preserve">Публичное акционерное общество «СОФТЛАЙН» (ПАО «СОФТЛАЙН»)</w:t>
            </w:r>
            <w:r>
              <w:rPr>
                <w:color w:val="000000"/>
                <w:sz w:val="24"/>
                <w:szCs w:val="24"/>
                <w:lang w:val="en-US"/>
              </w:rPr>
            </w:r>
            <w:r>
              <w:rPr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5536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Юридический адрес: 109012, 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Китайгородский пр-д, д. 7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Фактический адрес: 129110, 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Щепкина ул., д. 42, стр. 1, 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ИНН 7705847529, КПП 770501001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Банковские реквизиты: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Межрегиональное операционное УФК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(Минэнерго России, л/с 03951000220)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р/с 40102810045370000002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в Операционном департаменте Банка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//Межрегиональное операционное УФК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г.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к/с 03211643000000019503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БИК 024501901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ОКПО/ОКТМО  00083641/45381000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E-mail: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p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k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v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g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@minenergo.gov.ru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Тел: (495) 631-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Юридический адрес: </w:t>
            </w:r>
            <w:r>
              <w:rPr>
                <w:color w:val="000000"/>
                <w:sz w:val="24"/>
                <w:szCs w:val="24"/>
              </w:rPr>
              <w:t xml:space="preserve">119021, г. Москва, </w:t>
              <w:br/>
              <w:t xml:space="preserve">ул. Льва Толстого, д. 5, стр. 1, эт. 3, </w:t>
              <w:br/>
              <w:t xml:space="preserve">помещ. 1, ком. № 2, 2а (а-311)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Почтовый адрес: </w:t>
            </w:r>
            <w:r>
              <w:rPr>
                <w:color w:val="000000"/>
                <w:sz w:val="24"/>
                <w:szCs w:val="24"/>
              </w:rPr>
              <w:t xml:space="preserve">119021, г. Москва, </w:t>
              <w:br/>
              <w:t xml:space="preserve">ул. Льва Толстого, д. 5, стр. 1, эт. 3, </w:t>
              <w:br/>
              <w:t xml:space="preserve">помещ. 1, ком. № 2, 2а (а-311)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7736227885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КПП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770401001,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t xml:space="preserve">КПП крупнейшего налогоплательщика: 774950001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ОКПО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59754311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ОКТМО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45383000000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ОГРН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1027736009333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ОКВЭД </w:t>
            </w:r>
            <w:r>
              <w:rPr>
                <w:color w:val="000000"/>
                <w:sz w:val="24"/>
                <w:szCs w:val="24"/>
              </w:rPr>
              <w:t xml:space="preserve">46.90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Банковские реквизиты: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color w:val="000000"/>
                <w:sz w:val="24"/>
                <w:szCs w:val="24"/>
              </w:rPr>
              <w:t xml:space="preserve">Наименование банка: Банк ГПБ (АО)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\с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40702810800000010453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к\с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30101810200000000823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044525823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r>
              <w:rPr>
                <w:color w:val="000000"/>
                <w:sz w:val="24"/>
                <w:szCs w:val="24"/>
              </w:rPr>
              <w:t xml:space="preserve">corporate@softline.com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тел. +</w:t>
            </w:r>
            <w:r>
              <w:rPr>
                <w:color w:val="000000"/>
                <w:sz w:val="24"/>
                <w:szCs w:val="24"/>
              </w:rPr>
              <w:t xml:space="preserve">7 (495) 232-00-23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Дата постановки на учет в налоговом органе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</w:r>
            <w:r>
              <w:t xml:space="preserve">21.02.2008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504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Директор Департамента цифровой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ar-SA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трансформации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____________________/Ф.В. Мицкевич/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ar-SA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  <w:lang w:eastAsia="ar-SA"/>
              </w:rPr>
              <w:t xml:space="preserve">Генеральный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  <w:lang w:eastAsia="ar-SA"/>
              </w:rPr>
              <w:t xml:space="preserve"> директор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/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В.Е. Лавров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val="en-US"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val="en-US" w:eastAsia="ar-SA"/>
              </w:rPr>
            </w:r>
          </w:p>
        </w:tc>
      </w:tr>
      <w:tr>
        <w:tblPrEx/>
        <w:trPr>
          <w:trHeight w:val="387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jc w:val="righ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color w:val="000000"/>
          <w:sz w:val="24"/>
          <w:szCs w:val="24"/>
        </w:rPr>
        <w:sectPr>
          <w:headerReference w:type="default" r:id="rId9"/>
          <w:footnotePr/>
          <w:endnotePr/>
          <w:type w:val="nextPage"/>
          <w:pgSz w:w="11906" w:h="16838" w:orient="portrait"/>
          <w:pgMar w:top="567" w:right="567" w:bottom="567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righ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Приложение № 1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righ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 Контракту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100201966126100121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 «___» ________2026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11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1011"/>
      </w:pPr>
      <w:r>
        <w:t xml:space="preserve">ТЕХНИЧЕСКОЕ ЗАДАНИЕ</w:t>
      </w:r>
      <w:r/>
    </w:p>
    <w:p>
      <w:pPr>
        <w:jc w:val="center"/>
        <w:rPr>
          <w:b/>
        </w:rPr>
      </w:pPr>
      <w:r>
        <w:rPr>
          <w:b/>
        </w:rPr>
        <w:t xml:space="preserve">н</w:t>
      </w:r>
      <w:r>
        <w:rPr>
          <w:b/>
        </w:rPr>
        <w:t xml:space="preserve">а</w:t>
      </w:r>
      <w:r>
        <w:rPr>
          <w:b/>
        </w:rPr>
        <w:t xml:space="preserve"> </w:t>
      </w:r>
      <w:bookmarkStart w:id="0" w:name="undefined"/>
      <w:r>
        <w:rPr>
          <w:b/>
        </w:rPr>
        <w:t xml:space="preserve">поставку </w:t>
      </w:r>
      <w:r>
        <w:rPr>
          <w:b/>
        </w:rPr>
        <w:t xml:space="preserve">IP -телефонных аппаратов</w:t>
      </w:r>
      <w:bookmarkEnd w:id="0"/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26"/>
      </w:pPr>
      <w:r>
        <w:t xml:space="preserve">Наименование закупки</w:t>
      </w:r>
      <w:r/>
    </w:p>
    <w:p>
      <w:pPr>
        <w:rPr>
          <w:bCs/>
        </w:rPr>
      </w:pPr>
      <w:r>
        <w:rPr>
          <w:bCs/>
        </w:rPr>
        <w:t xml:space="preserve">П</w:t>
      </w:r>
      <w:r>
        <w:rPr>
          <w:bCs/>
        </w:rPr>
        <w:t xml:space="preserve">оставк</w:t>
      </w:r>
      <w:r>
        <w:rPr>
          <w:bCs/>
        </w:rPr>
        <w:t xml:space="preserve">а</w:t>
      </w:r>
      <w:r>
        <w:rPr>
          <w:bCs/>
        </w:rPr>
        <w:t xml:space="preserve"> </w:t>
      </w:r>
      <w:r>
        <w:rPr>
          <w:lang w:val="en-US"/>
        </w:rPr>
        <w:t xml:space="preserve">IP</w:t>
      </w:r>
      <w:r>
        <w:t xml:space="preserve"> -</w:t>
      </w:r>
      <w:r>
        <w:t xml:space="preserve">телефонных аппаратов </w:t>
      </w:r>
      <w:r>
        <w:t xml:space="preserve">(далее – Товар) согласно </w:t>
      </w:r>
      <w:r>
        <w:t xml:space="preserve">Спецификации</w:t>
      </w:r>
      <w:r>
        <w:t xml:space="preserve">.</w:t>
      </w:r>
      <w:r>
        <w:rPr>
          <w:bCs/>
        </w:rPr>
      </w:r>
      <w:r>
        <w:rPr>
          <w:bCs/>
        </w:rPr>
      </w:r>
    </w:p>
    <w:p>
      <w:pPr>
        <w:pStyle w:val="826"/>
      </w:pPr>
      <w:r>
        <w:t xml:space="preserve">Сроки поставки Товара</w:t>
      </w:r>
      <w:r/>
    </w:p>
    <w:p>
      <w:r>
        <w:t xml:space="preserve">Поставка Товара осуществляется в течение 10</w:t>
      </w:r>
      <w:r>
        <w:rPr>
          <w:color w:val="000000"/>
          <w:lang w:eastAsia="ar-SA"/>
        </w:rPr>
        <w:t xml:space="preserve"> (десяти</w:t>
      </w:r>
      <w:r>
        <w:rPr>
          <w:color w:val="000000"/>
          <w:lang w:eastAsia="ar-SA"/>
        </w:rPr>
        <w:t xml:space="preserve">)</w:t>
      </w:r>
      <w:r>
        <w:t xml:space="preserve"> рабочих дней с даты заключения Контракта. </w:t>
      </w:r>
      <w:r/>
    </w:p>
    <w:p>
      <w:r>
        <w:t xml:space="preserve">Доставка, разгрузка, размещение Товара в помещениях Заказчика осуществляется в рабочие часы Заказчика (по рабочим дням с 9 часов 00 минут до 18 часов 00 минут; по пятницам</w:t>
      </w:r>
      <w:r>
        <w:br/>
      </w:r>
      <w:r>
        <w:t xml:space="preserve">и предпраздничным дням – с 9 часов 00 минут до 16 ч</w:t>
      </w:r>
      <w:r>
        <w:t xml:space="preserve">асов 45 минут) с учетом времени</w:t>
      </w:r>
      <w:r>
        <w:br/>
      </w:r>
      <w:r>
        <w:t xml:space="preserve">на разгрузку Товара. </w:t>
      </w:r>
      <w:r/>
    </w:p>
    <w:p>
      <w:r>
        <w:t xml:space="preserve">Поставщик направляет Заказчику уведомлен</w:t>
      </w:r>
      <w:r>
        <w:t xml:space="preserve">ие о готовности поставить Товар</w:t>
      </w:r>
      <w:r>
        <w:br/>
      </w:r>
      <w:r>
        <w:t xml:space="preserve">на электронный адрес: </w:t>
      </w:r>
      <w:r>
        <w:t xml:space="preserve">compred@minenergo.gov.ru</w:t>
      </w:r>
      <w:r>
        <w:t xml:space="preserve"> не позднее 2 (двух) рабочих дней до начала поставки Товара. </w:t>
      </w:r>
      <w:r/>
    </w:p>
    <w:p>
      <w:r>
        <w:t xml:space="preserve">В уведомлении необходимо указать дату, время поставки Товара, номер и марку транспортного средства, фамилию, имя, отчество, паспортные данные водителя, грузчиков</w:t>
      </w:r>
      <w:r>
        <w:br/>
      </w:r>
      <w:r>
        <w:t xml:space="preserve">и уполномоченного представителя Поставщика.</w:t>
      </w:r>
      <w:r/>
    </w:p>
    <w:p>
      <w:r>
        <w:t xml:space="preserve">Электронный адрес </w:t>
      </w:r>
      <w:r>
        <w:t xml:space="preserve">compred@minenergo.gov.ru</w:t>
      </w:r>
      <w:r>
        <w:t xml:space="preserve"> используется исключительно</w:t>
      </w:r>
      <w:r>
        <w:br/>
      </w:r>
      <w:r>
        <w:t xml:space="preserve">для уведомления Заказчика о готовности поставить Товар.</w:t>
      </w:r>
      <w:r/>
    </w:p>
    <w:p>
      <w:pPr>
        <w:pStyle w:val="826"/>
      </w:pPr>
      <w:r>
        <w:t xml:space="preserve">Место поставки Товара</w:t>
      </w:r>
      <w:r/>
    </w:p>
    <w:p>
      <w:r>
        <w:t xml:space="preserve">Поставка Товара осуществляется по адресу: 129110, г. Москва, </w:t>
      </w:r>
      <w:r>
        <w:t xml:space="preserve">ул. Щепкина, д. 42 ,стр.2, этаж 2, каб. СКТЭК</w:t>
      </w:r>
      <w:r>
        <w:t xml:space="preserve"> силами и транспортом Поставщика и за его счет. Доставка Товара, разгрузка-погрузка (подъем) в помещениях Заказчика сопровождается уполномоченным представителем Поставщика на основании доверенности.</w:t>
      </w:r>
      <w:r/>
    </w:p>
    <w:p>
      <w:pPr>
        <w:pStyle w:val="826"/>
      </w:pPr>
      <w:r>
        <w:t xml:space="preserve">Общие требования к </w:t>
      </w:r>
      <w:r>
        <w:t xml:space="preserve">Т</w:t>
      </w:r>
      <w:r>
        <w:t xml:space="preserve">овару</w:t>
      </w:r>
      <w:r/>
    </w:p>
    <w:p>
      <w:pPr>
        <w:rPr>
          <w:b/>
          <w:u w:val="single"/>
          <w:lang w:eastAsia="en-US"/>
        </w:rPr>
      </w:pPr>
      <w:r>
        <w:rPr>
          <w:b/>
          <w:u w:val="single"/>
          <w:lang w:eastAsia="en-US"/>
        </w:rPr>
        <w:t xml:space="preserve">Код ОКПД2</w:t>
      </w:r>
      <w:r>
        <w:rPr>
          <w:b/>
          <w:lang w:eastAsia="en-US"/>
        </w:rPr>
        <w:t xml:space="preserve">:</w:t>
      </w:r>
      <w:r>
        <w:rPr>
          <w:lang w:eastAsia="en-US"/>
        </w:rPr>
        <w:t xml:space="preserve"> </w:t>
      </w:r>
      <w:r>
        <w:t xml:space="preserve">  26.30.11.110 – Средства связи, выполняющие функцию систем коммутации.</w:t>
      </w:r>
      <w:r>
        <w:rPr>
          <w:b/>
          <w:u w:val="single"/>
          <w:lang w:eastAsia="en-US"/>
        </w:rPr>
      </w:r>
      <w:r>
        <w:rPr>
          <w:b/>
          <w:u w:val="single"/>
          <w:lang w:eastAsia="en-US"/>
        </w:rPr>
      </w:r>
    </w:p>
    <w:p>
      <w:pPr>
        <w:rPr>
          <w:lang w:eastAsia="en-US"/>
        </w:rPr>
      </w:pPr>
      <w:r>
        <w:rPr>
          <w:b/>
          <w:u w:val="single"/>
          <w:lang w:eastAsia="en-US"/>
        </w:rPr>
        <w:t xml:space="preserve">Код </w:t>
      </w:r>
      <w:r>
        <w:rPr>
          <w:b/>
          <w:u w:val="single"/>
          <w:lang w:eastAsia="en-US"/>
        </w:rPr>
        <w:t xml:space="preserve">КТРУ</w:t>
      </w:r>
      <w:r>
        <w:rPr>
          <w:b/>
          <w:lang w:eastAsia="en-US"/>
        </w:rPr>
        <w:t xml:space="preserve">:</w:t>
      </w:r>
      <w:r>
        <w:rPr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26.30.11.110-00000047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lang w:eastAsia="en-US"/>
        </w:rPr>
        <w:t xml:space="preserve">–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Терминал IP-телефонии</w:t>
      </w: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  <w:t xml:space="preserve">Состав поставляемых товаров представлен в Таблице 1.</w:t>
      </w:r>
      <w:r>
        <w:rPr>
          <w:lang w:eastAsia="en-US"/>
        </w:rPr>
      </w:r>
      <w:r>
        <w:rPr>
          <w:lang w:eastAsia="en-US"/>
        </w:rPr>
      </w:r>
    </w:p>
    <w:p>
      <w:pPr>
        <w:jc w:val="right"/>
        <w:rPr>
          <w:highlight w:val="none"/>
          <w:lang w:eastAsia="en-US"/>
        </w:rPr>
      </w:pPr>
      <w:r>
        <w:rPr>
          <w:lang w:eastAsia="en-US"/>
        </w:rPr>
        <w:t xml:space="preserve">Таблица 1.</w:t>
      </w:r>
      <w:r>
        <w:rPr>
          <w:highlight w:val="none"/>
          <w:lang w:eastAsia="en-US"/>
        </w:rPr>
      </w:r>
      <w:r>
        <w:rPr>
          <w:highlight w:val="none"/>
          <w:lang w:eastAsia="en-US"/>
        </w:rPr>
      </w:r>
    </w:p>
    <w:p>
      <w:pPr>
        <w:jc w:val="right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tbl>
      <w:tblPr>
        <w:tblStyle w:val="991"/>
        <w:tblW w:w="9921" w:type="dxa"/>
        <w:tblInd w:w="75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375"/>
        <w:gridCol w:w="877"/>
        <w:gridCol w:w="3543"/>
        <w:gridCol w:w="1701"/>
      </w:tblGrid>
      <w:tr>
        <w:tblPrEx/>
        <w:trPr>
          <w:trHeight w:val="575"/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№ п/п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37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77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Тип объекта закупки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543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Позиции по КТРУ, ОКПД2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Количество (объем) и единица измерения товара, работы, услуги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</w:tr>
    </w:tbl>
    <w:tbl>
      <w:tblPr>
        <w:tblStyle w:val="991"/>
        <w:tblW w:w="99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2"/>
        <w:gridCol w:w="3402"/>
        <w:gridCol w:w="883"/>
        <w:gridCol w:w="1668"/>
        <w:gridCol w:w="1875"/>
        <w:gridCol w:w="1701"/>
      </w:tblGrid>
      <w:tr>
        <w:tblPrEx/>
        <w:trPr>
          <w:trHeight w:val="641"/>
        </w:trPr>
        <w:tc>
          <w:tcPr>
            <w:tcW w:w="39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r/>
            <w:r/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151528"/>
              </w:rPr>
              <w:t xml:space="preserve">IP-телефон </w:t>
            </w:r>
            <w:r>
              <w:rPr>
                <w:color w:val="151528"/>
              </w:rPr>
              <w:t xml:space="preserve">Yealink</w:t>
            </w:r>
            <w:r>
              <w:rPr>
                <w:color w:val="151528"/>
              </w:rPr>
              <w:t xml:space="preserve"> SIP-T31P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none"/>
              </w:rPr>
            </w:r>
          </w:p>
        </w:tc>
        <w:tc>
          <w:tcPr>
            <w:tcW w:w="883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Товар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3543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26.30.11.110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Средства связи, выполняющие функцию систем коммутации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26.30.11.110-00000047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–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Терминал IP-телефонии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ind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        130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шт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40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5"/>
            <w:tcW w:w="9529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Характеристики объекта закупки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383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Наименование характеристики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Значение характеристики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Единица измерения характеристики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430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Тип устройства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Стационарный телефон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400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Количество дисплеев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    Штука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445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Комплектация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Блок питания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416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Сетевые протоколы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Поддержка SIP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6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Конструкция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Электропитание по стандарту PoE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</w:tr>
    </w:tbl>
    <w:p>
      <w:pPr>
        <w:jc w:val="left"/>
        <w:rPr>
          <w:bCs/>
          <w:i/>
        </w:rPr>
      </w:pPr>
      <w:r>
        <w:rPr>
          <w:i/>
          <w:iCs/>
          <w:lang w:eastAsia="en-US"/>
        </w:rPr>
      </w:r>
      <w:r>
        <w:rPr>
          <w:bCs/>
          <w:i/>
        </w:rPr>
      </w:r>
      <w:r>
        <w:rPr>
          <w:bCs/>
          <w:i/>
        </w:rPr>
      </w:r>
    </w:p>
    <w:p>
      <w:pPr>
        <w:ind w:firstLine="0"/>
        <w:rPr>
          <w:bCs/>
          <w:i/>
          <w:highlight w:val="none"/>
        </w:rPr>
      </w:pPr>
      <w:r>
        <w:rPr>
          <w:i/>
          <w:iCs/>
          <w:highlight w:val="none"/>
        </w:rPr>
        <w:t xml:space="preserve">*</w:t>
      </w:r>
      <w:r>
        <w:rPr>
          <w:i/>
          <w:iCs/>
          <w:highlight w:val="none"/>
        </w:rPr>
        <w:t xml:space="preserve">Эквивалентный товар не допустим в соответствии с пунктом «б» пункта 1 части 1 статьи 33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ind w:firstLine="0"/>
        <w:rPr>
          <w:bCs/>
          <w:i/>
        </w:rPr>
      </w:pPr>
      <w:r>
        <w:rPr>
          <w:i/>
          <w:iCs/>
          <w:highlight w:val="none"/>
        </w:rPr>
        <w:t xml:space="preserve">В соответствии с частью 6 Технического задания к Контракту, поставляемый Товар должен быть полностью совместим с существующим оборудованием, эксплуатируемым Заказчиком.</w:t>
      </w:r>
      <w:r>
        <w:rPr>
          <w:bCs/>
          <w:i/>
        </w:rPr>
      </w:r>
      <w:r>
        <w:rPr>
          <w:bCs/>
          <w:i/>
        </w:rPr>
      </w:r>
    </w:p>
    <w:p>
      <w:pPr>
        <w:rPr>
          <w:highlight w:val="none"/>
        </w:rPr>
      </w:pPr>
      <w:r>
        <w:t xml:space="preserve">Товар должен</w:t>
      </w:r>
      <w:r>
        <w:t xml:space="preserve"> быть оригинальным</w:t>
      </w:r>
      <w:r>
        <w:t xml:space="preserve">, </w:t>
      </w:r>
      <w:r>
        <w:t xml:space="preserve">новым</w:t>
      </w:r>
      <w:r>
        <w:t xml:space="preserve">, не восстановленным (произведённым</w:t>
      </w:r>
      <w:r>
        <w:t xml:space="preserve"> с заменой комплектующих),</w:t>
      </w:r>
      <w:r>
        <w:t xml:space="preserve"> свободными от прав третьих лиц</w:t>
      </w:r>
      <w:r>
        <w:t xml:space="preserve">,</w:t>
      </w:r>
      <w:r>
        <w:t xml:space="preserve"> гарантировать бесперебойную работу оборудования и обеспечивать полное с ним взаимодействие</w:t>
      </w:r>
      <w: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r>
        <w:t xml:space="preserve">Все прописанные технические характеристики должны точно соответствовать маркировке </w:t>
      </w:r>
      <w:r>
        <w:br/>
      </w:r>
      <w:r>
        <w:t xml:space="preserve">на упаковке </w:t>
      </w:r>
      <w:r>
        <w:t xml:space="preserve">Товара</w:t>
      </w:r>
      <w:r>
        <w:t xml:space="preserve">. Вс</w:t>
      </w:r>
      <w:r>
        <w:t xml:space="preserve">е</w:t>
      </w:r>
      <w:r>
        <w:t xml:space="preserve"> маркировк</w:t>
      </w:r>
      <w:r>
        <w:t xml:space="preserve">и</w:t>
      </w:r>
      <w:r>
        <w:t xml:space="preserve"> должны быть нанесены типографским способом, все надписи должны быть легко читаемыми. </w:t>
      </w:r>
      <w:r/>
    </w:p>
    <w:p>
      <w:r>
        <w:t xml:space="preserve">В целях обеспечения максимального срока год</w:t>
      </w:r>
      <w:r>
        <w:t xml:space="preserve">ности Товара, год производства </w:t>
      </w:r>
      <w:r>
        <w:t xml:space="preserve">Товара: </w:t>
      </w:r>
      <w:r>
        <w:br/>
      </w:r>
      <w:r>
        <w:t xml:space="preserve">не</w:t>
      </w:r>
      <w:r>
        <w:t xml:space="preserve"> ранее 202</w:t>
      </w:r>
      <w:r>
        <w:t xml:space="preserve">2</w:t>
      </w:r>
      <w:r>
        <w:t xml:space="preserve"> г.</w:t>
      </w:r>
      <w:r/>
    </w:p>
    <w:p>
      <w:r>
        <w:t xml:space="preserve">Гарантия Поставщика на поставляемый Товар должна</w:t>
      </w:r>
      <w:r>
        <w:t xml:space="preserve"> </w:t>
      </w:r>
      <w:r>
        <w:t xml:space="preserve">составлять</w:t>
      </w:r>
      <w:r>
        <w:t xml:space="preserve"> </w:t>
      </w:r>
      <w:r>
        <w:t xml:space="preserve">12</w:t>
      </w:r>
      <w:r>
        <w:t xml:space="preserve"> (</w:t>
      </w:r>
      <w:r>
        <w:t xml:space="preserve">двенадцать</w:t>
      </w:r>
      <w:r>
        <w:t xml:space="preserve">) </w:t>
      </w:r>
      <w:r>
        <w:t xml:space="preserve">месяцев</w:t>
      </w:r>
      <w:r>
        <w:t xml:space="preserve"> </w:t>
      </w:r>
      <w:r>
        <w:br/>
        <w:t xml:space="preserve">с</w:t>
      </w:r>
      <w:r>
        <w:t xml:space="preserve"> даты подписания </w:t>
      </w:r>
      <w:r>
        <w:t xml:space="preserve">Акта приема-передачи Т</w:t>
      </w:r>
      <w:r>
        <w:t xml:space="preserve">овара</w:t>
      </w:r>
      <w:r>
        <w:t xml:space="preserve">.</w:t>
      </w:r>
      <w:r/>
    </w:p>
    <w:p>
      <w:pPr>
        <w:pStyle w:val="826"/>
      </w:pPr>
      <w:r>
        <w:t xml:space="preserve">Требования к безопасности, функциональным характеристикам (потребительским свойствам) Товара</w:t>
      </w:r>
      <w:r/>
    </w:p>
    <w:p>
      <w:r>
        <w:t xml:space="preserve">Маркировка Товара должна содержать все признаки оригинальности, установленные производителем:</w:t>
      </w:r>
      <w:r/>
    </w:p>
    <w:p>
      <w:pPr>
        <w:pStyle w:val="825"/>
        <w:ind w:hanging="426"/>
      </w:pPr>
      <w:r>
        <w:t xml:space="preserve">голограммы, защитные пломбы, марки, содержащие в</w:t>
      </w:r>
      <w:r>
        <w:t xml:space="preserve">се элементы защиты от подделок</w:t>
      </w:r>
      <w:r>
        <w:t xml:space="preserve">;</w:t>
      </w:r>
      <w:r/>
    </w:p>
    <w:p>
      <w:pPr>
        <w:pStyle w:val="825"/>
        <w:ind w:hanging="426"/>
      </w:pPr>
      <w:r>
        <w:t xml:space="preserve">Товар</w:t>
      </w:r>
      <w:r>
        <w:t xml:space="preserve"> не должен иметь потертостей, царапин, сколов и следов вскрытия.</w:t>
      </w:r>
      <w:r/>
    </w:p>
    <w:p>
      <w:pPr>
        <w:ind w:firstLine="0"/>
      </w:pPr>
      <w:r/>
      <w:r/>
    </w:p>
    <w:p>
      <w:pPr>
        <w:ind w:left="0" w:firstLine="0"/>
        <w:jc w:val="lef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  <w:highlight w:val="none"/>
        </w:rPr>
        <w:outlineLvl w:val="9"/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left="0" w:firstLine="0"/>
        <w:jc w:val="lef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  <w:highlight w:val="none"/>
        </w:rPr>
        <w:sectPr>
          <w:footnotePr/>
          <w:endnotePr/>
          <w:type w:val="nextPage"/>
          <w:pgSz w:w="11906" w:h="16838" w:orient="portrait"/>
          <w:pgMar w:top="850" w:right="426" w:bottom="964" w:left="1134" w:header="709" w:footer="709" w:gutter="0"/>
          <w:pgNumType w:start="1"/>
          <w:cols w:num="1" w:sep="0" w:space="708" w:equalWidth="1"/>
          <w:docGrid w:linePitch="360"/>
          <w:titlePg/>
        </w:sect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left="0" w:firstLine="0"/>
        <w:jc w:val="lef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  <w:highlight w:val="none"/>
        </w:rPr>
        <w:outlineLvl w:val="9"/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left="1562" w:firstLine="6237"/>
        <w:jc w:val="righ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  <w:highlight w:val="none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2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firstLine="0"/>
        <w:jc w:val="right"/>
        <w:spacing w:line="100" w:lineRule="atLeas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к Контракту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100201966126100121</w:t>
      </w:r>
      <w:r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right"/>
        <w:spacing w:line="100" w:lineRule="atLeas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от «___» ________2026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b/>
          <w:bCs/>
          <w:cap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cap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cap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caps/>
          <w:sz w:val="24"/>
          <w:szCs w:val="24"/>
          <w:lang w:eastAsia="ar-SA"/>
        </w:rPr>
        <w:t xml:space="preserve">Спецификация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cap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cap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caps/>
          <w:sz w:val="24"/>
          <w:szCs w:val="24"/>
        </w:rPr>
      </w:r>
      <w:r>
        <w:rPr>
          <w:rFonts w:ascii="Times New Roman" w:hAnsi="Times New Roman" w:cs="Times New Roman"/>
          <w:b/>
          <w:caps/>
          <w:sz w:val="24"/>
          <w:szCs w:val="24"/>
        </w:rPr>
      </w:r>
    </w:p>
    <w:p>
      <w:pPr>
        <w:ind w:firstLine="0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91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1352"/>
        <w:gridCol w:w="676"/>
        <w:gridCol w:w="665"/>
        <w:gridCol w:w="3402"/>
        <w:gridCol w:w="1276"/>
        <w:gridCol w:w="1134"/>
        <w:gridCol w:w="1428"/>
      </w:tblGrid>
      <w:tr>
        <w:tblPrEx/>
        <w:trPr/>
        <w:tc>
          <w:tcPr>
            <w:tcW w:w="53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5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  <w:t xml:space="preserve"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Ед. изм.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66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Страна происхождения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Цена за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br/>
              <w:t xml:space="preserve">ед. изм. (руб.)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42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Сумма, руб.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132"/>
        </w:trPr>
        <w:tc>
          <w:tcPr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52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IP-телефон Yealink SIP-T31P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676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66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</w:pPr>
            <w:r>
              <w:t xml:space="preserve">Тип устройства: Стационарный телефон</w:t>
            </w:r>
            <w:r/>
          </w:p>
          <w:p>
            <w:pPr>
              <w:ind w:firstLine="0"/>
              <w:jc w:val="left"/>
            </w:pPr>
            <w:r>
              <w:t xml:space="preserve">Количество дисплеев: 1</w:t>
            </w:r>
            <w:r/>
          </w:p>
          <w:p>
            <w:pPr>
              <w:ind w:firstLine="0"/>
              <w:jc w:val="left"/>
            </w:pPr>
            <w:r>
              <w:t xml:space="preserve">Комплектация: Блок питания</w:t>
            </w:r>
            <w:r/>
          </w:p>
          <w:p>
            <w:pPr>
              <w:ind w:firstLine="0"/>
              <w:jc w:val="left"/>
              <w:rPr>
                <w:highlight w:val="none"/>
              </w:rPr>
            </w:pPr>
            <w:r>
              <w:t xml:space="preserve">Сетевые протоколы: Поддержка SIP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firstLine="0"/>
              <w:jc w:val="left"/>
            </w:pPr>
            <w:r>
              <w:rPr>
                <w:highlight w:val="none"/>
              </w:rPr>
              <w:t xml:space="preserve">Конструкция: </w:t>
            </w:r>
            <w:r>
              <w:rPr>
                <w:highlight w:val="none"/>
              </w:rPr>
              <w:t xml:space="preserve">Электропитание по стандарту PoE</w:t>
            </w:r>
            <w:r>
              <w:rPr>
                <w:highlight w:val="none"/>
              </w:rPr>
            </w:r>
            <w:r/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Китай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4596.06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28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597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487.80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7903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562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597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487.80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7903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в том числе НДС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562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highlight w:val="white"/>
              </w:rPr>
              <w:t xml:space="preserve">107 743</w:t>
            </w:r>
            <w:r>
              <w:rPr>
                <w:highlight w:val="white"/>
              </w:rPr>
              <w:t xml:space="preserve">.70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rPr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t xml:space="preserve">*Примечание:</w:t>
      </w:r>
      <w:r>
        <w:rPr>
          <w:highlight w:val="none"/>
        </w:rPr>
      </w:r>
      <w:r>
        <w:rPr>
          <w:highlight w:val="none"/>
        </w:rPr>
      </w:r>
    </w:p>
    <w:p>
      <w:pPr>
        <w:ind w:firstLine="0"/>
        <w:rPr>
          <w:bCs/>
          <w:i/>
          <w:highlight w:val="none"/>
        </w:rPr>
      </w:pPr>
      <w:r>
        <w:rPr>
          <w:i/>
          <w:iCs/>
        </w:rPr>
        <w:t xml:space="preserve">Эквивалентный товар не допустим в соответствии с подпунктом «б» пункта 1 части 1 статьи 33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ind w:firstLine="0"/>
        <w:rPr>
          <w:bCs/>
          <w:i/>
          <w:highlight w:val="none"/>
        </w:rPr>
      </w:pPr>
      <w:r>
        <w:rPr>
          <w:bCs/>
          <w:i/>
          <w:highlight w:val="none"/>
        </w:rPr>
        <w:t xml:space="preserve">В соответствии с частью 6 Технического задания к Контракту, </w:t>
      </w:r>
      <w:r>
        <w:rPr>
          <w:bCs/>
          <w:i/>
          <w:iCs/>
          <w:highlight w:val="none"/>
        </w:rPr>
        <w:t xml:space="preserve">п</w:t>
      </w:r>
      <w:r>
        <w:rPr>
          <w:i/>
          <w:iCs/>
          <w:highlight w:val="none"/>
        </w:rPr>
        <w:t xml:space="preserve">оставляемый Товар должен быть полностью совместим с существующим оборудованием, эксплуатируемым Заказчиком</w:t>
      </w:r>
      <w:r>
        <w:rPr>
          <w:i/>
          <w:iCs/>
          <w:highlight w:val="none"/>
        </w:rPr>
        <w:t xml:space="preserve">.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ind w:firstLine="0"/>
        <w:rPr>
          <w:bCs/>
          <w:i/>
          <w:highlight w:val="none"/>
        </w:rPr>
      </w:pPr>
      <w:r>
        <w:rPr>
          <w:bCs/>
          <w:i/>
          <w:highlight w:val="none"/>
        </w:rPr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tbl>
      <w:tblPr>
        <w:tblW w:w="4640" w:type="pct"/>
        <w:jc w:val="center"/>
        <w:tblInd w:w="-828" w:type="dxa"/>
        <w:tblLayout w:type="fixed"/>
        <w:tblLook w:val="0000" w:firstRow="0" w:lastRow="0" w:firstColumn="0" w:lastColumn="0" w:noHBand="0" w:noVBand="0"/>
      </w:tblPr>
      <w:tblGrid>
        <w:gridCol w:w="5432"/>
        <w:gridCol w:w="4369"/>
      </w:tblGrid>
      <w:tr>
        <w:tblPrEx/>
        <w:trPr>
          <w:jc w:val="center"/>
        </w:trPr>
        <w:tc>
          <w:tcPr>
            <w:shd w:val="clear" w:color="ffffff" w:fill="ffffff"/>
            <w:tcW w:w="543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ar-SA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Директор Департамента цифровой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трансформации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____________________/Ф.В. Мицкевич/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4369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Генеральный директор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/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В.Е. Лавров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val="en-US"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val="en-US" w:eastAsia="ar-SA"/>
              </w:rPr>
            </w:r>
          </w:p>
        </w:tc>
      </w:tr>
      <w:tr>
        <w:tblPrEx/>
        <w:trPr>
          <w:jc w:val="center"/>
          <w:trHeight w:val="80"/>
        </w:trPr>
        <w:tc>
          <w:tcPr>
            <w:shd w:val="clear" w:color="ffffff" w:fill="ffffff"/>
            <w:tcW w:w="543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4369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ind w:firstLine="0"/>
        <w:jc w:val="left"/>
        <w:spacing w:after="160" w:line="259" w:lineRule="auto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567" w:right="426" w:bottom="567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3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к Контракту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100201966126100121</w:t>
      </w:r>
      <w:r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от «___» ________2026 г.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210"/>
        <w:gridCol w:w="4996"/>
      </w:tblGrid>
      <w:tr>
        <w:tblPrEx/>
        <w:trPr>
          <w:trHeight w:val="313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13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 энергетики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(Минэнерго России)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firstLine="0"/>
              <w:rPr>
                <w:color w:val="000000"/>
                <w:sz w:val="24"/>
                <w:szCs w:val="24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  <w:lang w:val="en-US"/>
              </w:rPr>
              <w:t xml:space="preserve">Публичное акционерное общество «СОФТЛАЙН» (ПАО «СОФТЛАЙН»)</w:t>
            </w:r>
            <w:r>
              <w:rPr>
                <w:color w:val="000000"/>
                <w:sz w:val="24"/>
                <w:szCs w:val="24"/>
                <w:lang w:val="en-US"/>
              </w:rPr>
            </w:r>
            <w:r>
              <w:rPr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760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Юридический адрес: 109012, 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Китайгородский пр-д, д. 7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Фактический адрес: 129110, 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Щепкина ул., д. 42, стр. 1, 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7705847529, КПП 770501001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Банковские реквизиты: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Межрегиональное операционное УФК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(Минэнерго России, л/с 03951000220)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р/с 40102810045370000002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Операционном департаменте Банка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//Межрегиональное операционное УФК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к/с 03211643000000019503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БИК 024501901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ОКПО/ОКТМО  00083641/45381000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E-mail: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p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k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v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g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@minenergo.gov.ru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Тел: (495) 631-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right="34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Юридический адрес: </w:t>
            </w:r>
            <w:r>
              <w:rPr>
                <w:color w:val="000000"/>
                <w:sz w:val="24"/>
                <w:szCs w:val="24"/>
              </w:rPr>
              <w:t xml:space="preserve">119021, г. Москва, </w:t>
              <w:br/>
              <w:t xml:space="preserve">ул. Льва Толстого, д. 5, стр. 1, эт. 3, </w:t>
              <w:br/>
              <w:t xml:space="preserve">помещ. 1, ком. №2, 2а (а-311)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Почтовый адрес: </w:t>
            </w:r>
            <w:r>
              <w:rPr>
                <w:color w:val="000000"/>
                <w:sz w:val="24"/>
                <w:szCs w:val="24"/>
              </w:rPr>
              <w:t xml:space="preserve">119021, г. Москва, </w:t>
              <w:br/>
              <w:t xml:space="preserve">ул. Льва Толстого, д. 5, стр. 1, эт. 3, </w:t>
              <w:br/>
              <w:t xml:space="preserve">помещ. 1, ком. №2, 2а (а-311)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</w:t>
            </w:r>
            <w:r>
              <w:rPr>
                <w:color w:val="000000"/>
                <w:sz w:val="24"/>
                <w:szCs w:val="24"/>
              </w:rPr>
              <w:t xml:space="preserve">7736227885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КПП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770401001,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t xml:space="preserve">КПП крупнейшего налогоплательщика: 774950001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ОКПО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59754311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ОКТМО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45383000000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ОГРН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1027736009333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ОКВЭД </w:t>
            </w:r>
            <w:r>
              <w:rPr>
                <w:color w:val="000000"/>
                <w:sz w:val="24"/>
                <w:szCs w:val="24"/>
              </w:rPr>
              <w:t xml:space="preserve">46.90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Банковские реквизиты: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Наименование банка: Банк ГПБ (АО)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\с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40702810800000010453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к\с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30101810200000000823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044525823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r>
              <w:rPr>
                <w:color w:val="000000"/>
                <w:sz w:val="24"/>
                <w:szCs w:val="24"/>
              </w:rPr>
              <w:t xml:space="preserve">corporate@softline.com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тел. +</w:t>
            </w:r>
            <w:r>
              <w:rPr>
                <w:color w:val="000000"/>
                <w:sz w:val="24"/>
                <w:szCs w:val="24"/>
              </w:rPr>
              <w:t xml:space="preserve">7 (495) 232-00-23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Дата постановки на учет в налоговом органе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t xml:space="preserve">21.02.2008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  <w:t xml:space="preserve">ФОРМА АКТА ПРИЕМА-ПЕРЕДАЧИ ТОВАРА №___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  <w:t xml:space="preserve">по Контракту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 xml:space="preserve"> от «___» ___________ 2026 г.  № ______________________________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08"/>
        <w:gridCol w:w="5563"/>
      </w:tblGrid>
      <w:tr>
        <w:tblPrEx/>
        <w:trPr/>
        <w:tc>
          <w:tcPr>
            <w:tcW w:w="460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г.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563" w:type="dxa"/>
            <w:textDirection w:val="lrTb"/>
            <w:noWrap w:val="false"/>
          </w:tcPr>
          <w:p>
            <w:pPr>
              <w:ind w:firstLine="0"/>
              <w:jc w:val="righ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righ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         «___» ____________ 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righ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нистерство энергетики Российской Федерации (Минэнерго России), именуемое </w:t>
        <w:br/>
        <w:t xml:space="preserve">в дальнейшем «Заказчик», в  в лице директора Департамента цифровой трансформации Мицкевича Феликса Владимировича, действующего на основании приказа Минэнерго России от 24.11.2021 № 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286 и доверенности от 03.03.2025 № СЦ-3295/146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и ________________________, именуемое в дальнейшем «Поставщик»,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лице_____________________________, действующего на основании________________________, с другой стороны, составили настоящий Акт </w:t>
        <w:br/>
        <w:t xml:space="preserve">о нижеследующем: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3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В соответствии с условиями контракта от «__» __________ 2026 г. № _______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(далее – Контракт) Поставщиком передан, а Заказчиком принят Товар по предмету закупки: 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13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3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 w:type="page" w:clear="all"/>
        <w:t xml:space="preserve">2.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Контрактом предусмотрена поставка: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4"/>
        <w:gridCol w:w="1742"/>
        <w:gridCol w:w="1853"/>
        <w:gridCol w:w="1718"/>
        <w:gridCol w:w="2076"/>
      </w:tblGrid>
      <w:tr>
        <w:tblPrEx/>
        <w:trPr>
          <w:jc w:val="center"/>
          <w:trHeight w:val="728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Наименование товарной позиции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Количество, шт.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Страна происхождения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Цена за ед. (руб.), 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Сумма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br/>
              <w:t xml:space="preserve">(в руб.), 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418" w:hRule="exact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</w:tc>
      </w:tr>
    </w:tbl>
    <w:p>
      <w:pPr>
        <w:ind w:left="11"/>
        <w:spacing w:before="120" w:after="120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Фактически поставлено: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4"/>
        <w:gridCol w:w="1742"/>
        <w:gridCol w:w="1853"/>
        <w:gridCol w:w="1718"/>
        <w:gridCol w:w="2076"/>
      </w:tblGrid>
      <w:tr>
        <w:tblPrEx/>
        <w:trPr>
          <w:jc w:val="center"/>
          <w:trHeight w:val="728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Наименование товарной позиции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Количество, шт.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Страна происхождения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Цена за ед. (руб.), 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Сумма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br/>
              <w:t xml:space="preserve">(в руб.), 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418" w:hRule="exact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</w:tc>
      </w:tr>
    </w:tbl>
    <w:p>
      <w:pPr>
        <w:ind w:left="13" w:firstLine="554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Срок поставки по Контракту: _____________________________________________.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3" w:firstLine="5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Фактический срок поставки: ___________________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Вариант 1.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Вышеперечисленный Товар поставлен полностью и в срок. Заказчик по объему, качеству и срокам поставки Товара претензий не имеет. 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Итого стоимость поставки Товара составляет 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 xml:space="preserve">___________________________________ 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рублей __ копеек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 том числе НДС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vertAlign w:val="superscript"/>
        </w:rPr>
        <w:footnoteReference w:customMarkFollows="1" w:id="2"/>
        <w:t xml:space="preserve">[1]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   _____ (______________________) рублей __ копеек.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Аванс не перечислялся.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Неустойка Поставщику не начисляется.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Вариант 2.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 ходе поставки Товара Заказчик выявил отклонения от условий Контракта или следующие недостатки в поставке Товара: ________________________________________________________.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Поставщику начислена неустойка: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- пени в соответствии с п.__ Контракта в сумме __________________руб.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ind w:left="13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Итого стоимость поставки Товара составляет 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 xml:space="preserve">___________________________________ 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рублей __ копеек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 том числе НДС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vertAlign w:val="superscript"/>
        </w:rPr>
        <w:t xml:space="preserve">[1]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   _____ (______________________) рублей __ копеек.</w: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ind w:left="13" w:firstLine="554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Сумма, подлежащая уплате Поставщику за Товар, принятый по настоящему акту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(с учетом удержания пени) – ______________________ руб., в том числе НДС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/без НДС.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06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245"/>
        <w:gridCol w:w="4961"/>
      </w:tblGrid>
      <w:tr>
        <w:tblPrEx/>
        <w:trPr/>
        <w:tc>
          <w:tcPr>
            <w:tcW w:w="5245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/ 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/ _____________/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СОГЛАСОВАНА КАК ФОРМА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/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Директор Департамента цифровой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трансформации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____________________/Ф.В. Мицкевич/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Генеральный директор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/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В.Е. Лавров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val="en-US"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val="en-US" w:eastAsia="ar-SA"/>
              </w:rPr>
            </w:r>
          </w:p>
        </w:tc>
      </w:tr>
      <w:tr>
        <w:tblPrEx/>
        <w:trPr>
          <w:trHeight w:val="408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ind w:firstLine="0"/>
        <w:spacing w:before="20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8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28"/>
        <w:numPr>
          <w:ilvl w:val="0"/>
          <w:numId w:val="0"/>
        </w:numPr>
        <w:ind w:left="10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>
        <w:numRestart w:val="eachSect"/>
      </w:footnotePr>
      <w:endnotePr/>
      <w:type w:val="nextPage"/>
      <w:pgSz w:w="11906" w:h="16838" w:orient="portrait"/>
      <w:pgMar w:top="567" w:right="567" w:bottom="567" w:left="1134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98"/>
      </w:pPr>
      <w:r>
        <w:rPr>
          <w:rStyle w:val="1000"/>
        </w:rPr>
        <w:t xml:space="preserve">[1]</w:t>
      </w:r>
      <w:r>
        <w:t xml:space="preserve"> В случае если Поставщик освобожден от уплаты НДС, указать причину такого освобождения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49421928"/>
      <w:docPartObj>
        <w:docPartGallery w:val="Page Numbers (Top of Page)"/>
        <w:docPartUnique w:val="true"/>
      </w:docPartObj>
      <w:rPr/>
    </w:sdtPr>
    <w:sdtContent>
      <w:p>
        <w:pPr>
          <w:pStyle w:val="100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pPr>
      <w:pStyle w:val="100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214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213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6">
    <w:multiLevelType w:val="hybridMultilevel"/>
    <w:lvl w:ilvl="0">
      <w:start w:val="1"/>
      <w:numFmt w:val="decimal"/>
      <w:pStyle w:val="826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pStyle w:val="827"/>
      <w:isLgl w:val="false"/>
      <w:suff w:val="space"/>
      <w:lvlText w:val="%1."/>
      <w:lvlJc w:val="left"/>
      <w:pPr>
        <w:ind w:left="858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1">
    <w:multiLevelType w:val="hybridMultilevel"/>
    <w:lvl w:ilvl="0">
      <w:start w:val="1"/>
      <w:numFmt w:val="decimal"/>
      <w:pStyle w:val="821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822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823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8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700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72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88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6">
    <w:multiLevelType w:val="hybridMultilevel"/>
    <w:lvl w:ilvl="0">
      <w:start w:val="1"/>
      <w:numFmt w:val="decimal"/>
      <w:pStyle w:val="828"/>
      <w:isLgl w:val="false"/>
      <w:suff w:val="tab"/>
      <w:lvlText w:val="Приложение № %1"/>
      <w:lvlJc w:val="right"/>
      <w:pPr>
        <w:ind w:left="1056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12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19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26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33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41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48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55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6264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bullet"/>
      <w:pStyle w:val="825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ind w:left="213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4.1.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508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922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994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1066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1138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1210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1282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1354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14268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276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6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19"/>
  </w:num>
  <w:num w:numId="3">
    <w:abstractNumId w:val="6"/>
  </w:num>
  <w:num w:numId="4">
    <w:abstractNumId w:val="16"/>
  </w:num>
  <w:num w:numId="5">
    <w:abstractNumId w:val="9"/>
  </w:num>
  <w:num w:numId="6">
    <w:abstractNumId w:val="11"/>
    <w:lvlOverride w:ilvl="0">
      <w:startOverride w:val="10"/>
    </w:lvlOverride>
  </w:num>
  <w:num w:numId="7">
    <w:abstractNumId w:val="5"/>
  </w:num>
  <w:num w:numId="8">
    <w:abstractNumId w:val="6"/>
  </w:num>
  <w:num w:numId="9">
    <w:abstractNumId w:val="6"/>
  </w:num>
  <w:num w:numId="10">
    <w:abstractNumId w:val="6"/>
    <w:lvlOverride w:ilvl="0">
      <w:startOverride w:val="1"/>
    </w:lvlOverride>
  </w:num>
  <w:num w:numId="11">
    <w:abstractNumId w:val="6"/>
  </w:num>
  <w:num w:numId="12">
    <w:abstractNumId w:val="21"/>
  </w:num>
  <w:num w:numId="13">
    <w:abstractNumId w:val="8"/>
  </w:num>
  <w:num w:numId="14">
    <w:abstractNumId w:val="0"/>
  </w:num>
  <w:num w:numId="15">
    <w:abstractNumId w:val="13"/>
  </w:num>
  <w:num w:numId="16">
    <w:abstractNumId w:val="22"/>
  </w:num>
  <w:num w:numId="17">
    <w:abstractNumId w:val="2"/>
  </w:num>
  <w:num w:numId="18">
    <w:abstractNumId w:val="1"/>
  </w:num>
  <w:num w:numId="19">
    <w:abstractNumId w:val="20"/>
  </w:num>
  <w:num w:numId="20">
    <w:abstractNumId w:val="3"/>
  </w:num>
  <w:num w:numId="21">
    <w:abstractNumId w:val="12"/>
  </w:num>
  <w:num w:numId="22">
    <w:abstractNumId w:val="17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4"/>
  </w:num>
  <w:num w:numId="31">
    <w:abstractNumId w:val="7"/>
  </w:num>
  <w:num w:numId="32">
    <w:abstractNumId w:val="14"/>
  </w:num>
  <w:num w:numId="33">
    <w:abstractNumId w:val="10"/>
  </w:num>
  <w:num w:numId="34">
    <w:abstractNumId w:val="23"/>
  </w:num>
  <w:num w:numId="35">
    <w:abstractNumId w:val="24"/>
  </w:num>
  <w:num w:numId="36">
    <w:abstractNumId w:val="25"/>
  </w:num>
  <w:num w:numId="37">
    <w:abstractNumId w:val="26"/>
  </w:num>
  <w:num w:numId="38">
    <w:abstractNumId w:val="27"/>
  </w:num>
  <w:num w:numId="39">
    <w:abstractNumId w:val="28"/>
  </w:num>
  <w:num w:numId="40">
    <w:abstractNumId w:val="29"/>
  </w:num>
  <w:num w:numId="41">
    <w:abstractNumId w:val="30"/>
  </w:num>
  <w:num w:numId="42">
    <w:abstractNumId w:val="31"/>
  </w:num>
  <w:num w:numId="43">
    <w:abstractNumId w:val="32"/>
  </w:num>
  <w:num w:numId="44">
    <w:abstractNumId w:val="33"/>
  </w:num>
  <w:num w:numId="45">
    <w:abstractNumId w:val="34"/>
  </w:num>
  <w:num w:numId="46">
    <w:abstractNumId w:val="35"/>
  </w:num>
  <w:num w:numId="47">
    <w:abstractNumId w:val="36"/>
  </w:num>
  <w:num w:numId="48">
    <w:abstractNumId w:val="37"/>
  </w:num>
  <w:num w:numId="49">
    <w:abstractNumId w:val="38"/>
  </w:num>
  <w:num w:numId="50">
    <w:abstractNumId w:val="39"/>
  </w:num>
  <w:num w:numId="51">
    <w:abstractNumId w:val="40"/>
  </w:num>
  <w:num w:numId="52">
    <w:abstractNumId w:val="41"/>
  </w:num>
  <w:num w:numId="53">
    <w:abstractNumId w:val="42"/>
  </w:num>
  <w:num w:numId="54">
    <w:abstractNumId w:val="43"/>
  </w:num>
  <w:num w:numId="55">
    <w:abstractNumId w:val="44"/>
  </w:num>
  <w:num w:numId="56">
    <w:abstractNumId w:val="45"/>
  </w:num>
  <w:num w:numId="57">
    <w:abstractNumId w:val="46"/>
  </w:num>
  <w:num w:numId="58">
    <w:abstractNumId w:val="47"/>
  </w:num>
  <w:num w:numId="59">
    <w:abstractNumId w:val="48"/>
  </w:num>
  <w:num w:numId="60">
    <w:abstractNumId w:val="49"/>
  </w:num>
  <w:num w:numId="61">
    <w:abstractNumId w:val="50"/>
  </w:num>
  <w:num w:numId="62">
    <w:abstractNumId w:val="51"/>
  </w:num>
  <w:num w:numId="63">
    <w:abstractNumId w:val="52"/>
  </w:num>
  <w:num w:numId="64">
    <w:abstractNumId w:val="53"/>
  </w:num>
  <w:num w:numId="65">
    <w:abstractNumId w:val="54"/>
  </w:num>
  <w:num w:numId="66">
    <w:abstractNumId w:val="55"/>
  </w:num>
  <w:num w:numId="67">
    <w:abstractNumId w:val="56"/>
  </w:num>
  <w:num w:numId="68">
    <w:abstractNumId w:val="57"/>
  </w:num>
  <w:num w:numId="69">
    <w:abstractNumId w:val="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17">
    <w:name w:val="Quote Char"/>
    <w:link w:val="844"/>
    <w:uiPriority w:val="29"/>
    <w:rPr>
      <w:i/>
    </w:rPr>
  </w:style>
  <w:style w:type="character" w:styleId="818">
    <w:name w:val="Intense Quote Char"/>
    <w:link w:val="846"/>
    <w:uiPriority w:val="30"/>
    <w:rPr>
      <w:i/>
    </w:rPr>
  </w:style>
  <w:style w:type="paragraph" w:styleId="819" w:default="1">
    <w:name w:val="Normal"/>
    <w:qFormat/>
    <w:pPr>
      <w:ind w:firstLine="567"/>
      <w:jc w:val="both"/>
      <w:spacing w:after="0" w:line="240" w:lineRule="auto"/>
      <w:outlineLvl w:val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20">
    <w:name w:val="Heading 1"/>
    <w:basedOn w:val="819"/>
    <w:next w:val="819"/>
    <w:link w:val="990"/>
    <w:uiPriority w:val="9"/>
    <w:qFormat/>
    <w:pPr>
      <w:jc w:val="center"/>
      <w:outlineLvl w:val="0"/>
    </w:pPr>
    <w:rPr>
      <w:b/>
    </w:rPr>
  </w:style>
  <w:style w:type="paragraph" w:styleId="821">
    <w:name w:val="Heading 2"/>
    <w:basedOn w:val="822"/>
    <w:next w:val="819"/>
    <w:link w:val="992"/>
    <w:uiPriority w:val="9"/>
    <w:unhideWhenUsed/>
    <w:qFormat/>
    <w:pPr>
      <w:numPr>
        <w:ilvl w:val="0"/>
      </w:numPr>
      <w:jc w:val="center"/>
      <w:spacing w:before="240" w:after="240"/>
      <w:outlineLvl w:val="1"/>
    </w:pPr>
    <w:rPr>
      <w:b/>
      <w:bCs/>
    </w:rPr>
  </w:style>
  <w:style w:type="paragraph" w:styleId="822">
    <w:name w:val="Heading 3"/>
    <w:basedOn w:val="819"/>
    <w:next w:val="819"/>
    <w:link w:val="993"/>
    <w:uiPriority w:val="9"/>
    <w:unhideWhenUsed/>
    <w:qFormat/>
    <w:pPr>
      <w:numPr>
        <w:ilvl w:val="1"/>
        <w:numId w:val="1"/>
      </w:numPr>
      <w:contextualSpacing/>
      <w:ind w:left="0" w:firstLine="567"/>
      <w:outlineLvl w:val="2"/>
    </w:pPr>
  </w:style>
  <w:style w:type="paragraph" w:styleId="823">
    <w:name w:val="Heading 4"/>
    <w:basedOn w:val="822"/>
    <w:next w:val="819"/>
    <w:link w:val="995"/>
    <w:uiPriority w:val="9"/>
    <w:unhideWhenUsed/>
    <w:qFormat/>
    <w:pPr>
      <w:numPr>
        <w:ilvl w:val="2"/>
      </w:numPr>
      <w:ind w:left="0" w:firstLine="737"/>
      <w:outlineLvl w:val="3"/>
    </w:pPr>
  </w:style>
  <w:style w:type="paragraph" w:styleId="824">
    <w:name w:val="Heading 5"/>
    <w:basedOn w:val="823"/>
    <w:next w:val="819"/>
    <w:link w:val="1001"/>
    <w:uiPriority w:val="9"/>
    <w:unhideWhenUsed/>
    <w:qFormat/>
    <w:pPr>
      <w:numPr>
        <w:ilvl w:val="0"/>
        <w:numId w:val="0"/>
      </w:numPr>
      <w:ind w:firstLine="567"/>
      <w:outlineLvl w:val="4"/>
    </w:pPr>
  </w:style>
  <w:style w:type="paragraph" w:styleId="825">
    <w:name w:val="Heading 6"/>
    <w:basedOn w:val="824"/>
    <w:next w:val="819"/>
    <w:link w:val="1002"/>
    <w:uiPriority w:val="9"/>
    <w:unhideWhenUsed/>
    <w:qFormat/>
    <w:pPr>
      <w:numPr>
        <w:ilvl w:val="0"/>
        <w:numId w:val="2"/>
      </w:numPr>
      <w:ind w:left="993" w:hanging="219"/>
      <w:outlineLvl w:val="5"/>
    </w:pPr>
  </w:style>
  <w:style w:type="paragraph" w:styleId="826">
    <w:name w:val="Heading 7"/>
    <w:basedOn w:val="994"/>
    <w:next w:val="819"/>
    <w:link w:val="1013"/>
    <w:uiPriority w:val="9"/>
    <w:unhideWhenUsed/>
    <w:qFormat/>
    <w:pPr>
      <w:numPr>
        <w:ilvl w:val="0"/>
        <w:numId w:val="8"/>
      </w:numPr>
      <w:jc w:val="left"/>
      <w:spacing w:before="240" w:after="240"/>
      <w:outlineLvl w:val="6"/>
    </w:pPr>
    <w:rPr>
      <w:b/>
      <w:bCs/>
    </w:rPr>
  </w:style>
  <w:style w:type="paragraph" w:styleId="827">
    <w:name w:val="Heading 8"/>
    <w:basedOn w:val="822"/>
    <w:next w:val="819"/>
    <w:link w:val="1014"/>
    <w:uiPriority w:val="9"/>
    <w:unhideWhenUsed/>
    <w:qFormat/>
    <w:pPr>
      <w:numPr>
        <w:ilvl w:val="0"/>
        <w:numId w:val="5"/>
      </w:numPr>
      <w:ind w:left="0" w:firstLine="567"/>
      <w:outlineLvl w:val="7"/>
    </w:pPr>
  </w:style>
  <w:style w:type="paragraph" w:styleId="828">
    <w:name w:val="Heading 9"/>
    <w:basedOn w:val="819"/>
    <w:next w:val="819"/>
    <w:link w:val="1015"/>
    <w:uiPriority w:val="9"/>
    <w:unhideWhenUsed/>
    <w:qFormat/>
    <w:pPr>
      <w:numPr>
        <w:ilvl w:val="0"/>
        <w:numId w:val="4"/>
      </w:numPr>
      <w:ind w:left="8505" w:firstLine="0"/>
      <w:jc w:val="right"/>
      <w:spacing w:before="20"/>
      <w:tabs>
        <w:tab w:val="left" w:pos="6946" w:leader="none"/>
      </w:tabs>
      <w:outlineLvl w:val="8"/>
    </w:pPr>
    <w:rPr>
      <w:color w:val="000000"/>
    </w:rPr>
  </w:style>
  <w:style w:type="character" w:styleId="829" w:default="1">
    <w:name w:val="Default Paragraph Font"/>
    <w:uiPriority w:val="1"/>
    <w:semiHidden/>
    <w:unhideWhenUsed/>
  </w:style>
  <w:style w:type="table" w:styleId="8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1" w:default="1">
    <w:name w:val="No List"/>
    <w:uiPriority w:val="99"/>
    <w:semiHidden/>
    <w:unhideWhenUsed/>
  </w:style>
  <w:style w:type="character" w:styleId="832" w:customStyle="1">
    <w:name w:val="Heading 1 Char"/>
    <w:basedOn w:val="829"/>
    <w:uiPriority w:val="9"/>
    <w:rPr>
      <w:rFonts w:ascii="Arial" w:hAnsi="Arial" w:eastAsia="Arial" w:cs="Arial"/>
      <w:sz w:val="40"/>
      <w:szCs w:val="40"/>
    </w:rPr>
  </w:style>
  <w:style w:type="character" w:styleId="833" w:customStyle="1">
    <w:name w:val="Heading 2 Char"/>
    <w:basedOn w:val="829"/>
    <w:uiPriority w:val="9"/>
    <w:rPr>
      <w:rFonts w:ascii="Arial" w:hAnsi="Arial" w:eastAsia="Arial" w:cs="Arial"/>
      <w:sz w:val="34"/>
    </w:rPr>
  </w:style>
  <w:style w:type="character" w:styleId="834" w:customStyle="1">
    <w:name w:val="Heading 3 Char"/>
    <w:basedOn w:val="829"/>
    <w:uiPriority w:val="9"/>
    <w:rPr>
      <w:rFonts w:ascii="Arial" w:hAnsi="Arial" w:eastAsia="Arial" w:cs="Arial"/>
      <w:sz w:val="30"/>
      <w:szCs w:val="30"/>
    </w:rPr>
  </w:style>
  <w:style w:type="character" w:styleId="835" w:customStyle="1">
    <w:name w:val="Heading 4 Char"/>
    <w:basedOn w:val="829"/>
    <w:uiPriority w:val="9"/>
    <w:rPr>
      <w:rFonts w:ascii="Arial" w:hAnsi="Arial" w:eastAsia="Arial" w:cs="Arial"/>
      <w:b/>
      <w:bCs/>
      <w:sz w:val="26"/>
      <w:szCs w:val="26"/>
    </w:rPr>
  </w:style>
  <w:style w:type="character" w:styleId="836" w:customStyle="1">
    <w:name w:val="Heading 5 Char"/>
    <w:basedOn w:val="829"/>
    <w:uiPriority w:val="9"/>
    <w:rPr>
      <w:rFonts w:ascii="Arial" w:hAnsi="Arial" w:eastAsia="Arial" w:cs="Arial"/>
      <w:b/>
      <w:bCs/>
      <w:sz w:val="24"/>
      <w:szCs w:val="24"/>
    </w:rPr>
  </w:style>
  <w:style w:type="character" w:styleId="837" w:customStyle="1">
    <w:name w:val="Heading 6 Char"/>
    <w:basedOn w:val="829"/>
    <w:uiPriority w:val="9"/>
    <w:rPr>
      <w:rFonts w:ascii="Arial" w:hAnsi="Arial" w:eastAsia="Arial" w:cs="Arial"/>
      <w:b/>
      <w:bCs/>
      <w:sz w:val="22"/>
      <w:szCs w:val="22"/>
    </w:rPr>
  </w:style>
  <w:style w:type="character" w:styleId="838" w:customStyle="1">
    <w:name w:val="Heading 7 Char"/>
    <w:basedOn w:val="82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39" w:customStyle="1">
    <w:name w:val="Heading 8 Char"/>
    <w:basedOn w:val="829"/>
    <w:uiPriority w:val="9"/>
    <w:rPr>
      <w:rFonts w:ascii="Arial" w:hAnsi="Arial" w:eastAsia="Arial" w:cs="Arial"/>
      <w:i/>
      <w:iCs/>
      <w:sz w:val="22"/>
      <w:szCs w:val="22"/>
    </w:rPr>
  </w:style>
  <w:style w:type="character" w:styleId="840" w:customStyle="1">
    <w:name w:val="Heading 9 Char"/>
    <w:basedOn w:val="829"/>
    <w:uiPriority w:val="9"/>
    <w:rPr>
      <w:rFonts w:ascii="Arial" w:hAnsi="Arial" w:eastAsia="Arial" w:cs="Arial"/>
      <w:i/>
      <w:iCs/>
      <w:sz w:val="21"/>
      <w:szCs w:val="21"/>
    </w:rPr>
  </w:style>
  <w:style w:type="paragraph" w:styleId="841">
    <w:name w:val="No Spacing"/>
    <w:uiPriority w:val="1"/>
    <w:qFormat/>
    <w:pPr>
      <w:spacing w:after="0" w:line="240" w:lineRule="auto"/>
    </w:pPr>
  </w:style>
  <w:style w:type="character" w:styleId="842" w:customStyle="1">
    <w:name w:val="Title Char"/>
    <w:basedOn w:val="829"/>
    <w:uiPriority w:val="10"/>
    <w:rPr>
      <w:sz w:val="48"/>
      <w:szCs w:val="48"/>
    </w:rPr>
  </w:style>
  <w:style w:type="character" w:styleId="843" w:customStyle="1">
    <w:name w:val="Subtitle Char"/>
    <w:basedOn w:val="829"/>
    <w:uiPriority w:val="11"/>
    <w:rPr>
      <w:sz w:val="24"/>
      <w:szCs w:val="24"/>
    </w:rPr>
  </w:style>
  <w:style w:type="paragraph" w:styleId="844">
    <w:name w:val="Quote"/>
    <w:basedOn w:val="819"/>
    <w:next w:val="819"/>
    <w:link w:val="845"/>
    <w:uiPriority w:val="29"/>
    <w:qFormat/>
    <w:pPr>
      <w:ind w:left="720" w:right="720"/>
    </w:pPr>
    <w:rPr>
      <w:i/>
    </w:rPr>
  </w:style>
  <w:style w:type="character" w:styleId="845" w:customStyle="1">
    <w:name w:val="Цитата 2 Знак"/>
    <w:link w:val="844"/>
    <w:uiPriority w:val="29"/>
    <w:rPr>
      <w:i/>
    </w:rPr>
  </w:style>
  <w:style w:type="paragraph" w:styleId="846">
    <w:name w:val="Intense Quote"/>
    <w:basedOn w:val="819"/>
    <w:next w:val="819"/>
    <w:link w:val="84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7" w:customStyle="1">
    <w:name w:val="Выделенная цитата Знак"/>
    <w:link w:val="846"/>
    <w:uiPriority w:val="30"/>
    <w:rPr>
      <w:i/>
    </w:rPr>
  </w:style>
  <w:style w:type="character" w:styleId="848" w:customStyle="1">
    <w:name w:val="Header Char"/>
    <w:basedOn w:val="829"/>
    <w:uiPriority w:val="99"/>
  </w:style>
  <w:style w:type="character" w:styleId="849" w:customStyle="1">
    <w:name w:val="Footer Char"/>
    <w:basedOn w:val="829"/>
    <w:uiPriority w:val="99"/>
  </w:style>
  <w:style w:type="paragraph" w:styleId="850">
    <w:name w:val="Caption"/>
    <w:basedOn w:val="819"/>
    <w:next w:val="819"/>
    <w:link w:val="851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851" w:customStyle="1">
    <w:name w:val="Caption Char"/>
    <w:uiPriority w:val="99"/>
  </w:style>
  <w:style w:type="table" w:styleId="852" w:customStyle="1">
    <w:name w:val="Table Grid Light"/>
    <w:basedOn w:val="83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53" w:customStyle="1">
    <w:name w:val="Plain Table 1"/>
    <w:basedOn w:val="83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4" w:customStyle="1">
    <w:name w:val="Plain Table 2"/>
    <w:basedOn w:val="83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5" w:customStyle="1">
    <w:name w:val="Plain Table 3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6" w:customStyle="1">
    <w:name w:val="Plain Table 4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Plain Table 5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8" w:customStyle="1">
    <w:name w:val="Grid Table 1 Light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Grid Table 1 Light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Grid Table 1 Light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Grid Table 1 Light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Grid Table 1 Light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Grid Table 1 Light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Grid Table 1 Light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Grid Table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2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2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2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Grid Table 2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2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2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Grid Table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Grid Table 3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Grid Table 3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3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Grid Table 3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Grid Table 3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3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4"/>
    <w:basedOn w:val="830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0" w:customStyle="1">
    <w:name w:val="Grid Table 4 - Accent 1"/>
    <w:basedOn w:val="83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81" w:customStyle="1">
    <w:name w:val="Grid Table 4 - Accent 2"/>
    <w:basedOn w:val="83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82" w:customStyle="1">
    <w:name w:val="Grid Table 4 - Accent 3"/>
    <w:basedOn w:val="830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83" w:customStyle="1">
    <w:name w:val="Grid Table 4 - Accent 4"/>
    <w:basedOn w:val="83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84" w:customStyle="1">
    <w:name w:val="Grid Table 4 - Accent 5"/>
    <w:basedOn w:val="83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85" w:customStyle="1">
    <w:name w:val="Grid Table 4 - Accent 6"/>
    <w:basedOn w:val="83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86" w:customStyle="1">
    <w:name w:val="Grid Table 5 Dark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87" w:customStyle="1">
    <w:name w:val="Grid Table 5 Dark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888" w:customStyle="1">
    <w:name w:val="Grid Table 5 Dark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89" w:customStyle="1">
    <w:name w:val="Grid Table 5 Dark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90" w:customStyle="1">
    <w:name w:val="Grid Table 5 Dark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91" w:customStyle="1">
    <w:name w:val="Grid Table 5 Dark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892" w:customStyle="1">
    <w:name w:val="Grid Table 5 Dark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93" w:customStyle="1">
    <w:name w:val="Grid Table 6 Colorful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94" w:customStyle="1">
    <w:name w:val="Grid Table 6 Colorful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895" w:customStyle="1">
    <w:name w:val="Grid Table 6 Colorful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96" w:customStyle="1">
    <w:name w:val="Grid Table 6 Colorful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97" w:customStyle="1">
    <w:name w:val="Grid Table 6 Colorful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98" w:customStyle="1">
    <w:name w:val="Grid Table 6 Colorful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99" w:customStyle="1">
    <w:name w:val="Grid Table 6 Colorful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00" w:customStyle="1">
    <w:name w:val="Grid Table 7 Colorful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Grid Table 7 Colorful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Grid Table 7 Colorful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Grid Table 7 Colorful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Grid Table 7 Colorful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Grid Table 7 Colorful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Grid Table 7 Colorful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List Table 1 Light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st Table 1 Light - Accent 1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List Table 1 Light - Accent 2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List Table 1 Light - Accent 3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List Table 1 Light - Accent 4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List Table 1 Light - Accent 5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List Table 1 Light - Accent 6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List Table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15" w:customStyle="1">
    <w:name w:val="List Table 2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916" w:customStyle="1">
    <w:name w:val="List Table 2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17" w:customStyle="1">
    <w:name w:val="List Table 2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18" w:customStyle="1">
    <w:name w:val="List Table 2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19" w:customStyle="1">
    <w:name w:val="List Table 2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920" w:customStyle="1">
    <w:name w:val="List Table 2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21" w:customStyle="1">
    <w:name w:val="List Table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 w:customStyle="1">
    <w:name w:val="List Table 3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 w:customStyle="1">
    <w:name w:val="List Table 3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 w:customStyle="1">
    <w:name w:val="List Table 3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 w:customStyle="1">
    <w:name w:val="List Table 3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 w:customStyle="1">
    <w:name w:val="List Table 3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 w:customStyle="1">
    <w:name w:val="List Table 3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 w:customStyle="1">
    <w:name w:val="List Table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 w:customStyle="1">
    <w:name w:val="List Table 4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 w:customStyle="1">
    <w:name w:val="List Table 4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 w:customStyle="1">
    <w:name w:val="List Table 4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 w:customStyle="1">
    <w:name w:val="List Table 4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 w:customStyle="1">
    <w:name w:val="List Table 4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 w:customStyle="1">
    <w:name w:val="List Table 4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 w:customStyle="1">
    <w:name w:val="List Table 5 Dark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6" w:customStyle="1">
    <w:name w:val="List Table 5 Dark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7" w:customStyle="1">
    <w:name w:val="List Table 5 Dark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8" w:customStyle="1">
    <w:name w:val="List Table 5 Dark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9" w:customStyle="1">
    <w:name w:val="List Table 5 Dark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0" w:customStyle="1">
    <w:name w:val="List Table 5 Dark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1" w:customStyle="1">
    <w:name w:val="List Table 5 Dark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2" w:customStyle="1">
    <w:name w:val="List Table 6 Colorful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43" w:customStyle="1">
    <w:name w:val="List Table 6 Colorful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944" w:customStyle="1">
    <w:name w:val="List Table 6 Colorful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45" w:customStyle="1">
    <w:name w:val="List Table 6 Colorful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46" w:customStyle="1">
    <w:name w:val="List Table 6 Colorful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47" w:customStyle="1">
    <w:name w:val="List Table 6 Colorful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948" w:customStyle="1">
    <w:name w:val="List Table 6 Colorful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49" w:customStyle="1">
    <w:name w:val="List Table 7 Colorful"/>
    <w:basedOn w:val="83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List Table 7 Colorful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List Table 7 Colorful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List Table 7 Colorful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 w:customStyle="1">
    <w:name w:val="List Table 7 Colorful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 w:customStyle="1">
    <w:name w:val="List Table 7 Colorful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 w:customStyle="1">
    <w:name w:val="List Table 7 Colorful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 w:customStyle="1">
    <w:name w:val="Lined - Accent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57" w:customStyle="1">
    <w:name w:val="Lined - Accent 1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58" w:customStyle="1">
    <w:name w:val="Lined - Accent 2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59" w:customStyle="1">
    <w:name w:val="Lined - Accent 3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60" w:customStyle="1">
    <w:name w:val="Lined - Accent 4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61" w:customStyle="1">
    <w:name w:val="Lined - Accent 5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62" w:customStyle="1">
    <w:name w:val="Lined - Accent 6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63" w:customStyle="1">
    <w:name w:val="Bordered &amp; Lined - Accent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4" w:customStyle="1">
    <w:name w:val="Bordered &amp; Lined - Accent 1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65" w:customStyle="1">
    <w:name w:val="Bordered &amp; Lined - Accent 2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66" w:customStyle="1">
    <w:name w:val="Bordered &amp; Lined - Accent 3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67" w:customStyle="1">
    <w:name w:val="Bordered &amp; Lined - Accent 4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68" w:customStyle="1">
    <w:name w:val="Bordered &amp; Lined - Accent 5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69" w:customStyle="1">
    <w:name w:val="Bordered &amp; Lined - Accent 6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70" w:customStyle="1">
    <w:name w:val="Bordered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71" w:customStyle="1">
    <w:name w:val="Bordered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972" w:customStyle="1">
    <w:name w:val="Bordered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73" w:customStyle="1">
    <w:name w:val="Bordered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74" w:customStyle="1">
    <w:name w:val="Bordered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75" w:customStyle="1">
    <w:name w:val="Bordered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976" w:customStyle="1">
    <w:name w:val="Bordered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77" w:customStyle="1">
    <w:name w:val="Footnote Text Char"/>
    <w:uiPriority w:val="99"/>
    <w:rPr>
      <w:sz w:val="18"/>
    </w:rPr>
  </w:style>
  <w:style w:type="character" w:styleId="978" w:customStyle="1">
    <w:name w:val="Endnote Text Char"/>
    <w:uiPriority w:val="99"/>
    <w:rPr>
      <w:sz w:val="20"/>
    </w:rPr>
  </w:style>
  <w:style w:type="paragraph" w:styleId="979">
    <w:name w:val="toc 1"/>
    <w:basedOn w:val="819"/>
    <w:next w:val="819"/>
    <w:uiPriority w:val="39"/>
    <w:unhideWhenUsed/>
    <w:pPr>
      <w:ind w:firstLine="0"/>
      <w:spacing w:after="57"/>
    </w:pPr>
  </w:style>
  <w:style w:type="paragraph" w:styleId="980">
    <w:name w:val="toc 2"/>
    <w:basedOn w:val="819"/>
    <w:next w:val="819"/>
    <w:uiPriority w:val="39"/>
    <w:unhideWhenUsed/>
    <w:pPr>
      <w:ind w:left="283" w:firstLine="0"/>
      <w:spacing w:after="57"/>
    </w:pPr>
  </w:style>
  <w:style w:type="paragraph" w:styleId="981">
    <w:name w:val="toc 3"/>
    <w:basedOn w:val="819"/>
    <w:next w:val="819"/>
    <w:uiPriority w:val="39"/>
    <w:unhideWhenUsed/>
    <w:pPr>
      <w:ind w:left="567" w:firstLine="0"/>
      <w:spacing w:after="57"/>
    </w:pPr>
  </w:style>
  <w:style w:type="paragraph" w:styleId="982">
    <w:name w:val="toc 4"/>
    <w:basedOn w:val="819"/>
    <w:next w:val="819"/>
    <w:uiPriority w:val="39"/>
    <w:unhideWhenUsed/>
    <w:pPr>
      <w:ind w:left="850" w:firstLine="0"/>
      <w:spacing w:after="57"/>
    </w:pPr>
  </w:style>
  <w:style w:type="paragraph" w:styleId="983">
    <w:name w:val="toc 5"/>
    <w:basedOn w:val="819"/>
    <w:next w:val="819"/>
    <w:uiPriority w:val="39"/>
    <w:unhideWhenUsed/>
    <w:pPr>
      <w:ind w:left="1134" w:firstLine="0"/>
      <w:spacing w:after="57"/>
    </w:pPr>
  </w:style>
  <w:style w:type="paragraph" w:styleId="984">
    <w:name w:val="toc 6"/>
    <w:basedOn w:val="819"/>
    <w:next w:val="819"/>
    <w:uiPriority w:val="39"/>
    <w:unhideWhenUsed/>
    <w:pPr>
      <w:ind w:left="1417" w:firstLine="0"/>
      <w:spacing w:after="57"/>
    </w:pPr>
  </w:style>
  <w:style w:type="paragraph" w:styleId="985">
    <w:name w:val="toc 7"/>
    <w:basedOn w:val="819"/>
    <w:next w:val="819"/>
    <w:uiPriority w:val="39"/>
    <w:unhideWhenUsed/>
    <w:pPr>
      <w:ind w:left="1701" w:firstLine="0"/>
      <w:spacing w:after="57"/>
    </w:pPr>
  </w:style>
  <w:style w:type="paragraph" w:styleId="986">
    <w:name w:val="toc 8"/>
    <w:basedOn w:val="819"/>
    <w:next w:val="819"/>
    <w:uiPriority w:val="39"/>
    <w:unhideWhenUsed/>
    <w:pPr>
      <w:ind w:left="1984" w:firstLine="0"/>
      <w:spacing w:after="57"/>
    </w:pPr>
  </w:style>
  <w:style w:type="paragraph" w:styleId="987">
    <w:name w:val="toc 9"/>
    <w:basedOn w:val="819"/>
    <w:next w:val="819"/>
    <w:uiPriority w:val="39"/>
    <w:unhideWhenUsed/>
    <w:pPr>
      <w:ind w:left="2268" w:firstLine="0"/>
      <w:spacing w:after="57"/>
    </w:pPr>
  </w:style>
  <w:style w:type="paragraph" w:styleId="988">
    <w:name w:val="TOC Heading"/>
    <w:uiPriority w:val="39"/>
    <w:unhideWhenUsed/>
  </w:style>
  <w:style w:type="paragraph" w:styleId="989">
    <w:name w:val="table of figures"/>
    <w:basedOn w:val="819"/>
    <w:next w:val="819"/>
    <w:uiPriority w:val="99"/>
    <w:unhideWhenUsed/>
  </w:style>
  <w:style w:type="character" w:styleId="990" w:customStyle="1">
    <w:name w:val="Заголовок 1 Знак"/>
    <w:basedOn w:val="829"/>
    <w:link w:val="820"/>
    <w:uiPriority w:val="9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table" w:styleId="991">
    <w:name w:val="Table Grid"/>
    <w:basedOn w:val="83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92" w:customStyle="1">
    <w:name w:val="Заголовок 2 Знак"/>
    <w:basedOn w:val="829"/>
    <w:link w:val="821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993" w:customStyle="1">
    <w:name w:val="Заголовок 3 Знак"/>
    <w:basedOn w:val="829"/>
    <w:link w:val="822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4">
    <w:name w:val="List Paragraph"/>
    <w:basedOn w:val="819"/>
    <w:uiPriority w:val="34"/>
    <w:qFormat/>
    <w:pPr>
      <w:contextualSpacing/>
      <w:ind w:left="720"/>
    </w:pPr>
  </w:style>
  <w:style w:type="character" w:styleId="995" w:customStyle="1">
    <w:name w:val="Заголовок 4 Знак"/>
    <w:basedOn w:val="829"/>
    <w:link w:val="823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6">
    <w:name w:val="Subtitle"/>
    <w:basedOn w:val="819"/>
    <w:next w:val="819"/>
    <w:link w:val="997"/>
    <w:uiPriority w:val="11"/>
    <w:qFormat/>
    <w:pPr>
      <w:numPr>
        <w:ilvl w:val="1"/>
      </w:numPr>
      <w:ind w:firstLine="567"/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997" w:customStyle="1">
    <w:name w:val="Подзаголовок Знак"/>
    <w:basedOn w:val="829"/>
    <w:link w:val="996"/>
    <w:uiPriority w:val="11"/>
    <w:rPr>
      <w:rFonts w:eastAsiaTheme="minorEastAsia"/>
      <w:color w:val="5a5a5a" w:themeColor="text1" w:themeTint="A5"/>
      <w:spacing w:val="15"/>
      <w:lang w:eastAsia="ru-RU"/>
    </w:rPr>
  </w:style>
  <w:style w:type="paragraph" w:styleId="998">
    <w:name w:val="footnote text"/>
    <w:basedOn w:val="819"/>
    <w:link w:val="999"/>
    <w:uiPriority w:val="99"/>
    <w:unhideWhenUsed/>
    <w:qFormat/>
    <w:rPr>
      <w:sz w:val="20"/>
      <w:szCs w:val="20"/>
    </w:rPr>
  </w:style>
  <w:style w:type="character" w:styleId="999" w:customStyle="1">
    <w:name w:val="Текст сноски Знак"/>
    <w:basedOn w:val="829"/>
    <w:link w:val="998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00">
    <w:name w:val="footnote reference"/>
    <w:basedOn w:val="829"/>
    <w:uiPriority w:val="99"/>
    <w:unhideWhenUsed/>
    <w:rPr>
      <w:vertAlign w:val="superscript"/>
    </w:rPr>
  </w:style>
  <w:style w:type="character" w:styleId="1001" w:customStyle="1">
    <w:name w:val="Заголовок 5 Знак"/>
    <w:basedOn w:val="829"/>
    <w:link w:val="824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02" w:customStyle="1">
    <w:name w:val="Заголовок 6 Знак"/>
    <w:basedOn w:val="829"/>
    <w:link w:val="825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3">
    <w:name w:val="Header"/>
    <w:basedOn w:val="819"/>
    <w:link w:val="100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4" w:customStyle="1">
    <w:name w:val="Верхний колонтитул Знак"/>
    <w:basedOn w:val="829"/>
    <w:link w:val="100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5">
    <w:name w:val="Footer"/>
    <w:basedOn w:val="819"/>
    <w:link w:val="100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6" w:customStyle="1">
    <w:name w:val="Нижний колонтитул Знак"/>
    <w:basedOn w:val="829"/>
    <w:link w:val="1005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07" w:customStyle="1">
    <w:name w:val="6"/>
    <w:basedOn w:val="83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paragraph" w:styleId="1008">
    <w:name w:val="endnote text"/>
    <w:basedOn w:val="819"/>
    <w:link w:val="1009"/>
    <w:uiPriority w:val="99"/>
    <w:semiHidden/>
    <w:unhideWhenUsed/>
    <w:rPr>
      <w:sz w:val="20"/>
      <w:szCs w:val="20"/>
    </w:rPr>
  </w:style>
  <w:style w:type="character" w:styleId="1009" w:customStyle="1">
    <w:name w:val="Текст концевой сноски Знак"/>
    <w:basedOn w:val="829"/>
    <w:link w:val="1008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10">
    <w:name w:val="endnote reference"/>
    <w:basedOn w:val="829"/>
    <w:uiPriority w:val="99"/>
    <w:semiHidden/>
    <w:unhideWhenUsed/>
    <w:rPr>
      <w:vertAlign w:val="superscript"/>
    </w:rPr>
  </w:style>
  <w:style w:type="paragraph" w:styleId="1011">
    <w:name w:val="Title"/>
    <w:basedOn w:val="819"/>
    <w:next w:val="819"/>
    <w:link w:val="1012"/>
    <w:uiPriority w:val="10"/>
    <w:qFormat/>
    <w:pPr>
      <w:jc w:val="center"/>
      <w:spacing w:before="240"/>
    </w:pPr>
    <w:rPr>
      <w:b/>
    </w:rPr>
  </w:style>
  <w:style w:type="character" w:styleId="1012" w:customStyle="1">
    <w:name w:val="Название Знак"/>
    <w:basedOn w:val="829"/>
    <w:link w:val="1011"/>
    <w:uiPriority w:val="10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1013" w:customStyle="1">
    <w:name w:val="Заголовок 7 Знак"/>
    <w:basedOn w:val="829"/>
    <w:link w:val="826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014" w:customStyle="1">
    <w:name w:val="Заголовок 8 Знак"/>
    <w:basedOn w:val="829"/>
    <w:link w:val="827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15" w:customStyle="1">
    <w:name w:val="Заголовок 9 Знак"/>
    <w:basedOn w:val="829"/>
    <w:link w:val="828"/>
    <w:uiPriority w:val="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016">
    <w:name w:val="Balloon Text"/>
    <w:basedOn w:val="819"/>
    <w:link w:val="101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017" w:customStyle="1">
    <w:name w:val="Текст выноски Знак"/>
    <w:basedOn w:val="829"/>
    <w:link w:val="1016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1018" w:customStyle="1">
    <w:name w:val="head21"/>
    <w:basedOn w:val="819"/>
    <w:pPr>
      <w:ind w:firstLine="0"/>
      <w:jc w:val="left"/>
      <w:spacing w:line="100" w:lineRule="atLeast"/>
      <w:outlineLvl w:val="9"/>
    </w:pPr>
    <w:rPr>
      <w:sz w:val="20"/>
      <w:szCs w:val="20"/>
      <w:lang w:eastAsia="ar-SA"/>
    </w:rPr>
  </w:style>
  <w:style w:type="character" w:styleId="1019">
    <w:name w:val="annotation reference"/>
    <w:basedOn w:val="829"/>
    <w:uiPriority w:val="99"/>
    <w:semiHidden/>
    <w:unhideWhenUsed/>
    <w:rPr>
      <w:sz w:val="16"/>
      <w:szCs w:val="16"/>
    </w:rPr>
  </w:style>
  <w:style w:type="paragraph" w:styleId="1020">
    <w:name w:val="annotation text"/>
    <w:basedOn w:val="819"/>
    <w:link w:val="1021"/>
    <w:uiPriority w:val="99"/>
    <w:semiHidden/>
    <w:unhideWhenUsed/>
    <w:rPr>
      <w:sz w:val="20"/>
      <w:szCs w:val="20"/>
    </w:rPr>
  </w:style>
  <w:style w:type="character" w:styleId="1021" w:customStyle="1">
    <w:name w:val="Текст примечания Знак"/>
    <w:basedOn w:val="829"/>
    <w:link w:val="1020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22">
    <w:name w:val="annotation subject"/>
    <w:basedOn w:val="1020"/>
    <w:next w:val="1020"/>
    <w:link w:val="1023"/>
    <w:uiPriority w:val="99"/>
    <w:semiHidden/>
    <w:unhideWhenUsed/>
    <w:rPr>
      <w:b/>
      <w:bCs/>
    </w:rPr>
  </w:style>
  <w:style w:type="character" w:styleId="1023" w:customStyle="1">
    <w:name w:val="Тема примечания Знак"/>
    <w:basedOn w:val="1021"/>
    <w:link w:val="1022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024">
    <w:name w:val="Hyperlink"/>
    <w:basedOn w:val="829"/>
    <w:uiPriority w:val="99"/>
    <w:unhideWhenUsed/>
    <w:rPr>
      <w:color w:val="0563c1" w:themeColor="hyperlink"/>
      <w:u w:val="single"/>
    </w:rPr>
  </w:style>
  <w:style w:type="paragraph" w:styleId="1025" w:customStyle="1">
    <w:name w:val="Заголовок 3;Подпункт ГК"/>
    <w:basedOn w:val="819"/>
    <w:next w:val="819"/>
    <w:link w:val="1026"/>
    <w:uiPriority w:val="9"/>
    <w:unhideWhenUsed/>
    <w:qFormat/>
    <w:pPr>
      <w:contextualSpacing/>
      <w:outlineLvl w:val="2"/>
    </w:pPr>
  </w:style>
  <w:style w:type="character" w:styleId="1026" w:customStyle="1">
    <w:name w:val="Заголовок 3 Знак;Подпункт ГК Знак"/>
    <w:link w:val="1025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7" w:customStyle="1">
    <w:name w:val="ConsPlusNormal"/>
    <w:next w:val="885"/>
    <w:link w:val="87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535FA-73AA-42B0-A22C-6BA2D01BC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МИКЕРОВ Сергей Сергеевич</dc:creator>
  <cp:keywords/>
  <dc:description/>
  <cp:lastModifiedBy>gandaloevaakh</cp:lastModifiedBy>
  <cp:revision>110</cp:revision>
  <dcterms:created xsi:type="dcterms:W3CDTF">2023-04-26T08:59:00Z</dcterms:created>
  <dcterms:modified xsi:type="dcterms:W3CDTF">2026-08-18T13:11:30Z</dcterms:modified>
</cp:coreProperties>
</file>