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Государственный контракт №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поставку IP - телефонных аппаратов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10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«___» 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энергетики Российской Федерации (Минэнерго России), именуемое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________________________________, именуемое в дальнейшем «Поставщик», в лице _________________, действующего на основании ____________, с другой стороны, в дальнейшем именуемые «Стороны», а по отдельности – «Сторона»,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системе) заключили настоящий государственный контракт (далее – Контракт)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обязуется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IP -телефонные аппараты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(далее – Товар), а Заказчик принять и оплатить Товар.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Техническом задании (</w:t>
      </w:r>
      <w:bookmarkStart w:id="0" w:name="_Hlk110243451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приложение № 1 к настоящему Контракту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  <w:highlight w:val="whit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ИКЗ: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  <w:t xml:space="preserve">261770584752977050100100360000000244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КМИ: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022.00100022.22.Э.50023.26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Заказчиком установлено требование об отсутствии в предусмотренном Законом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участие в закупке в соответствии с подпунктом «в» пункта 1 части 1 статьи 43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о контрактной системе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включенной в такой реестр в связи с отказом от исполнения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причине введения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и порядок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 (________________)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рублей __ копеек,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том числе НДС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 (________________) рублей __ копеек и включает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себя расходы на уплату налогов, пошлин и иных обязательных платежей, в том числе, расходов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за доставку, подъем и разгрузку Товара.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твёрдой и определяется на весь срок исполнения Контракта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и не подлежит изменению.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Оплата по настоящему Контракту осуществляется за фактически поставленный Товар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на основании Акта приема-передачи товара (приложение № 3 к настоящему Контракту)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Контракту).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Финансирование по настоящему Контракту осуществляется за счет средств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по перечислению неустойки (пени) в доход бюджетной системы Российской Федерации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в доход соответствующего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 поставки Товара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адресу: г. Москва, ул. Щепкина, д. 42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тр.2, этаж 2, каб.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СКТЭК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Срок поставки Товара: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течение 10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(десяти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) рабочих дней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 даты заключения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Контракта.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комплектующих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листы).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в настоящем Контракте.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Обязанности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Поставщика: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Обязанности Заказчика: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Обеспечить оплату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firstLine="0"/>
        <w:spacing w:line="100" w:lineRule="atLeast"/>
        <w:tabs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При недостижении дог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 действия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Настоящий Контра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кт вст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упает в силу с даты его заключения Сторонами и действует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до полного выполнения Сторонами свои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х обязательств,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но не позднее 01.10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Досрочное прекращение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Заказчик вправе принять решение об одностороннем отказе от исполнения Контракта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предусмотренным Гражданским кодексом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Обстоятельства непреодолимой силы (форс-мажор)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наступлении форс-мажорных обстоятельств, а также о предполагаемом сроке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их действия Сторона,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2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урегулирования всех споров.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Другие условия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Приложения к Контракту: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567" w:firstLine="0"/>
        <w:tabs>
          <w:tab w:val="left" w:pos="993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 – Спецификация;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 – Форма акта приема-передачи товара.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2"/>
        <w:ind w:left="357" w:hanging="357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1" w:name="_Ref94177724"/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Сторон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_____________, КПП 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ОКПО____________, ОКТМО 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___________, ОКВЭД 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_________________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: 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тел. 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_______________.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Контракту № 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2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1022"/>
      </w:pPr>
      <w:r>
        <w:t xml:space="preserve">ТЕХНИЧЕСКОЕ ЗАДАНИЕ</w:t>
      </w:r>
      <w:r/>
    </w:p>
    <w:p>
      <w:pPr>
        <w:jc w:val="center"/>
        <w:rPr>
          <w:b/>
        </w:rPr>
      </w:pPr>
      <w:r>
        <w:rPr>
          <w:b/>
        </w:rPr>
        <w:t xml:space="preserve">н</w:t>
      </w:r>
      <w:r>
        <w:rPr>
          <w:b/>
        </w:rPr>
        <w:t xml:space="preserve">а</w:t>
      </w:r>
      <w:r>
        <w:rPr>
          <w:b/>
        </w:rPr>
        <w:t xml:space="preserve"> </w:t>
      </w:r>
      <w:bookmarkStart w:id="0" w:name="undefined"/>
      <w:r>
        <w:rPr>
          <w:b/>
        </w:rPr>
        <w:t xml:space="preserve">поставку </w:t>
      </w:r>
      <w:r>
        <w:rPr>
          <w:b/>
        </w:rPr>
        <w:t xml:space="preserve">IP -телефонных аппаратов</w:t>
      </w:r>
      <w:bookmarkEnd w:id="0"/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7"/>
      </w:pPr>
      <w:r>
        <w:t xml:space="preserve">Наименование закупки</w:t>
      </w:r>
      <w:r/>
    </w:p>
    <w:p>
      <w:pPr>
        <w:rPr>
          <w:bCs/>
        </w:rPr>
      </w:pPr>
      <w:r>
        <w:rPr>
          <w:bCs/>
        </w:rPr>
        <w:t xml:space="preserve">П</w:t>
      </w:r>
      <w:r>
        <w:rPr>
          <w:bCs/>
        </w:rPr>
        <w:t xml:space="preserve">оставк</w:t>
      </w:r>
      <w:r>
        <w:rPr>
          <w:bCs/>
        </w:rPr>
        <w:t xml:space="preserve">а</w:t>
      </w:r>
      <w:r>
        <w:rPr>
          <w:bCs/>
        </w:rPr>
        <w:t xml:space="preserve"> </w:t>
      </w:r>
      <w:r>
        <w:rPr>
          <w:lang w:val="en-US"/>
        </w:rPr>
        <w:t xml:space="preserve">IP</w:t>
      </w:r>
      <w:r>
        <w:t xml:space="preserve"> -</w:t>
      </w:r>
      <w:r>
        <w:t xml:space="preserve">телефонных аппаратов </w:t>
      </w:r>
      <w:r>
        <w:t xml:space="preserve">(далее – Товар) согласно </w:t>
      </w:r>
      <w:r>
        <w:t xml:space="preserve">Спецификации</w:t>
      </w:r>
      <w:r>
        <w:t xml:space="preserve">.</w:t>
      </w:r>
      <w:r>
        <w:rPr>
          <w:bCs/>
        </w:rPr>
      </w:r>
      <w:r>
        <w:rPr>
          <w:bCs/>
        </w:rPr>
      </w:r>
    </w:p>
    <w:p>
      <w:pPr>
        <w:pStyle w:val="837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10</w:t>
      </w:r>
      <w:r>
        <w:rPr>
          <w:color w:val="000000"/>
          <w:lang w:eastAsia="ar-SA"/>
        </w:rPr>
        <w:t xml:space="preserve"> (десяти</w:t>
      </w:r>
      <w:r>
        <w:rPr>
          <w:color w:val="000000"/>
          <w:lang w:eastAsia="ar-SA"/>
        </w:rPr>
        <w:t xml:space="preserve">)</w:t>
      </w:r>
      <w:r>
        <w:t xml:space="preserve"> рабочих дней с даты заключения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</w:r>
      <w:r>
        <w:t xml:space="preserve">и предпраздничным дням – с 9 часов 00 минут до 16 ч</w:t>
      </w:r>
      <w:r>
        <w:t xml:space="preserve">асов 45 минут) с учетом времени</w:t>
      </w:r>
      <w:r>
        <w:br/>
      </w:r>
      <w:r>
        <w:t xml:space="preserve">на разгрузку Товара. </w:t>
      </w:r>
      <w:r/>
    </w:p>
    <w:p>
      <w:r>
        <w:t xml:space="preserve">Поставщик направляет Заказчику уведомлен</w:t>
      </w:r>
      <w:r>
        <w:t xml:space="preserve">ие о готовности поставить Товар</w:t>
      </w:r>
      <w:r>
        <w:br/>
      </w:r>
      <w:r>
        <w:t xml:space="preserve">на электронный адрес: </w:t>
      </w:r>
      <w:r>
        <w:t xml:space="preserve">compred@minenergo.gov.ru</w:t>
      </w:r>
      <w:r>
        <w:t xml:space="preserve">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</w:r>
      <w:r>
        <w:t xml:space="preserve">и уполномоченного представителя Поставщика.</w:t>
      </w:r>
      <w:r/>
    </w:p>
    <w:p>
      <w:r>
        <w:t xml:space="preserve">Электронный адрес </w:t>
      </w:r>
      <w:r>
        <w:t xml:space="preserve">compred@minenergo.gov.ru</w:t>
      </w:r>
      <w:r>
        <w:t xml:space="preserve"> используется исключительно</w:t>
      </w:r>
      <w:r>
        <w:br/>
      </w:r>
      <w:r>
        <w:t xml:space="preserve">для уведомления Заказчика о готовности поставить Товар.</w:t>
      </w:r>
      <w:r/>
    </w:p>
    <w:p>
      <w:pPr>
        <w:pStyle w:val="837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 Москва, </w:t>
      </w:r>
      <w:r>
        <w:t xml:space="preserve">ул. Щепкина, д. 42 ,стр.2, этаж 2, каб. СКТЭК</w:t>
      </w:r>
      <w:r>
        <w:t xml:space="preserve">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37"/>
      </w:pPr>
      <w:r>
        <w:t xml:space="preserve">Общие требования к </w:t>
      </w:r>
      <w:r>
        <w:t xml:space="preserve">Т</w:t>
      </w:r>
      <w:r>
        <w:t xml:space="preserve">овару</w:t>
      </w:r>
      <w:r/>
    </w:p>
    <w:p>
      <w:pPr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 xml:space="preserve">Код ОКПД2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t xml:space="preserve">  26.30.11.110 – Средства связи, выполняющие функцию систем коммутации.</w:t>
      </w:r>
      <w:r>
        <w:rPr>
          <w:b/>
          <w:u w:val="single"/>
          <w:lang w:eastAsia="en-US"/>
        </w:rPr>
      </w:r>
      <w:r>
        <w:rPr>
          <w:b/>
          <w:u w:val="single"/>
          <w:lang w:eastAsia="en-US"/>
        </w:rPr>
      </w:r>
    </w:p>
    <w:p>
      <w:pPr>
        <w:rPr>
          <w:lang w:eastAsia="en-US"/>
        </w:rPr>
      </w:pPr>
      <w:r>
        <w:rPr>
          <w:b/>
          <w:u w:val="single"/>
          <w:lang w:eastAsia="en-US"/>
        </w:rPr>
        <w:t xml:space="preserve">Код </w:t>
      </w:r>
      <w:r>
        <w:rPr>
          <w:b/>
          <w:u w:val="single"/>
          <w:lang w:eastAsia="en-US"/>
        </w:rPr>
        <w:t xml:space="preserve">КТРУ</w:t>
      </w:r>
      <w:r>
        <w:rPr>
          <w:b/>
          <w:lang w:eastAsia="en-US"/>
        </w:rPr>
        <w:t xml:space="preserve">:</w:t>
      </w:r>
      <w:r>
        <w:rPr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26.30.11.110-00000047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lang w:eastAsia="en-US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Терминал IP-телефонии</w:t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  <w:t xml:space="preserve">Состав поставляемых товаров представлен в Таблице 1.</w:t>
      </w:r>
      <w:r>
        <w:rPr>
          <w:lang w:eastAsia="en-US"/>
        </w:rPr>
      </w:r>
      <w:r>
        <w:rPr>
          <w:lang w:eastAsia="en-US"/>
        </w:rPr>
      </w:r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1.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p>
      <w:pPr>
        <w:jc w:val="right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02"/>
        <w:tblW w:w="9921" w:type="dxa"/>
        <w:tblInd w:w="7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75"/>
        <w:gridCol w:w="877"/>
        <w:gridCol w:w="3543"/>
        <w:gridCol w:w="1701"/>
      </w:tblGrid>
      <w:tr>
        <w:tblPrEx/>
        <w:trPr>
          <w:trHeight w:val="575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77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</w:tbl>
    <w:tbl>
      <w:tblPr>
        <w:tblStyle w:val="1002"/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883"/>
        <w:gridCol w:w="1668"/>
        <w:gridCol w:w="1875"/>
        <w:gridCol w:w="1701"/>
      </w:tblGrid>
      <w:tr>
        <w:tblPrEx/>
        <w:trPr>
          <w:trHeight w:val="641"/>
        </w:trPr>
        <w:tc>
          <w:tcPr>
            <w:tcW w:w="39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r/>
            <w:r/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color w:val="151528"/>
              </w:rPr>
              <w:t xml:space="preserve">Yealink</w:t>
            </w:r>
            <w:r>
              <w:rPr>
                <w:color w:val="151528"/>
              </w:rPr>
              <w:t xml:space="preserve"> SIP-T31P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none"/>
              </w:rPr>
            </w:r>
          </w:p>
        </w:tc>
        <w:tc>
          <w:tcPr>
            <w:tcW w:w="88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354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Средства связи, выполняющие функцию систем коммутации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26.30.11.110-00000047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Терминал IP-телефонии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      130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шт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tcW w:w="9529" w:type="dxa"/>
            <w:vAlign w:val="top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83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43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400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Количество дисплеев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     Штука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45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Комплектация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41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Сетевые протоколы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Поддержка SIP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>
          <w:trHeight w:val="206"/>
        </w:trPr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Конструкция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2551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Электропитание по стандарту PoE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57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iCs/>
          <w:lang w:eastAsia="en-US"/>
        </w:rPr>
      </w:r>
      <w:r>
        <w:rPr>
          <w:bCs/>
          <w:i/>
        </w:rPr>
      </w:r>
      <w:r>
        <w:rPr>
          <w:bCs/>
          <w:i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  <w:t xml:space="preserve">В соответствии с частью 6 Технического задания к Контракту, поставляемый Товар должен быть полностью совместим с существующим оборудованием, эксплуатируемым Заказчиком.</w:t>
      </w:r>
      <w:r>
        <w:rPr>
          <w:bCs/>
          <w:i/>
        </w:rPr>
      </w:r>
      <w:r>
        <w:rPr>
          <w:bCs/>
          <w:i/>
        </w:rPr>
      </w:r>
    </w:p>
    <w:p>
      <w:pPr>
        <w:rPr>
          <w:highlight w:val="none"/>
        </w:rPr>
      </w:pPr>
      <w:r>
        <w:t xml:space="preserve">Товар должен</w:t>
      </w:r>
      <w:r>
        <w:t xml:space="preserve"> быть оригинальным</w:t>
      </w:r>
      <w:r>
        <w:t xml:space="preserve">, </w:t>
      </w:r>
      <w:r>
        <w:t xml:space="preserve">новым</w:t>
      </w:r>
      <w:r>
        <w:t xml:space="preserve">, не восстановленным (произведённым</w:t>
      </w:r>
      <w:r>
        <w:t xml:space="preserve"> с заменой комплектующих),</w:t>
      </w:r>
      <w:r>
        <w:t xml:space="preserve"> свободными от прав третьих лиц</w:t>
      </w:r>
      <w:r>
        <w:t xml:space="preserve">,</w:t>
      </w:r>
      <w:r>
        <w:t xml:space="preserve"> гарантировать бесперебойную работу оборудования и обеспечивать полное с ним взаимодействие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r>
        <w:t xml:space="preserve">Все прописанные технические характеристики должны точно соответствовать маркировке </w:t>
      </w:r>
      <w:r>
        <w:br/>
      </w:r>
      <w:r>
        <w:t xml:space="preserve">на упаковке </w:t>
      </w:r>
      <w:r>
        <w:t xml:space="preserve">Товара</w:t>
      </w:r>
      <w:r>
        <w:t xml:space="preserve">. Вс</w:t>
      </w:r>
      <w:r>
        <w:t xml:space="preserve">е</w:t>
      </w:r>
      <w:r>
        <w:t xml:space="preserve"> маркировк</w:t>
      </w:r>
      <w:r>
        <w:t xml:space="preserve">и</w:t>
      </w:r>
      <w:r>
        <w:t xml:space="preserve"> должны быть нанесены типографским способом, все надписи должны быть легко читаемыми. </w:t>
      </w:r>
      <w:r/>
    </w:p>
    <w:p>
      <w:r>
        <w:t xml:space="preserve">В целях обеспечения максимального срока год</w:t>
      </w:r>
      <w:r>
        <w:t xml:space="preserve">ности Товара, год производства </w:t>
      </w:r>
      <w:r>
        <w:t xml:space="preserve">Товара: </w:t>
      </w:r>
      <w:r>
        <w:br/>
      </w:r>
      <w:r>
        <w:t xml:space="preserve">не</w:t>
      </w:r>
      <w:r>
        <w:t xml:space="preserve"> ранее 202</w:t>
      </w:r>
      <w:r>
        <w:t xml:space="preserve">2</w:t>
      </w:r>
      <w:r>
        <w:t xml:space="preserve"> г.</w:t>
      </w:r>
      <w:r/>
    </w:p>
    <w:p>
      <w:r>
        <w:t xml:space="preserve">Гарантия Поставщика на поставляемый Товар должна</w:t>
      </w:r>
      <w:r>
        <w:t xml:space="preserve"> </w:t>
      </w:r>
      <w:r>
        <w:t xml:space="preserve">составлять</w:t>
      </w:r>
      <w:r>
        <w:t xml:space="preserve"> </w:t>
      </w:r>
      <w:r>
        <w:t xml:space="preserve">12</w:t>
      </w:r>
      <w:r>
        <w:t xml:space="preserve"> (</w:t>
      </w:r>
      <w:r>
        <w:t xml:space="preserve">двенадцать</w:t>
      </w:r>
      <w:r>
        <w:t xml:space="preserve">) </w:t>
      </w:r>
      <w:r>
        <w:t xml:space="preserve">месяцев</w:t>
      </w:r>
      <w:r>
        <w:t xml:space="preserve"> </w:t>
      </w:r>
      <w:r>
        <w:br/>
        <w:t xml:space="preserve">с</w:t>
      </w:r>
      <w:r>
        <w:t xml:space="preserve"> даты подписания </w:t>
      </w:r>
      <w:r>
        <w:t xml:space="preserve">Акта приема-передачи Т</w:t>
      </w:r>
      <w:r>
        <w:t xml:space="preserve">овара</w:t>
      </w:r>
      <w:r>
        <w:t xml:space="preserve">.</w:t>
      </w:r>
      <w:r/>
    </w:p>
    <w:p>
      <w:pPr>
        <w:pStyle w:val="837"/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 оригинальности, установленные производителем:</w:t>
      </w:r>
      <w:r/>
    </w:p>
    <w:p>
      <w:pPr>
        <w:pStyle w:val="836"/>
        <w:ind w:hanging="426"/>
      </w:pPr>
      <w:r>
        <w:t xml:space="preserve">голограммы, защитные пломбы, марки, содержащие в</w:t>
      </w:r>
      <w:r>
        <w:t xml:space="preserve">се элементы защиты от подделок</w:t>
      </w:r>
      <w:r>
        <w:t xml:space="preserve">;</w:t>
      </w:r>
      <w:r/>
    </w:p>
    <w:p>
      <w:pPr>
        <w:pStyle w:val="836"/>
        <w:ind w:hanging="426"/>
      </w:pPr>
      <w:r>
        <w:t xml:space="preserve">Товар</w:t>
      </w:r>
      <w:r>
        <w:t xml:space="preserve"> не должен иметь потертостей, царапин, сколов и следов вскрытия.</w:t>
      </w:r>
      <w:r/>
    </w:p>
    <w:p>
      <w:pPr>
        <w:ind w:firstLine="0"/>
      </w:pPr>
      <w:r/>
      <w:r/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850" w:right="426" w:bottom="964" w:left="1134" w:header="709" w:footer="709" w:gutter="0"/>
          <w:pgNumType w:start="1"/>
          <w:cols w:num="1" w:sep="0" w:space="708" w:equalWidth="1"/>
          <w:docGrid w:linePitch="360"/>
          <w:titlePg/>
        </w:sect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ar-SA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2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________________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cap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  <w:r>
        <w:rPr>
          <w:rFonts w:ascii="Times New Roman" w:hAnsi="Times New Roman" w:cs="Times New Roman"/>
          <w:b/>
          <w:caps/>
          <w:sz w:val="24"/>
          <w:szCs w:val="24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1002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1494"/>
        <w:gridCol w:w="676"/>
        <w:gridCol w:w="850"/>
        <w:gridCol w:w="3686"/>
        <w:gridCol w:w="1276"/>
        <w:gridCol w:w="1134"/>
        <w:gridCol w:w="958"/>
      </w:tblGrid>
      <w:tr>
        <w:tblPrEx/>
        <w:trPr/>
        <w:tc>
          <w:tcPr>
            <w:tcW w:w="3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95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32"/>
        </w:trPr>
        <w:tc>
          <w:tcPr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9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IP-телефон Yealink SIP-T31P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6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</w:t>
            </w:r>
            <w:r/>
          </w:p>
          <w:p>
            <w:pPr>
              <w:ind w:firstLine="0"/>
              <w:jc w:val="left"/>
            </w:pPr>
            <w:r>
              <w:t xml:space="preserve">Количество дисплеев: 1</w:t>
            </w:r>
            <w:r/>
          </w:p>
          <w:p>
            <w:pPr>
              <w:ind w:firstLine="0"/>
              <w:jc w:val="left"/>
            </w:pPr>
            <w:r>
              <w:t xml:space="preserve">Комплектация: Блок питания</w:t>
            </w:r>
            <w:r/>
          </w:p>
          <w:p>
            <w:pPr>
              <w:ind w:firstLine="0"/>
              <w:jc w:val="left"/>
              <w:rPr>
                <w:highlight w:val="none"/>
              </w:rPr>
            </w:pPr>
            <w:r>
              <w:t xml:space="preserve">Сетевые протоколы: Поддержка SIP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left"/>
            </w:pPr>
            <w:r>
              <w:rPr>
                <w:highlight w:val="none"/>
              </w:rPr>
              <w:t xml:space="preserve">Конструкция: </w:t>
            </w:r>
            <w:r>
              <w:rPr>
                <w:highlight w:val="none"/>
              </w:rPr>
              <w:t xml:space="preserve">Электропитание по стандарту PoE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372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0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6"/>
            <w:tcW w:w="8372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0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tbl>
      <w:tblPr>
        <w:tblW w:w="4640" w:type="pct"/>
        <w:jc w:val="center"/>
        <w:tblInd w:w="-828" w:type="dxa"/>
        <w:tblLayout w:type="fixed"/>
        <w:tblLook w:val="0000" w:firstRow="0" w:lastRow="0" w:firstColumn="0" w:lastColumn="0" w:noHBand="0" w:noVBand="0"/>
      </w:tblPr>
      <w:tblGrid>
        <w:gridCol w:w="5432"/>
        <w:gridCol w:w="4369"/>
      </w:tblGrid>
      <w:tr>
        <w:tblPrEx/>
        <w:trPr>
          <w:jc w:val="center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543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4369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№ 3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Контракту №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«___» ________2026 г.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Министерство энергетики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109012,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Китайгородский пр-д, д. 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Фактический адрес: 129110,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Щепкина ул., д. 42, стр. 1, 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7705847529, КПП 770501001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Межрегиональное операционное УФК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(Минэнерго России, л/с 03951000220)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р/с 40102810045370000002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 Операционном департаменте Банка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//Межрегиональное операционное УФК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к/с 03211643000000019503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024501901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ОКПО/ОКТМО  00083641/45381000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E-mail: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@minenergo.gov.ru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Тел: (495) 631-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Юридический адрес: 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_____________, КПП 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ОКПО____________, ОКТМО 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ОГРН ___________, ОКВЭД 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Банковские реквизиты: _________________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к\с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БИК 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_________________________________,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_______________.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ФОРМА АКТА ПРИЕМА-ПЕРЕДАЧИ ТОВАРА №___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bCs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0"/>
        <w:jc w:val="center"/>
        <w:spacing w:line="100" w:lineRule="atLeast"/>
        <w:rPr>
          <w:rFonts w:ascii="Times New Roman" w:hAnsi="Times New Roman" w:cs="Times New Roman"/>
          <w:b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  <w:t xml:space="preserve">по Контракту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от «___» ___________ 2026 г.  № ______________________________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         «___» ____________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righ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нистерство энергетики Российской Федерации (Минэнерго России), именуемое </w:t>
        <w:br/>
        <w:t xml:space="preserve">в дальнейшем «Заказчик», в 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286 и доверенности от 03.03.2025 № СЦ-3295/146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________________________, именуемое в дальнейшем «Поставщик»,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лице_____________________________, действующего на основании________________________, с другой стороны, составили настоящий Акт </w:t>
        <w:br/>
        <w:t xml:space="preserve">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В соответствии с условиями контракта от «__» __________ 2026 г. № _______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Контракт) Поставщиком передан, а Заказчиком принят Товар по предмету закупки: 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Контрактом предусмотрена поставка: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Фактически поставлено: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Срок поставки по Контракту: 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3" w:firstLine="5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Фактический срок поставки: 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1.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footnoteReference w:customMarkFollows="1" w:id="3"/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Аванс не перечислялся.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Неустойка Поставщику не начисляется.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Вариант 2.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Поставщику начислена неустойка: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- пени в соответствии с п.__ Контракта в сумме __________________руб.</w:t>
      </w: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</w:rPr>
      </w:r>
    </w:p>
    <w:p>
      <w:pPr>
        <w:ind w:left="1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Итого стоимость поставки Товара составляет 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___________________________________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рублей __ копеек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в том числе НДС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vertAlign w:val="superscript"/>
        </w:rPr>
        <w:t xml:space="preserve">[1]</w:t>
      </w:r>
      <w:r>
        <w:rPr>
          <w:rFonts w:ascii="Times New Roman" w:hAnsi="Times New Roman" w:eastAsia="Times New Roman" w:cs="Times New Roman"/>
          <w:bCs/>
          <w:i/>
          <w:sz w:val="24"/>
          <w:szCs w:val="24"/>
        </w:rPr>
        <w:t xml:space="preserve">   _____ (______________________) рублей __ копеек.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ind w:left="13" w:firstLine="554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Сумма, подлежащая уплате Поставщику за Товар, принятый по настоящему акту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(с учетом удержания пени) – ______________________ руб., в том числе НДС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/без НДС.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СОГЛАСОВАНА КАК ФОРМА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0"/>
        <w:jc w:val="left"/>
        <w:spacing w:line="100" w:lineRule="atLeast"/>
        <w:rPr>
          <w:rFonts w:ascii="Times New Roman" w:hAnsi="Times New Roman" w:cs="Times New Roman"/>
          <w:sz w:val="24"/>
          <w:szCs w:val="24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Директор Департамента цифровой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трансформации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  <w:outlineLvl w:val="9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____________________/Ф.В. Мицкевич/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___________________ / _____________/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М.П.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rFonts w:ascii="Times New Roman" w:hAnsi="Times New Roman" w:cs="Times New Roman"/>
          <w:color w:val="000000"/>
          <w:sz w:val="24"/>
          <w:szCs w:val="24"/>
        </w:rPr>
        <w:outlineLvl w:val="8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39"/>
        <w:numPr>
          <w:ilvl w:val="0"/>
          <w:numId w:val="0"/>
        </w:numPr>
        <w:ind w:left="10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09"/>
      </w:pPr>
      <w:r>
        <w:rPr>
          <w:rStyle w:val="1011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Поставщиком применяется упрощенная система налогообложения, т.е. Поставщик</w:t>
      </w:r>
      <w:r>
        <w:br/>
        <w:t xml:space="preserve">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009"/>
      </w:pPr>
      <w:r>
        <w:rPr>
          <w:rStyle w:val="1011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3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38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3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33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34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39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36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5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  <w:num w:numId="68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8">
    <w:name w:val="Quote Char"/>
    <w:link w:val="855"/>
    <w:uiPriority w:val="29"/>
    <w:rPr>
      <w:i/>
    </w:rPr>
  </w:style>
  <w:style w:type="character" w:styleId="829">
    <w:name w:val="Intense Quote Char"/>
    <w:link w:val="857"/>
    <w:uiPriority w:val="30"/>
    <w:rPr>
      <w:i/>
    </w:rPr>
  </w:style>
  <w:style w:type="paragraph" w:styleId="830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1">
    <w:name w:val="Heading 1"/>
    <w:basedOn w:val="830"/>
    <w:next w:val="830"/>
    <w:link w:val="1001"/>
    <w:uiPriority w:val="9"/>
    <w:qFormat/>
    <w:pPr>
      <w:jc w:val="center"/>
      <w:outlineLvl w:val="0"/>
    </w:pPr>
    <w:rPr>
      <w:b/>
    </w:rPr>
  </w:style>
  <w:style w:type="paragraph" w:styleId="832">
    <w:name w:val="Heading 2"/>
    <w:basedOn w:val="833"/>
    <w:next w:val="830"/>
    <w:link w:val="1003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33">
    <w:name w:val="Heading 3"/>
    <w:basedOn w:val="830"/>
    <w:next w:val="830"/>
    <w:link w:val="1004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34">
    <w:name w:val="Heading 4"/>
    <w:basedOn w:val="833"/>
    <w:next w:val="830"/>
    <w:link w:val="1006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35">
    <w:name w:val="Heading 5"/>
    <w:basedOn w:val="834"/>
    <w:next w:val="830"/>
    <w:link w:val="1012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36">
    <w:name w:val="Heading 6"/>
    <w:basedOn w:val="835"/>
    <w:next w:val="830"/>
    <w:link w:val="1013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37">
    <w:name w:val="Heading 7"/>
    <w:basedOn w:val="1005"/>
    <w:next w:val="830"/>
    <w:link w:val="1024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38">
    <w:name w:val="Heading 8"/>
    <w:basedOn w:val="833"/>
    <w:next w:val="830"/>
    <w:link w:val="1025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39">
    <w:name w:val="Heading 9"/>
    <w:basedOn w:val="830"/>
    <w:next w:val="830"/>
    <w:link w:val="1026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Heading 1 Char"/>
    <w:basedOn w:val="840"/>
    <w:uiPriority w:val="9"/>
    <w:rPr>
      <w:rFonts w:ascii="Arial" w:hAnsi="Arial" w:eastAsia="Arial" w:cs="Arial"/>
      <w:sz w:val="40"/>
      <w:szCs w:val="40"/>
    </w:rPr>
  </w:style>
  <w:style w:type="character" w:styleId="844" w:customStyle="1">
    <w:name w:val="Heading 2 Char"/>
    <w:basedOn w:val="840"/>
    <w:uiPriority w:val="9"/>
    <w:rPr>
      <w:rFonts w:ascii="Arial" w:hAnsi="Arial" w:eastAsia="Arial" w:cs="Arial"/>
      <w:sz w:val="34"/>
    </w:rPr>
  </w:style>
  <w:style w:type="character" w:styleId="845" w:customStyle="1">
    <w:name w:val="Heading 3 Char"/>
    <w:basedOn w:val="840"/>
    <w:uiPriority w:val="9"/>
    <w:rPr>
      <w:rFonts w:ascii="Arial" w:hAnsi="Arial" w:eastAsia="Arial" w:cs="Arial"/>
      <w:sz w:val="30"/>
      <w:szCs w:val="30"/>
    </w:rPr>
  </w:style>
  <w:style w:type="character" w:styleId="846" w:customStyle="1">
    <w:name w:val="Heading 4 Char"/>
    <w:basedOn w:val="840"/>
    <w:uiPriority w:val="9"/>
    <w:rPr>
      <w:rFonts w:ascii="Arial" w:hAnsi="Arial" w:eastAsia="Arial" w:cs="Arial"/>
      <w:b/>
      <w:bCs/>
      <w:sz w:val="26"/>
      <w:szCs w:val="26"/>
    </w:rPr>
  </w:style>
  <w:style w:type="character" w:styleId="847" w:customStyle="1">
    <w:name w:val="Heading 5 Char"/>
    <w:basedOn w:val="840"/>
    <w:uiPriority w:val="9"/>
    <w:rPr>
      <w:rFonts w:ascii="Arial" w:hAnsi="Arial" w:eastAsia="Arial" w:cs="Arial"/>
      <w:b/>
      <w:bCs/>
      <w:sz w:val="24"/>
      <w:szCs w:val="24"/>
    </w:rPr>
  </w:style>
  <w:style w:type="character" w:styleId="848" w:customStyle="1">
    <w:name w:val="Heading 6 Char"/>
    <w:basedOn w:val="840"/>
    <w:uiPriority w:val="9"/>
    <w:rPr>
      <w:rFonts w:ascii="Arial" w:hAnsi="Arial" w:eastAsia="Arial" w:cs="Arial"/>
      <w:b/>
      <w:bCs/>
      <w:sz w:val="22"/>
      <w:szCs w:val="22"/>
    </w:rPr>
  </w:style>
  <w:style w:type="character" w:styleId="849" w:customStyle="1">
    <w:name w:val="Heading 7 Char"/>
    <w:basedOn w:val="8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0" w:customStyle="1">
    <w:name w:val="Heading 8 Char"/>
    <w:basedOn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851" w:customStyle="1">
    <w:name w:val="Heading 9 Char"/>
    <w:basedOn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52">
    <w:name w:val="No Spacing"/>
    <w:uiPriority w:val="1"/>
    <w:qFormat/>
    <w:pPr>
      <w:spacing w:after="0" w:line="240" w:lineRule="auto"/>
    </w:pPr>
  </w:style>
  <w:style w:type="character" w:styleId="853" w:customStyle="1">
    <w:name w:val="Title Char"/>
    <w:basedOn w:val="840"/>
    <w:uiPriority w:val="10"/>
    <w:rPr>
      <w:sz w:val="48"/>
      <w:szCs w:val="48"/>
    </w:rPr>
  </w:style>
  <w:style w:type="character" w:styleId="854" w:customStyle="1">
    <w:name w:val="Subtitle Char"/>
    <w:basedOn w:val="840"/>
    <w:uiPriority w:val="11"/>
    <w:rPr>
      <w:sz w:val="24"/>
      <w:szCs w:val="24"/>
    </w:rPr>
  </w:style>
  <w:style w:type="paragraph" w:styleId="855">
    <w:name w:val="Quote"/>
    <w:basedOn w:val="830"/>
    <w:next w:val="830"/>
    <w:link w:val="856"/>
    <w:uiPriority w:val="29"/>
    <w:qFormat/>
    <w:pPr>
      <w:ind w:left="720" w:right="720"/>
    </w:pPr>
    <w:rPr>
      <w:i/>
    </w:rPr>
  </w:style>
  <w:style w:type="character" w:styleId="856" w:customStyle="1">
    <w:name w:val="Цитата 2 Знак"/>
    <w:link w:val="855"/>
    <w:uiPriority w:val="29"/>
    <w:rPr>
      <w:i/>
    </w:rPr>
  </w:style>
  <w:style w:type="paragraph" w:styleId="857">
    <w:name w:val="Intense Quote"/>
    <w:basedOn w:val="830"/>
    <w:next w:val="830"/>
    <w:link w:val="8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8" w:customStyle="1">
    <w:name w:val="Выделенная цитата Знак"/>
    <w:link w:val="857"/>
    <w:uiPriority w:val="30"/>
    <w:rPr>
      <w:i/>
    </w:rPr>
  </w:style>
  <w:style w:type="character" w:styleId="859" w:customStyle="1">
    <w:name w:val="Header Char"/>
    <w:basedOn w:val="840"/>
    <w:uiPriority w:val="99"/>
  </w:style>
  <w:style w:type="character" w:styleId="860" w:customStyle="1">
    <w:name w:val="Footer Char"/>
    <w:basedOn w:val="840"/>
    <w:uiPriority w:val="99"/>
  </w:style>
  <w:style w:type="paragraph" w:styleId="861">
    <w:name w:val="Caption"/>
    <w:basedOn w:val="830"/>
    <w:next w:val="830"/>
    <w:link w:val="86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62" w:customStyle="1">
    <w:name w:val="Caption Char"/>
    <w:uiPriority w:val="99"/>
  </w:style>
  <w:style w:type="table" w:styleId="863" w:customStyle="1">
    <w:name w:val="Table Grid Light"/>
    <w:basedOn w:val="8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4" w:customStyle="1">
    <w:name w:val="Plain Table 1"/>
    <w:basedOn w:val="84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5" w:customStyle="1">
    <w:name w:val="Plain Table 2"/>
    <w:basedOn w:val="84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6" w:customStyle="1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7" w:customStyle="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1" w:customStyle="1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92" w:customStyle="1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3" w:customStyle="1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4" w:customStyle="1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5" w:customStyle="1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96" w:customStyle="1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7" w:customStyle="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5" w:customStyle="1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06" w:customStyle="1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07" w:customStyle="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08" w:customStyle="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09" w:customStyle="1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10" w:customStyle="1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11" w:customStyle="1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30" w:customStyle="1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32" w:customStyle="1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 w:customStyle="1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4" w:customStyle="1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55" w:customStyle="1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56" w:customStyle="1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57" w:customStyle="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58" w:customStyle="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59" w:customStyle="1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60" w:customStyle="1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8" w:customStyle="1">
    <w:name w:val="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9" w:customStyle="1">
    <w:name w:val="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0" w:customStyle="1">
    <w:name w:val="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1" w:customStyle="1">
    <w:name w:val="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2" w:customStyle="1">
    <w:name w:val="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73" w:customStyle="1">
    <w:name w:val="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4" w:customStyle="1">
    <w:name w:val="Bordered &amp; Lined - Accent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5" w:customStyle="1">
    <w:name w:val="Bordered &amp; Lined - Accent 1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76" w:customStyle="1">
    <w:name w:val="Bordered &amp; Lined - Accent 2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7" w:customStyle="1">
    <w:name w:val="Bordered &amp; Lined - Accent 3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8" w:customStyle="1">
    <w:name w:val="Bordered &amp; Lined - Accent 4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9" w:customStyle="1">
    <w:name w:val="Bordered &amp; Lined - Accent 5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80" w:customStyle="1">
    <w:name w:val="Bordered &amp; Lined - Accent 6"/>
    <w:basedOn w:val="84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1" w:customStyle="1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2" w:customStyle="1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83" w:customStyle="1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84" w:customStyle="1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85" w:customStyle="1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86" w:customStyle="1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87" w:customStyle="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88" w:customStyle="1">
    <w:name w:val="Footnote Text Char"/>
    <w:uiPriority w:val="99"/>
    <w:rPr>
      <w:sz w:val="18"/>
    </w:rPr>
  </w:style>
  <w:style w:type="character" w:styleId="989" w:customStyle="1">
    <w:name w:val="Endnote Text Char"/>
    <w:uiPriority w:val="99"/>
    <w:rPr>
      <w:sz w:val="20"/>
    </w:rPr>
  </w:style>
  <w:style w:type="paragraph" w:styleId="990">
    <w:name w:val="toc 1"/>
    <w:basedOn w:val="830"/>
    <w:next w:val="830"/>
    <w:uiPriority w:val="39"/>
    <w:unhideWhenUsed/>
    <w:pPr>
      <w:ind w:firstLine="0"/>
      <w:spacing w:after="57"/>
    </w:pPr>
  </w:style>
  <w:style w:type="paragraph" w:styleId="991">
    <w:name w:val="toc 2"/>
    <w:basedOn w:val="830"/>
    <w:next w:val="830"/>
    <w:uiPriority w:val="39"/>
    <w:unhideWhenUsed/>
    <w:pPr>
      <w:ind w:left="283" w:firstLine="0"/>
      <w:spacing w:after="57"/>
    </w:pPr>
  </w:style>
  <w:style w:type="paragraph" w:styleId="992">
    <w:name w:val="toc 3"/>
    <w:basedOn w:val="830"/>
    <w:next w:val="830"/>
    <w:uiPriority w:val="39"/>
    <w:unhideWhenUsed/>
    <w:pPr>
      <w:ind w:left="567" w:firstLine="0"/>
      <w:spacing w:after="57"/>
    </w:pPr>
  </w:style>
  <w:style w:type="paragraph" w:styleId="993">
    <w:name w:val="toc 4"/>
    <w:basedOn w:val="830"/>
    <w:next w:val="830"/>
    <w:uiPriority w:val="39"/>
    <w:unhideWhenUsed/>
    <w:pPr>
      <w:ind w:left="850" w:firstLine="0"/>
      <w:spacing w:after="57"/>
    </w:pPr>
  </w:style>
  <w:style w:type="paragraph" w:styleId="994">
    <w:name w:val="toc 5"/>
    <w:basedOn w:val="830"/>
    <w:next w:val="830"/>
    <w:uiPriority w:val="39"/>
    <w:unhideWhenUsed/>
    <w:pPr>
      <w:ind w:left="1134" w:firstLine="0"/>
      <w:spacing w:after="57"/>
    </w:pPr>
  </w:style>
  <w:style w:type="paragraph" w:styleId="995">
    <w:name w:val="toc 6"/>
    <w:basedOn w:val="830"/>
    <w:next w:val="830"/>
    <w:uiPriority w:val="39"/>
    <w:unhideWhenUsed/>
    <w:pPr>
      <w:ind w:left="1417" w:firstLine="0"/>
      <w:spacing w:after="57"/>
    </w:pPr>
  </w:style>
  <w:style w:type="paragraph" w:styleId="996">
    <w:name w:val="toc 7"/>
    <w:basedOn w:val="830"/>
    <w:next w:val="830"/>
    <w:uiPriority w:val="39"/>
    <w:unhideWhenUsed/>
    <w:pPr>
      <w:ind w:left="1701" w:firstLine="0"/>
      <w:spacing w:after="57"/>
    </w:pPr>
  </w:style>
  <w:style w:type="paragraph" w:styleId="997">
    <w:name w:val="toc 8"/>
    <w:basedOn w:val="830"/>
    <w:next w:val="830"/>
    <w:uiPriority w:val="39"/>
    <w:unhideWhenUsed/>
    <w:pPr>
      <w:ind w:left="1984" w:firstLine="0"/>
      <w:spacing w:after="57"/>
    </w:pPr>
  </w:style>
  <w:style w:type="paragraph" w:styleId="998">
    <w:name w:val="toc 9"/>
    <w:basedOn w:val="830"/>
    <w:next w:val="830"/>
    <w:uiPriority w:val="39"/>
    <w:unhideWhenUsed/>
    <w:pPr>
      <w:ind w:left="2268" w:firstLine="0"/>
      <w:spacing w:after="57"/>
    </w:pPr>
  </w:style>
  <w:style w:type="paragraph" w:styleId="999">
    <w:name w:val="TOC Heading"/>
    <w:uiPriority w:val="39"/>
    <w:unhideWhenUsed/>
  </w:style>
  <w:style w:type="paragraph" w:styleId="1000">
    <w:name w:val="table of figures"/>
    <w:basedOn w:val="830"/>
    <w:next w:val="830"/>
    <w:uiPriority w:val="99"/>
    <w:unhideWhenUsed/>
  </w:style>
  <w:style w:type="character" w:styleId="1001" w:customStyle="1">
    <w:name w:val="Заголовок 1 Знак"/>
    <w:basedOn w:val="840"/>
    <w:link w:val="831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02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3" w:customStyle="1">
    <w:name w:val="Заголовок 2 Знак"/>
    <w:basedOn w:val="840"/>
    <w:link w:val="83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04" w:customStyle="1">
    <w:name w:val="Заголовок 3 Знак"/>
    <w:basedOn w:val="840"/>
    <w:link w:val="83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List Paragraph"/>
    <w:basedOn w:val="830"/>
    <w:uiPriority w:val="34"/>
    <w:qFormat/>
    <w:pPr>
      <w:contextualSpacing/>
      <w:ind w:left="720"/>
    </w:pPr>
  </w:style>
  <w:style w:type="character" w:styleId="1006" w:customStyle="1">
    <w:name w:val="Заголовок 4 Знак"/>
    <w:basedOn w:val="840"/>
    <w:link w:val="83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7">
    <w:name w:val="Subtitle"/>
    <w:basedOn w:val="830"/>
    <w:next w:val="830"/>
    <w:link w:val="1008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08" w:customStyle="1">
    <w:name w:val="Подзаголовок Знак"/>
    <w:basedOn w:val="840"/>
    <w:link w:val="1007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09">
    <w:name w:val="footnote text"/>
    <w:basedOn w:val="830"/>
    <w:link w:val="1010"/>
    <w:uiPriority w:val="99"/>
    <w:unhideWhenUsed/>
    <w:qFormat/>
    <w:rPr>
      <w:sz w:val="20"/>
      <w:szCs w:val="20"/>
    </w:rPr>
  </w:style>
  <w:style w:type="character" w:styleId="1010" w:customStyle="1">
    <w:name w:val="Текст сноски Знак"/>
    <w:basedOn w:val="840"/>
    <w:link w:val="100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1">
    <w:name w:val="footnote reference"/>
    <w:basedOn w:val="840"/>
    <w:uiPriority w:val="99"/>
    <w:unhideWhenUsed/>
    <w:rPr>
      <w:vertAlign w:val="superscript"/>
    </w:rPr>
  </w:style>
  <w:style w:type="character" w:styleId="1012" w:customStyle="1">
    <w:name w:val="Заголовок 5 Знак"/>
    <w:basedOn w:val="840"/>
    <w:link w:val="83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3" w:customStyle="1">
    <w:name w:val="Заголовок 6 Знак"/>
    <w:basedOn w:val="840"/>
    <w:link w:val="83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>
    <w:name w:val="Header"/>
    <w:basedOn w:val="830"/>
    <w:link w:val="101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5" w:customStyle="1">
    <w:name w:val="Верхний колонтитул Знак"/>
    <w:basedOn w:val="840"/>
    <w:link w:val="10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6">
    <w:name w:val="Footer"/>
    <w:basedOn w:val="830"/>
    <w:link w:val="10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7" w:customStyle="1">
    <w:name w:val="Нижний колонтитул Знак"/>
    <w:basedOn w:val="840"/>
    <w:link w:val="101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18" w:customStyle="1">
    <w:name w:val="6"/>
    <w:basedOn w:val="84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19">
    <w:name w:val="endnote text"/>
    <w:basedOn w:val="830"/>
    <w:link w:val="1020"/>
    <w:uiPriority w:val="99"/>
    <w:semiHidden/>
    <w:unhideWhenUsed/>
    <w:rPr>
      <w:sz w:val="20"/>
      <w:szCs w:val="20"/>
    </w:rPr>
  </w:style>
  <w:style w:type="character" w:styleId="1020" w:customStyle="1">
    <w:name w:val="Текст концевой сноски Знак"/>
    <w:basedOn w:val="840"/>
    <w:link w:val="101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1">
    <w:name w:val="endnote reference"/>
    <w:basedOn w:val="840"/>
    <w:uiPriority w:val="99"/>
    <w:semiHidden/>
    <w:unhideWhenUsed/>
    <w:rPr>
      <w:vertAlign w:val="superscript"/>
    </w:rPr>
  </w:style>
  <w:style w:type="paragraph" w:styleId="1022">
    <w:name w:val="Title"/>
    <w:basedOn w:val="830"/>
    <w:next w:val="830"/>
    <w:link w:val="1023"/>
    <w:uiPriority w:val="10"/>
    <w:qFormat/>
    <w:pPr>
      <w:jc w:val="center"/>
      <w:spacing w:before="240"/>
    </w:pPr>
    <w:rPr>
      <w:b/>
    </w:rPr>
  </w:style>
  <w:style w:type="character" w:styleId="1023" w:customStyle="1">
    <w:name w:val="Название Знак"/>
    <w:basedOn w:val="840"/>
    <w:link w:val="1022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24" w:customStyle="1">
    <w:name w:val="Заголовок 7 Знак"/>
    <w:basedOn w:val="840"/>
    <w:link w:val="83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25" w:customStyle="1">
    <w:name w:val="Заголовок 8 Знак"/>
    <w:basedOn w:val="840"/>
    <w:link w:val="83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6" w:customStyle="1">
    <w:name w:val="Заголовок 9 Знак"/>
    <w:basedOn w:val="840"/>
    <w:link w:val="839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27">
    <w:name w:val="Balloon Text"/>
    <w:basedOn w:val="830"/>
    <w:link w:val="102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28" w:customStyle="1">
    <w:name w:val="Текст выноски Знак"/>
    <w:basedOn w:val="840"/>
    <w:link w:val="102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29" w:customStyle="1">
    <w:name w:val="head21"/>
    <w:basedOn w:val="830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30">
    <w:name w:val="annotation reference"/>
    <w:basedOn w:val="840"/>
    <w:uiPriority w:val="99"/>
    <w:semiHidden/>
    <w:unhideWhenUsed/>
    <w:rPr>
      <w:sz w:val="16"/>
      <w:szCs w:val="16"/>
    </w:rPr>
  </w:style>
  <w:style w:type="paragraph" w:styleId="1031">
    <w:name w:val="annotation text"/>
    <w:basedOn w:val="830"/>
    <w:link w:val="1032"/>
    <w:uiPriority w:val="99"/>
    <w:semiHidden/>
    <w:unhideWhenUsed/>
    <w:rPr>
      <w:sz w:val="20"/>
      <w:szCs w:val="20"/>
    </w:rPr>
  </w:style>
  <w:style w:type="character" w:styleId="1032" w:customStyle="1">
    <w:name w:val="Текст примечания Знак"/>
    <w:basedOn w:val="840"/>
    <w:link w:val="103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3">
    <w:name w:val="annotation subject"/>
    <w:basedOn w:val="1031"/>
    <w:next w:val="1031"/>
    <w:link w:val="1034"/>
    <w:uiPriority w:val="99"/>
    <w:semiHidden/>
    <w:unhideWhenUsed/>
    <w:rPr>
      <w:b/>
      <w:bCs/>
    </w:rPr>
  </w:style>
  <w:style w:type="character" w:styleId="1034" w:customStyle="1">
    <w:name w:val="Тема примечания Знак"/>
    <w:basedOn w:val="1032"/>
    <w:link w:val="103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35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1036" w:customStyle="1">
    <w:name w:val="Заголовок 3;Подпункт ГК"/>
    <w:basedOn w:val="830"/>
    <w:next w:val="830"/>
    <w:link w:val="1037"/>
    <w:uiPriority w:val="9"/>
    <w:unhideWhenUsed/>
    <w:qFormat/>
    <w:pPr>
      <w:contextualSpacing/>
      <w:outlineLvl w:val="2"/>
    </w:pPr>
  </w:style>
  <w:style w:type="character" w:styleId="1037" w:customStyle="1">
    <w:name w:val="Заголовок 3 Знак;Подпункт ГК Знак"/>
    <w:link w:val="103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 w:customStyle="1">
    <w:name w:val="ConsPlusNormal"/>
    <w:next w:val="896"/>
    <w:link w:val="89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savichav</cp:lastModifiedBy>
  <cp:revision>108</cp:revision>
  <dcterms:created xsi:type="dcterms:W3CDTF">2023-04-26T08:59:00Z</dcterms:created>
  <dcterms:modified xsi:type="dcterms:W3CDTF">2026-08-10T07:23:14Z</dcterms:modified>
</cp:coreProperties>
</file>