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23"/>
        <w:ind w:firstLine="567"/>
        <w:jc w:val="center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Государственный контракт № ____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contextualSpacing/>
        <w:spacing w:before="0" w:after="160"/>
        <w:tabs>
          <w:tab w:val="clear" w:pos="708" w:leader="none"/>
          <w:tab w:val="left" w:pos="5542" w:leader="none"/>
          <w:tab w:val="left" w:pos="7560" w:leader="none"/>
        </w:tabs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</w:r>
      <w:r>
        <w:rPr>
          <w:rFonts w:ascii="Times New Roman" w:hAnsi="Times New Roman" w:cs="Times New Roman"/>
          <w:color w:val="ff0000"/>
          <w:sz w:val="24"/>
          <w:szCs w:val="24"/>
        </w:rPr>
      </w:r>
      <w:r>
        <w:rPr>
          <w:rFonts w:ascii="Times New Roman" w:hAnsi="Times New Roman" w:cs="Times New Roman"/>
          <w:color w:val="ff0000"/>
          <w:sz w:val="24"/>
          <w:szCs w:val="24"/>
        </w:rPr>
      </w:r>
    </w:p>
    <w:p>
      <w:pPr>
        <w:pStyle w:val="823"/>
        <w:numPr>
          <w:ilvl w:val="0"/>
          <w:numId w:val="0"/>
        </w:numPr>
        <w:ind w:left="6" w:right="11" w:hanging="6"/>
        <w:jc w:val="center"/>
        <w:shd w:val="clear" w:color="auto" w:fill="ffffff"/>
        <w:tabs>
          <w:tab w:val="left" w:pos="0" w:leader="none"/>
          <w:tab w:val="clear" w:pos="708" w:leader="none"/>
          <w:tab w:val="left" w:pos="5670" w:leader="none"/>
        </w:tabs>
        <w:rPr>
          <w:rFonts w:ascii="Times New Roman" w:hAnsi="Times New Roman"/>
          <w:sz w:val="24"/>
          <w:szCs w:val="24"/>
        </w:rPr>
        <w:outlineLvl w:val="0"/>
      </w:pPr>
      <w:r>
        <w:rPr>
          <w:rFonts w:ascii="Times New Roman" w:hAnsi="Times New Roman" w:cs="Times New Roman"/>
          <w:sz w:val="24"/>
          <w:szCs w:val="24"/>
        </w:rPr>
        <w:t xml:space="preserve">г. Нижний Новгород </w:t>
        <w:tab/>
        <w:t xml:space="preserve">              «_____»__________ 2026</w:t>
      </w:r>
      <w:bookmarkStart w:id="0" w:name="_GoBack"/>
      <w:r/>
      <w:bookmarkEnd w:id="0"/>
      <w:r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ind w:firstLine="567"/>
        <w:jc w:val="both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Федеральной службы государственной регистрации, кадастра и картографии по Нижегородской области (Управление Росреестра по Нижегородской области), действующее от имени Российской Федерации, именуемое в дальнейшем </w:t>
      </w:r>
      <w:r>
        <w:rPr>
          <w:rFonts w:ascii="Times New Roman" w:hAnsi="Times New Roman" w:cs="Times New Roman"/>
          <w:b/>
          <w:sz w:val="24"/>
          <w:szCs w:val="24"/>
        </w:rPr>
        <w:t xml:space="preserve">«Заказчик»</w:t>
      </w:r>
      <w:r>
        <w:rPr>
          <w:rFonts w:ascii="Times New Roman" w:hAnsi="Times New Roman" w:cs="Times New Roman"/>
          <w:sz w:val="24"/>
          <w:szCs w:val="24"/>
        </w:rPr>
        <w:t xml:space="preserve">, в лице контрактного управляющего ___________________, действующего на основании _________________________________, доверенности от ______________________________, с одной стороны, и __________________, именуемый в дальнейшем </w:t>
      </w:r>
      <w:r>
        <w:rPr>
          <w:rFonts w:ascii="Times New Roman" w:hAnsi="Times New Roman" w:cs="Times New Roman"/>
          <w:b/>
          <w:sz w:val="24"/>
          <w:szCs w:val="24"/>
        </w:rPr>
        <w:t xml:space="preserve">«Поставщик»</w:t>
      </w:r>
      <w:r>
        <w:rPr>
          <w:rFonts w:ascii="Times New Roman" w:hAnsi="Times New Roman" w:cs="Times New Roman"/>
          <w:sz w:val="24"/>
          <w:szCs w:val="24"/>
        </w:rPr>
        <w:t xml:space="preserve">, в лице __________________, действующего на основании _______, с другой стороны, именуемые в дальнейшем «Стороны»,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руководствуясь требованиями ст. 93, ч. 1, п. 4 Федерального закона от 05 апреля 2013 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ода  № 44 -ФЗ «О контрактной системе в сфере закупок товаров, работ, услуг для обеспечения государственных и муниципальных нужд» и иного законодательства Российской Федерации, заключили настоящий государственный контракт (далее – Контракт) о нижеследующем: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0"/>
          <w:numId w:val="6"/>
        </w:numPr>
        <w:contextualSpacing/>
        <w:jc w:val="center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и условия контракта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1"/>
          <w:numId w:val="6"/>
        </w:numPr>
        <w:contextualSpacing/>
        <w:ind w:left="0" w:firstLine="710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Поставщик обязуется осуществить поставку дизельного топлива для нужд Управления Росреестра по Нижегородской области (далее – Товар), а Заказчик обязуется принять и оплатить Товар в порядке и на условиях, предусмотренных Контрактом.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1"/>
          <w:numId w:val="6"/>
        </w:numPr>
        <w:contextualSpacing/>
        <w:ind w:left="0" w:firstLine="709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Наименование, количество, иные характери</w:t>
      </w:r>
      <w:r>
        <w:rPr>
          <w:rFonts w:ascii="Times New Roman" w:hAnsi="Times New Roman"/>
          <w:sz w:val="24"/>
          <w:szCs w:val="24"/>
        </w:rPr>
        <w:t xml:space="preserve">стики поставляемого Товара и условия исполнения Контракта указаны в Техническом задании (Приложение № 1 к Контракту, далее – Техническое задание) и Спецификации (Приложение № 2 к Контракту, далее – Спецификация), являющиеся неотъемлемыми частями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23"/>
        <w:jc w:val="center"/>
        <w:spacing w:before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Максимальное значение цены контракта,</w:t>
        <w:br/>
        <w:t xml:space="preserve">формула цены контракта и порядок расчетов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numPr>
          <w:ilvl w:val="0"/>
          <w:numId w:val="8"/>
        </w:numPr>
        <w:ind w:left="0" w:right="0" w:firstLine="567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Максимальное значение цены Контракта составляет 50 000 (пятьдесят тысяч) рублей 00 копеек, </w:t>
      </w:r>
      <w:r>
        <w:rPr>
          <w:rFonts w:ascii="Times New Roman" w:hAnsi="Times New Roman"/>
          <w:sz w:val="24"/>
          <w:szCs w:val="24"/>
        </w:rPr>
        <w:t xml:space="preserve">в том числе НДС ___ % _______ рублей___ копеек, </w:t>
      </w:r>
      <w:r>
        <w:rPr>
          <w:rFonts w:ascii="Times New Roman" w:hAnsi="Times New Roman"/>
          <w:i/>
          <w:sz w:val="24"/>
          <w:szCs w:val="24"/>
        </w:rPr>
        <w:t xml:space="preserve">случае если Контракт заключается с лицами, не являющимися в соответствии с законодательством Российской Федерации о налогах и сборах плательщиком НДС, то цена Контракта НДС не облагается).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ind w:left="0" w:firstLine="567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Максимальное значение цены за единицу Товара указывается в Спецификации.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</w:t>
      </w:r>
      <w:r>
        <w:rPr>
          <w:rFonts w:ascii="Times New Roman" w:hAnsi="Times New Roman"/>
          <w:sz w:val="24"/>
          <w:szCs w:val="24"/>
        </w:rPr>
        <w:t xml:space="preserve">ветствии с частью 2 статьи 34 Федерального закона № 44-ФЗ и постановлением Правительства Российской Федерации от 13.01.2014 № 19 «Об установлении случаев, в которых при заключении контракта в документации о закупке указываются формула цены и максимальное з</w:t>
      </w:r>
      <w:r>
        <w:rPr>
          <w:rFonts w:ascii="Times New Roman" w:hAnsi="Times New Roman"/>
          <w:sz w:val="24"/>
          <w:szCs w:val="24"/>
        </w:rPr>
        <w:t xml:space="preserve">начение цены контракта» оплата поставленного Товара осуществляется ежемесячно в соответствии с формулой цены Контракта, исходя из объема фактически поставленного Товара в отчетном периоде, но в размере, не превышающем максимального значения цены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ind w:firstLine="567"/>
        <w:jc w:val="both"/>
        <w:spacing w:before="0" w:after="0" w:line="240" w:lineRule="auto"/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Формула цены контракта: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jc w:val="center"/>
        <w:spacing w:before="0" w:after="0" w:line="240" w:lineRule="auto"/>
        <w:rPr>
          <w:rFonts w:ascii="Times New Roman" w:hAnsi="Times New Roman"/>
          <w:sz w:val="24"/>
          <w:szCs w:val="24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162050" cy="441325"/>
                <wp:effectExtent l="0" t="0" r="0" b="0"/>
                <wp:docPr id="1" name="_x005F_x0000_i102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_x005F_x0000_i1025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1162050" cy="4413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91.50pt;height:34.75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ind w:firstLine="709"/>
        <w:jc w:val="both"/>
        <w:spacing w:before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Цк</w:t>
      </w:r>
      <w:r>
        <w:rPr>
          <w:rFonts w:ascii="Times New Roman" w:hAnsi="Times New Roman" w:cs="Times New Roman"/>
          <w:sz w:val="24"/>
          <w:szCs w:val="24"/>
        </w:rPr>
        <w:t xml:space="preserve"> - цена контракта, определённая с использование настоящей формулы, которая не может превышать ЦКmax (максимальное значение цены контракта) (Цк </w:t>
      </w:r>
      <w:r>
        <w:rPr>
          <w:rFonts w:ascii="Times New Roman" w:hAnsi="Times New Roman" w:cs="Cambria Math"/>
          <w:sz w:val="24"/>
          <w:szCs w:val="24"/>
        </w:rPr>
        <w:t xml:space="preserve">⩽</w:t>
      </w:r>
      <w:r>
        <w:rPr>
          <w:rFonts w:ascii="Times New Roman" w:hAnsi="Times New Roman" w:cs="Times New Roman"/>
          <w:sz w:val="24"/>
          <w:szCs w:val="24"/>
        </w:rPr>
        <w:t xml:space="preserve"> ЦКmax);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ind w:firstLine="709"/>
        <w:jc w:val="both"/>
        <w:spacing w:before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Ц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i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факт</w:t>
      </w:r>
      <w:r>
        <w:rPr>
          <w:rFonts w:ascii="Times New Roman" w:hAnsi="Times New Roman" w:cs="Times New Roman"/>
          <w:sz w:val="24"/>
          <w:szCs w:val="24"/>
        </w:rPr>
        <w:t xml:space="preserve"> - фактическая отпускная цена за единицу товара в месяце (периоде) поставки, указываемая в товарной накладной/универсальном передаточном документе/документе о приемке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которая</w:t>
      </w:r>
      <w:r>
        <w:rPr>
          <w:rFonts w:ascii="Times New Roman" w:hAnsi="Times New Roman" w:cs="Times New Roman"/>
          <w:sz w:val="24"/>
          <w:szCs w:val="24"/>
        </w:rPr>
        <w:t xml:space="preserve"> не может превышать Цi торг (цену за единицу товара, определяемую по результатам торгов и указанную в спецификации – Приложение № 2 к Контракту) (Цi факт. </w:t>
      </w:r>
      <w:r>
        <w:rPr>
          <w:rFonts w:ascii="Times New Roman" w:hAnsi="Times New Roman" w:cs="Cambria Math"/>
          <w:sz w:val="24"/>
          <w:szCs w:val="24"/>
        </w:rPr>
        <w:t xml:space="preserve">⩽</w:t>
      </w:r>
      <w:r>
        <w:rPr>
          <w:rFonts w:ascii="Times New Roman" w:hAnsi="Times New Roman" w:cs="Times New Roman"/>
          <w:sz w:val="24"/>
          <w:szCs w:val="24"/>
        </w:rPr>
        <w:t xml:space="preserve"> Цi торг);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ind w:firstLine="709"/>
        <w:jc w:val="both"/>
        <w:spacing w:before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V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i</w:t>
      </w:r>
      <w:r>
        <w:rPr>
          <w:rFonts w:ascii="Times New Roman" w:hAnsi="Times New Roman" w:cs="Times New Roman"/>
          <w:sz w:val="24"/>
          <w:szCs w:val="24"/>
        </w:rPr>
        <w:t xml:space="preserve"> - количество литров товара по отдельному факту поставки (заправки);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ind w:firstLine="709"/>
        <w:jc w:val="both"/>
        <w:spacing w:before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n</w:t>
      </w:r>
      <w:r>
        <w:rPr>
          <w:rFonts w:ascii="Times New Roman" w:hAnsi="Times New Roman" w:cs="Times New Roman"/>
          <w:sz w:val="24"/>
          <w:szCs w:val="24"/>
        </w:rPr>
        <w:t xml:space="preserve"> – количество видов товара в контракте;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ind w:firstLine="709"/>
        <w:jc w:val="both"/>
        <w:spacing w:before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i</w:t>
      </w:r>
      <w:r>
        <w:rPr>
          <w:rFonts w:ascii="Times New Roman" w:hAnsi="Times New Roman" w:cs="Times New Roman"/>
          <w:sz w:val="24"/>
          <w:szCs w:val="24"/>
        </w:rPr>
        <w:t xml:space="preserve"> – номер позиции товара.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ind w:firstLine="709"/>
        <w:jc w:val="both"/>
        <w:spacing w:before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Объем поставки каждого вида товаров определяется с учетом максимального значения цены контракта (с учетом разъяснений, изложенных в письме Минфина от 11.05.2018 № 24-03-08/31865).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contextualSpacing/>
        <w:ind w:left="0" w:right="0" w:firstLine="737"/>
        <w:jc w:val="both"/>
        <w:spacing w:before="0" w:beforeAutospacing="0" w:after="0" w:afterAutospacing="0" w:line="259" w:lineRule="auto"/>
        <w:widowControl/>
        <w:tabs>
          <w:tab w:val="left" w:pos="426" w:leader="none"/>
          <w:tab w:val="left" w:pos="567" w:leader="none"/>
          <w:tab w:val="clear" w:pos="708" w:leader="none"/>
          <w:tab w:val="left" w:pos="1134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Расчет сумм величин Цi и Vi в месяце поставки осуществляется по каждому значению отпускной цены од</w:t>
      </w:r>
      <w:r>
        <w:rPr>
          <w:rFonts w:ascii="Times New Roman" w:hAnsi="Times New Roman"/>
          <w:sz w:val="24"/>
          <w:szCs w:val="24"/>
        </w:rPr>
        <w:t xml:space="preserve">ного литра конкретного вида топлива на дату отпуска, которая не должна превышать розничную цену Товара, действующую на АЗС, а также цену единицы Товара, установленную в соответствии с условиями Контракта согласно Спецификации (Приложение № 2 к Контракту).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1"/>
          <w:numId w:val="7"/>
        </w:numPr>
        <w:contextualSpacing/>
        <w:ind w:left="0" w:firstLine="709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Сумма, подлежащая уплате Заказчиком Поставщику, уменьшается на размер налогов, сборов и иных обязательных платежей в бюджеты бюджетной системы Р</w:t>
      </w:r>
      <w:r>
        <w:rPr>
          <w:rFonts w:ascii="Times New Roman" w:hAnsi="Times New Roman"/>
          <w:sz w:val="24"/>
          <w:szCs w:val="24"/>
        </w:rPr>
        <w:t xml:space="preserve">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1"/>
          <w:numId w:val="7"/>
        </w:numPr>
        <w:contextualSpacing/>
        <w:ind w:left="0" w:firstLine="709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Цена Контракта включает стоимость Товара, расходы, связанные с поставкой Товара, НДС, другие установленные налоги, сборы и иные расходы Поставщика, связанные с исполнением настоящего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1"/>
          <w:numId w:val="7"/>
        </w:numPr>
        <w:contextualSpacing/>
        <w:ind w:left="0" w:firstLine="709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Цена Контракта является твердой и определяется на весь срок исполнения Контракта, за исключением случаев, установленных Федеральным законом № 44-ФЗ и Контрактом.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ind w:firstLine="708"/>
        <w:jc w:val="both"/>
        <w:spacing w:before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Цена Контракта может быть снижена по соглашению Сторон без изменения, предусмотренного Контрактом количества и качества поставляемого Товара и иных условий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1"/>
          <w:numId w:val="7"/>
        </w:numPr>
        <w:contextualSpacing/>
        <w:ind w:left="0" w:firstLine="709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auto"/>
        </w:rPr>
        <w:t xml:space="preserve">Источник финансирования Контракта – средства федерального бюджета.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1"/>
          <w:numId w:val="7"/>
        </w:numPr>
        <w:contextualSpacing/>
        <w:ind w:left="0" w:firstLine="709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Расчеты между Заказчиком и Поставщиком производятся за фактически поставленный в отчетном периоде (календарный месяц) Товар без авансового платежа в течение 7 (семи) рабочих дней с даты подписания Заказчиком </w:t>
      </w:r>
      <w:r>
        <w:rPr>
          <w:rFonts w:ascii="Times New Roman" w:hAnsi="Times New Roman"/>
          <w:spacing w:val="2"/>
          <w:sz w:val="24"/>
          <w:szCs w:val="24"/>
        </w:rPr>
        <w:t xml:space="preserve">платежных документов, счета, счета-фактуры (в том числе универсальный передаточный документ), товарной накладной,</w:t>
      </w:r>
      <w:r>
        <w:rPr>
          <w:rFonts w:ascii="Times New Roman" w:hAnsi="Times New Roman"/>
          <w:sz w:val="24"/>
          <w:szCs w:val="24"/>
        </w:rPr>
        <w:t xml:space="preserve"> за отчетный период (календарный месяц).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1"/>
          <w:numId w:val="7"/>
        </w:numPr>
        <w:contextualSpacing/>
        <w:ind w:left="0" w:firstLine="709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Датой оплаты считается дата списания денежных средств с лицевого счета Заказчика.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1"/>
          <w:numId w:val="7"/>
        </w:numPr>
        <w:contextualSpacing/>
        <w:ind w:left="0" w:firstLine="709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Оплата по Контракту осуществляется по безналичному расчету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</w:t>
      </w:r>
      <w:r>
        <w:rPr>
          <w:rFonts w:ascii="Times New Roman" w:hAnsi="Times New Roman"/>
          <w:sz w:val="24"/>
          <w:szCs w:val="24"/>
        </w:rPr>
        <w:t xml:space="preserve">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1"/>
          <w:numId w:val="7"/>
        </w:numPr>
        <w:contextualSpacing/>
        <w:ind w:left="0" w:firstLine="709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выставления Поставщику требования об уплате неустойки (штрафа, пени) Заказчик имеет право произво</w:t>
      </w:r>
      <w:r>
        <w:rPr>
          <w:rFonts w:ascii="Times New Roman" w:hAnsi="Times New Roman"/>
          <w:sz w:val="24"/>
          <w:szCs w:val="24"/>
        </w:rPr>
        <w:t xml:space="preserve">дить оплату по Контракту на основании Документа о приемке за отчетный период с учетом удержания суммы неисполненных Поставщиком требований Заказчика об уплате неустоек (штрафов, пеней), предъявленных Заказчиком в соответствии с Федеральным законом № 44-ФЗ.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jc w:val="center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23"/>
        <w:jc w:val="center"/>
        <w:spacing w:before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Порядок, сроки и условия поставки и приемки Товара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1"/>
          <w:numId w:val="9"/>
        </w:numPr>
        <w:contextualSpacing/>
        <w:ind w:left="0" w:firstLine="710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Поставка Товара осуществляется посредством выборки (самовывоза) Товара Заказчиком (заправки автотранспортных средств Заказчика Товаром) по мере необходимости Заказ</w:t>
      </w:r>
      <w:r>
        <w:rPr>
          <w:rFonts w:ascii="Times New Roman" w:hAnsi="Times New Roman"/>
          <w:sz w:val="24"/>
          <w:szCs w:val="24"/>
        </w:rPr>
        <w:t xml:space="preserve">чика по месту нахождения автозаправочных станций (далее – АЗС), (собственных и (или) сторонних АЗС на которых обслуживаются топливные (пластиковые) карты (далее – Топливные карты) Поставщика), указанных в перечне АЗС, предоставляемом в соответствии с разде</w:t>
      </w:r>
      <w:r>
        <w:rPr>
          <w:rFonts w:ascii="Times New Roman" w:hAnsi="Times New Roman"/>
          <w:sz w:val="24"/>
          <w:szCs w:val="24"/>
          <w:shd w:val="clear" w:color="auto" w:fill="auto"/>
        </w:rPr>
        <w:t xml:space="preserve">лом 5 Технического задания, </w:t>
      </w:r>
      <w:r>
        <w:rPr>
          <w:rFonts w:ascii="Times New Roman" w:hAnsi="Times New Roman"/>
          <w:b/>
          <w:sz w:val="24"/>
          <w:szCs w:val="24"/>
          <w:shd w:val="clear" w:color="auto" w:fill="auto"/>
        </w:rPr>
        <w:t xml:space="preserve">в срок с момента заключения контракта по 30.11</w:t>
      </w:r>
      <w:r>
        <w:rPr>
          <w:rFonts w:ascii="Times New Roman" w:hAnsi="Times New Roman"/>
          <w:b/>
          <w:sz w:val="24"/>
          <w:szCs w:val="24"/>
          <w:shd w:val="clear" w:color="auto" w:fill="auto"/>
        </w:rPr>
        <w:t xml:space="preserve">.2026 г.</w:t>
      </w:r>
      <w:r>
        <w:rPr>
          <w:rFonts w:ascii="Times New Roman" w:hAnsi="Times New Roman"/>
          <w:sz w:val="24"/>
          <w:szCs w:val="24"/>
          <w:shd w:val="clear" w:color="auto" w:fill="auto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либо до полной выборки Заказчиком максимального значения цены контракта, в зависимости от того, что наступит ранее.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1"/>
          <w:numId w:val="9"/>
        </w:numPr>
        <w:contextualSpacing/>
        <w:ind w:left="0" w:firstLine="710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Поставщик обеспечивает незамедлительный отпуск топлива Заказчику по его потребности в сети АЗС, принимающих Топливные карты Поставщика, с обязательным п</w:t>
      </w:r>
      <w:r>
        <w:rPr>
          <w:rFonts w:ascii="Times New Roman" w:hAnsi="Times New Roman"/>
          <w:sz w:val="24"/>
          <w:szCs w:val="24"/>
          <w:shd w:val="clear" w:color="auto" w:fill="auto"/>
        </w:rPr>
        <w:t xml:space="preserve">редоставлением держателю Топливной карты кассового или терминального чека.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1"/>
          <w:numId w:val="9"/>
        </w:numPr>
        <w:contextualSpacing/>
        <w:ind w:left="0" w:firstLine="709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auto"/>
        </w:rPr>
        <w:t xml:space="preserve">Отпуск Товара по Топливным картам должен осуществляться 24 часа в сутки по всей сети АЗС Поставщика без ограничений по количеству Товара, но в пределах суточных лимитов, установленных Заказчиком и в пределах максимального значения цены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1"/>
          <w:numId w:val="9"/>
        </w:numPr>
        <w:ind w:left="0" w:firstLine="710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auto"/>
        </w:rPr>
        <w:t xml:space="preserve">Поставщик</w:t>
      </w:r>
      <w:r>
        <w:rPr>
          <w:rFonts w:ascii="Times New Roman" w:hAnsi="Times New Roman"/>
          <w:b/>
          <w:bCs/>
          <w:sz w:val="24"/>
          <w:szCs w:val="24"/>
          <w:shd w:val="clear" w:color="auto" w:fill="auto"/>
        </w:rPr>
        <w:t xml:space="preserve"> в течении 5 (пяти) рабочих дней </w:t>
      </w:r>
      <w:r>
        <w:rPr>
          <w:rFonts w:ascii="Times New Roman" w:hAnsi="Times New Roman"/>
          <w:sz w:val="24"/>
          <w:szCs w:val="24"/>
          <w:shd w:val="clear" w:color="auto" w:fill="auto"/>
        </w:rPr>
        <w:t xml:space="preserve">(</w:t>
      </w:r>
      <w:r>
        <w:rPr>
          <w:rFonts w:ascii="Times New Roman" w:hAnsi="Times New Roman"/>
          <w:spacing w:val="-4"/>
          <w:sz w:val="24"/>
          <w:szCs w:val="24"/>
          <w:shd w:val="clear" w:color="auto" w:fill="auto"/>
        </w:rPr>
        <w:t xml:space="preserve">с учетом положений ст. 193</w:t>
      </w:r>
      <w:r>
        <w:rPr>
          <w:rFonts w:ascii="Times New Roman" w:hAnsi="Times New Roman"/>
          <w:sz w:val="24"/>
          <w:szCs w:val="24"/>
          <w:shd w:val="clear" w:color="auto" w:fill="auto"/>
        </w:rPr>
        <w:t xml:space="preserve"> </w:t>
      </w:r>
      <w:r>
        <w:rPr>
          <w:rFonts w:ascii="Times New Roman" w:hAnsi="Times New Roman"/>
          <w:spacing w:val="-8"/>
          <w:sz w:val="24"/>
          <w:szCs w:val="24"/>
          <w:shd w:val="clear" w:color="auto" w:fill="auto"/>
        </w:rPr>
        <w:t xml:space="preserve">ГК РФ</w:t>
      </w:r>
      <w:r>
        <w:rPr>
          <w:rFonts w:ascii="Times New Roman" w:hAnsi="Times New Roman"/>
          <w:sz w:val="24"/>
          <w:szCs w:val="24"/>
          <w:shd w:val="clear" w:color="auto" w:fill="auto"/>
        </w:rPr>
        <w:t xml:space="preserve">), следующего за отчетным, направляет Заказчику полностью оформленную отчетную и бухгалтерскую документацию указанную в п. 2.6. радела 2 Контракта о приобретении Заказчиком товара по адресу места расположения Заказчика (</w:t>
      </w:r>
      <w:r>
        <w:rPr>
          <w:rFonts w:ascii="Times New Roman" w:hAnsi="Times New Roman" w:cs="Times New Roman"/>
          <w:sz w:val="24"/>
          <w:szCs w:val="24"/>
          <w:shd w:val="clear" w:color="auto" w:fill="auto"/>
        </w:rPr>
        <w:t xml:space="preserve">603950, г. Нижний Новгород, ул. Малая Ямская, д. 78А, пом.П5</w:t>
      </w:r>
      <w:r>
        <w:rPr>
          <w:rFonts w:ascii="Times New Roman" w:hAnsi="Times New Roman"/>
          <w:sz w:val="24"/>
          <w:szCs w:val="24"/>
          <w:shd w:val="clear" w:color="auto" w:fill="auto"/>
        </w:rPr>
        <w:t xml:space="preserve">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1"/>
          <w:numId w:val="9"/>
        </w:numPr>
        <w:contextualSpacing/>
        <w:ind w:left="0" w:firstLine="710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auto"/>
        </w:rPr>
        <w:t xml:space="preserve">Для проверки предоставленных Поставщиком результатов, предусмотренных Контрактом, Техническим заданием и Спецификацией, в части их соответствия условиям Контракта Заказчик проводит экспертизу. Экс</w:t>
      </w:r>
      <w:r>
        <w:rPr>
          <w:rFonts w:ascii="Times New Roman" w:hAnsi="Times New Roman"/>
          <w:sz w:val="24"/>
          <w:szCs w:val="24"/>
          <w:shd w:val="clear" w:color="auto" w:fill="auto"/>
        </w:rPr>
        <w:t xml:space="preserve">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 в течение 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auto"/>
        </w:rPr>
        <w:t xml:space="preserve">5 (пяти) рабочих </w:t>
      </w:r>
      <w:r>
        <w:rPr>
          <w:rFonts w:ascii="Times New Roman" w:hAnsi="Times New Roman"/>
          <w:sz w:val="24"/>
          <w:szCs w:val="24"/>
          <w:shd w:val="clear" w:color="auto" w:fill="auto"/>
        </w:rPr>
        <w:t xml:space="preserve">дней.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1"/>
          <w:numId w:val="9"/>
        </w:numPr>
        <w:contextualSpacing/>
        <w:ind w:left="0" w:firstLine="710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существенных нарушений условий настоящего Контракта, в том числе Технического задания, Заказчик вправе отказаться от приемки Товара.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ind w:left="0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 существенными нарушениями условий настоящего контракта понимаются существенные нарушения, предусмотренные законодательством Российской Федерации, а также следующие обстоятельства, о которых договорились Стороны: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ind w:left="0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нарушение установленных сроков поставки Товара;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ind w:left="0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обнаружение отступлений от условий настоящего Контракта, в том числе Технического задания при повторной приемке поставленного Товара, либо нарушение сроков устранения недостатков;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ind w:firstLine="708"/>
        <w:jc w:val="both"/>
        <w:spacing w:before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нарушение сроков устранения недостатков;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ind w:left="142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г) выявление фактов нарушения требований законодательства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1"/>
          <w:numId w:val="9"/>
        </w:numPr>
        <w:contextualSpacing/>
        <w:ind w:left="0" w:firstLine="710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Заказчик вправе не отказывать в приемке поставленного Товара в случае выявления несоответствия этого Товара условиям Контракта, если выявленное несоответствие не препятствует приемке этого Товара и устранено Поставщиком.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1"/>
          <w:numId w:val="9"/>
        </w:numPr>
        <w:contextualSpacing/>
        <w:ind w:left="0" w:firstLine="710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Стороны обязаны подписать итоговый акт сверки взаиморасчетов по Контракту не позднее 25 (двадцать пятого) числа месяца, следующего за последним месяцем, в котором осуществлялась поставка Товара.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23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0"/>
        <w:numPr>
          <w:ilvl w:val="0"/>
          <w:numId w:val="9"/>
        </w:numPr>
        <w:ind w:left="0" w:firstLine="0"/>
        <w:jc w:val="center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Взаимодействие Сторон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1"/>
          <w:numId w:val="9"/>
        </w:numPr>
        <w:contextualSpacing/>
        <w:ind w:left="0" w:firstLine="567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Поставщик обязан: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2"/>
          <w:numId w:val="9"/>
        </w:numPr>
        <w:contextualSpacing/>
        <w:ind w:left="0" w:firstLine="567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Поставить Товар в порядке, количестве, в срок и на условиях, предусмотренных Контрактом Техническим заданием и Спецификацией.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2"/>
          <w:numId w:val="9"/>
        </w:numPr>
        <w:contextualSpacing/>
        <w:ind w:left="0" w:firstLine="567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срок не более 3 (трех) рабочих дней с даты заключения Контракта, изготовить, оформить и передать Заказчику по адресу г. Нижний Новгород, ул. Малая Ямская, 78А, пом. П 5. Топливные карты, отвечающие требованиям раздела 6 Технического задания</w:t>
      </w:r>
      <w:r>
        <w:rPr>
          <w:rFonts w:ascii="Times New Roman" w:hAnsi="Times New Roman"/>
          <w:sz w:val="24"/>
          <w:szCs w:val="24"/>
        </w:rPr>
        <w:t xml:space="preserve"> по акту приема-передачи Топливных карт (Приложение № 2 к Техническому заданию), содержащий перечень, передаваемых Топливных карт на Товар в следующем количестве: ориентировочное количество - 1 шт., количество карт может быть изменено по заявке Заказчика.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2"/>
          <w:numId w:val="9"/>
        </w:numPr>
        <w:contextualSpacing/>
        <w:ind w:left="0" w:firstLine="567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Поставщик предоставляет Заказчику по форме Приложения № 1 к Техническому заданию </w:t>
      </w:r>
      <w:r>
        <w:rPr>
          <w:rFonts w:ascii="Times New Roman" w:hAnsi="Times New Roman"/>
          <w:sz w:val="24"/>
          <w:szCs w:val="24"/>
        </w:rPr>
        <w:t xml:space="preserve"> перечень АЗС (собственных и (или) сторонних) в соответствии с требованиями раздела 5 Технического задания на которых обслуживаются Топливные карты, выданные Поставщиком.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2"/>
          <w:numId w:val="9"/>
        </w:numPr>
        <w:contextualSpacing/>
        <w:ind w:left="0" w:firstLine="567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Обеспечить соответствие поставляемог</w:t>
      </w:r>
      <w:r>
        <w:rPr>
          <w:rFonts w:ascii="Times New Roman" w:hAnsi="Times New Roman"/>
          <w:sz w:val="24"/>
          <w:szCs w:val="24"/>
        </w:rPr>
        <w:t xml:space="preserve">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2"/>
          <w:numId w:val="9"/>
        </w:numPr>
        <w:contextualSpacing/>
        <w:ind w:left="0" w:firstLine="567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Своими силами и за свой счет устранять допущенные недостатки по поставке Товара или осуществить его соответствующую замену в порядке и на условиях, предусмотренных Контрактом, Техническим заданием и Спецификацией.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2"/>
          <w:numId w:val="9"/>
        </w:numPr>
        <w:contextualSpacing/>
        <w:ind w:left="0" w:firstLine="567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2"/>
          <w:numId w:val="9"/>
        </w:numPr>
        <w:contextualSpacing/>
        <w:ind w:left="0" w:firstLine="567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невозможности поставки Товара по причинам, не зависящим от Поставщика, письменно, с указанием причин невозможности поставки Товара, уведомить об этом Заказчика в течение 1 (одного) рабочего дня с момента выявления невозможности поставки Товара.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7"/>
        <w:numPr>
          <w:ilvl w:val="2"/>
          <w:numId w:val="9"/>
        </w:numPr>
        <w:ind w:left="0" w:firstLine="567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изменения б</w:t>
      </w:r>
      <w:r>
        <w:rPr>
          <w:rFonts w:ascii="Times New Roman" w:hAnsi="Times New Roman" w:cs="Times New Roman"/>
          <w:sz w:val="24"/>
          <w:szCs w:val="24"/>
        </w:rPr>
        <w:t xml:space="preserve">анковских или иных реквизитов Поставщиком в течение 3 (трех) рабочих дней письменно известить Заказчика, в противном случае все риски, связанные с перечислением Заказчиком денежных средств на указанный в настоящем Контракте расчетный счет, несет Поставщик.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7"/>
        <w:numPr>
          <w:ilvl w:val="2"/>
          <w:numId w:val="9"/>
        </w:numPr>
        <w:ind w:left="0" w:firstLine="567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Нести установленную действующим з</w:t>
      </w:r>
      <w:r>
        <w:rPr>
          <w:rFonts w:ascii="Times New Roman" w:hAnsi="Times New Roman"/>
          <w:sz w:val="24"/>
          <w:szCs w:val="24"/>
        </w:rPr>
        <w:t xml:space="preserve">аконодательством РФ гражданско-правовую ответственность, в том числе уплачивать неустойку (штраф, пени), предусмотренную Контрактом, а также убытки, понесенные Заказчиком в связи с неисполнением или ненадлежащим исполнением своих обязательств по Контракту.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1"/>
          <w:numId w:val="9"/>
        </w:numPr>
        <w:contextualSpacing/>
        <w:ind w:left="0" w:firstLine="567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Поставщик вправе: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2"/>
          <w:numId w:val="9"/>
        </w:numPr>
        <w:contextualSpacing/>
        <w:ind w:left="0" w:firstLine="567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Требовать от Заказчика произвести приемку Товара в порядке и в сроки, предусмотренные Контрактом.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2"/>
          <w:numId w:val="9"/>
        </w:numPr>
        <w:contextualSpacing/>
        <w:ind w:left="0" w:firstLine="567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Требовать своевременной оплаты на условиях, установленных Контрактом, надлежащим образом поставленного и принятого Заказчиком Товара.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2"/>
          <w:numId w:val="9"/>
        </w:numPr>
        <w:contextualSpacing/>
        <w:ind w:left="0" w:firstLine="567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Принять решение об одностороннем отказе от исполнения Контракта в соответствии с гражданским законодательством.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2"/>
          <w:numId w:val="9"/>
        </w:numPr>
        <w:contextualSpacing/>
        <w:ind w:left="0" w:firstLine="567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Требовать возмещения убытков, уплаты неустоек (штрафов, пеней) в соответствии с разделом 6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2"/>
          <w:numId w:val="9"/>
        </w:numPr>
        <w:contextualSpacing/>
        <w:ind w:left="0" w:firstLine="567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Привлекать к исполнению настоящего контракта соисполнителей. В отношении соисполнителей Поставщик в</w:t>
      </w:r>
      <w:r>
        <w:rPr>
          <w:rFonts w:ascii="Times New Roman" w:hAnsi="Times New Roman"/>
          <w:sz w:val="24"/>
          <w:szCs w:val="24"/>
        </w:rPr>
        <w:t xml:space="preserve">ыполняет функции заказчика. При этом условия настоящего контракта подлежат включению Поставщиком в контракты с соисполнителями. Невыполнение соисполнителем обязательств перед Поставщиком не освобождает Поставщика от выполнения условий настоящего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2"/>
          <w:numId w:val="9"/>
        </w:numPr>
        <w:contextualSpacing/>
        <w:ind w:left="0" w:firstLine="567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</w:t>
      </w:r>
      <w:r>
        <w:rPr>
          <w:rFonts w:ascii="Times New Roman" w:hAnsi="Times New Roman"/>
          <w:sz w:val="24"/>
          <w:szCs w:val="24"/>
        </w:rPr>
        <w:t xml:space="preserve">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частью 6 статьи 14 Федерального закона № 44-ФЗ).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1"/>
          <w:numId w:val="9"/>
        </w:numPr>
        <w:contextualSpacing/>
        <w:ind w:left="0" w:firstLine="567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Заказчик обязуется: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2"/>
          <w:numId w:val="9"/>
        </w:numPr>
        <w:contextualSpacing/>
        <w:ind w:left="0" w:firstLine="567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Обеспечить своевременную приемку и оплату поставленного Товара надлежащего качества в порядке и сроки, предусмотренных Контрактом, Техническим заданием и Спецификацией.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2"/>
          <w:numId w:val="9"/>
        </w:numPr>
        <w:contextualSpacing/>
        <w:ind w:left="0" w:firstLine="567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не соответствуют установленным извещением об осуществл</w:t>
      </w:r>
      <w:r>
        <w:rPr>
          <w:rFonts w:ascii="Times New Roman" w:hAnsi="Times New Roman"/>
          <w:sz w:val="24"/>
          <w:szCs w:val="24"/>
        </w:rPr>
        <w:t xml:space="preserve">ении закупки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2"/>
          <w:numId w:val="9"/>
        </w:numPr>
        <w:contextualSpacing/>
        <w:ind w:left="0" w:firstLine="567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Требовать уплаты неустоек (штрафов, пеней) в соответствии с разделом 6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2"/>
          <w:numId w:val="9"/>
        </w:numPr>
        <w:contextualSpacing/>
        <w:ind w:left="0" w:firstLine="567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Провести экспертизу поставленного Товара для проверки его соответствия условиям Контракта в соответствии с Федеральным законом № 44-ФЗ.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2"/>
          <w:numId w:val="9"/>
        </w:numPr>
        <w:contextualSpacing/>
        <w:ind w:left="0" w:firstLine="567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изменения банковских или иных реквизитов Заказчика в течение 3 (Трех) рабочих дней письменно известить Поставщика.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1"/>
          <w:numId w:val="9"/>
        </w:numPr>
        <w:contextualSpacing/>
        <w:ind w:left="0" w:firstLine="567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Заказчик вправе</w:t>
      </w:r>
      <w:r>
        <w:rPr>
          <w:rFonts w:ascii="Times New Roman" w:hAnsi="Times New Roman"/>
          <w:b/>
          <w:sz w:val="24"/>
          <w:szCs w:val="24"/>
        </w:rPr>
        <w:t xml:space="preserve">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2"/>
          <w:numId w:val="9"/>
        </w:numPr>
        <w:contextualSpacing/>
        <w:ind w:left="0" w:firstLine="567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Требовать от Поставщика надлежащего исполнения обязательств по Контракту.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2"/>
          <w:numId w:val="9"/>
        </w:numPr>
        <w:contextualSpacing/>
        <w:ind w:left="0" w:firstLine="567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Требовать от Поставщика своевременного устранения недостатков, выявленных как в ходе приемки, так и в период исполнения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2"/>
          <w:numId w:val="9"/>
        </w:numPr>
        <w:contextualSpacing/>
        <w:ind w:left="0" w:firstLine="567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Проверять ход и качество выполнения Поставщиком условий Контракт без вмешательства в оперативно-хозяйственную деятельность Поставщика.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2"/>
          <w:numId w:val="9"/>
        </w:numPr>
        <w:contextualSpacing/>
        <w:ind w:left="0" w:firstLine="567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Требовать уплаты неустоек (штрафов, пеней)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2"/>
          <w:numId w:val="9"/>
        </w:numPr>
        <w:contextualSpacing/>
        <w:ind w:left="0" w:firstLine="567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Отказаться от приемки и оплаты Товара, не соответствующего условиям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2"/>
          <w:numId w:val="9"/>
        </w:numPr>
        <w:contextualSpacing/>
        <w:ind w:left="0" w:firstLine="567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Принять решение об одностороннем отказе от исполнения Контракта, если в ходе исполнения Контракта установлено, что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numPr>
          <w:ilvl w:val="0"/>
          <w:numId w:val="0"/>
        </w:numPr>
        <w:ind w:left="0" w:right="0" w:firstLine="0"/>
        <w:jc w:val="both"/>
        <w:spacing w:before="0" w:after="0"/>
      </w:pPr>
      <w:r/>
      <w:bookmarkStart w:id="1" w:name="Par0"/>
      <w:r/>
      <w:bookmarkEnd w:id="1"/>
      <w:r>
        <w:rPr>
          <w:rFonts w:ascii="Times New Roman" w:hAnsi="Times New Roman"/>
          <w:sz w:val="24"/>
          <w:szCs w:val="24"/>
        </w:rPr>
        <w:t xml:space="preserve">а) Поставщик и (или) поставляемый Товар перестали соответствовать установленным извещением об осуществлении закупки требованиям к участникам закупки (за исключением требования, предусмотренного </w:t>
      </w:r>
      <w:hyperlink r:id="rId11" w:tooltip="consultantplus://offline/ref=1F324A6B9D4CF96861688985C1355D793311377FAA1C8AD7E401C3AB6BCA30CEF478AE98C8EAB2B01240FCFFE18923BB4675A734F6E5F2DFO" w:history="1">
        <w:r>
          <w:rPr>
            <w:rFonts w:ascii="Times New Roman" w:hAnsi="Times New Roman"/>
            <w:sz w:val="24"/>
            <w:szCs w:val="24"/>
          </w:rPr>
          <w:t xml:space="preserve">ч. 1.1</w:t>
        </w:r>
      </w:hyperlink>
      <w:r>
        <w:rPr>
          <w:rFonts w:ascii="Times New Roman" w:hAnsi="Times New Roman"/>
          <w:sz w:val="24"/>
          <w:szCs w:val="24"/>
        </w:rPr>
        <w:t xml:space="preserve"> (при наличии такого требования) ст. 31 Федерального закона № 44-ФЗ и (или) поставляемому Товару;</w:t>
      </w:r>
      <w:r/>
    </w:p>
    <w:p>
      <w:pPr>
        <w:pStyle w:val="823"/>
        <w:numPr>
          <w:ilvl w:val="0"/>
          <w:numId w:val="0"/>
        </w:numPr>
        <w:ind w:left="0" w:right="0" w:firstLine="0"/>
        <w:jc w:val="both"/>
        <w:spacing w:before="0" w:after="0"/>
      </w:pPr>
      <w:r>
        <w:rPr>
          <w:rFonts w:ascii="Times New Roman" w:hAnsi="Times New Roman"/>
          <w:sz w:val="24"/>
          <w:szCs w:val="24"/>
        </w:rPr>
        <w:t xml:space="preserve">б) при определении поставщика Поставщик представил недостоверную информацию о своем соответствии и (или) соответствии поставляемого Товара требованиям, указанным в </w:t>
      </w:r>
      <w:hyperlink w:tooltip="#Par0" w:anchor="Par0" w:history="1">
        <w:r>
          <w:rPr>
            <w:rFonts w:ascii="Times New Roman" w:hAnsi="Times New Roman"/>
            <w:sz w:val="24"/>
            <w:szCs w:val="24"/>
          </w:rPr>
          <w:t xml:space="preserve">п. «а</w:t>
        </w:r>
      </w:hyperlink>
      <w:r>
        <w:rPr>
          <w:rFonts w:ascii="Times New Roman" w:hAnsi="Times New Roman"/>
          <w:sz w:val="24"/>
          <w:szCs w:val="24"/>
        </w:rPr>
        <w:t xml:space="preserve">» настоящего подпункта, что позволило ему стать победителем определения Поставщика.</w:t>
      </w:r>
      <w:r/>
    </w:p>
    <w:p>
      <w:pPr>
        <w:pStyle w:val="920"/>
        <w:numPr>
          <w:ilvl w:val="2"/>
          <w:numId w:val="9"/>
        </w:numPr>
        <w:contextualSpacing/>
        <w:ind w:left="0" w:firstLine="567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Осуществлять проведение экспертизы исполнения обязательств по Контракту, предусмотренной Федеральным законом № 44-ФЗ, своими силами или с привлечением экспертов, экспертных организаций.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0"/>
          <w:numId w:val="0"/>
        </w:numPr>
        <w:contextualSpacing/>
        <w:ind w:left="0" w:firstLine="0"/>
        <w:jc w:val="both"/>
        <w:spacing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20"/>
        <w:numPr>
          <w:ilvl w:val="0"/>
          <w:numId w:val="0"/>
        </w:numPr>
        <w:contextualSpacing/>
        <w:ind w:left="0" w:firstLine="0"/>
        <w:jc w:val="both"/>
        <w:spacing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20"/>
        <w:numPr>
          <w:ilvl w:val="0"/>
          <w:numId w:val="0"/>
        </w:numPr>
        <w:contextualSpacing/>
        <w:ind w:left="0" w:firstLine="0"/>
        <w:jc w:val="both"/>
        <w:spacing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23"/>
        <w:jc w:val="center"/>
        <w:spacing w:before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Качество Товара, гарантийные обязательства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ind w:firstLine="567"/>
        <w:jc w:val="both"/>
        <w:spacing w:before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</w:t>
        <w:tab/>
        <w:t xml:space="preserve">Поставщик гарантирует, что поставляемый по настоящему контракту Товар полностью соответствует требованиям ГОСТа и технического задания.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ind w:firstLine="540"/>
        <w:jc w:val="both"/>
        <w:spacing w:before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Гарантийные обязательства исполняются Поставщиком и распространяются на весь поставляемый Товар.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ind w:firstLine="540"/>
        <w:jc w:val="both"/>
        <w:spacing w:before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Поставщик предоставляет гарантии бесперебойной заправки на АЗС.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6"/>
        <w:ind w:firstLine="567"/>
        <w:jc w:val="both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5.4. Безопасность поставляемого Товара должна соответствовать стандартам и нормам безопасности, действующим в Российской Федерации на данный вид Товара.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ind w:firstLine="540"/>
        <w:jc w:val="both"/>
        <w:spacing w:before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Обеспечение гарантийных обязательств настоящим контрактом не предусмотрено.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23"/>
        <w:jc w:val="center"/>
        <w:spacing w:before="0"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6. Ответственность Сторон</w:t>
      </w:r>
      <w:r>
        <w:rPr>
          <w:rFonts w:ascii="Times New Roman" w:hAnsi="Times New Roman" w:cs="Times New Roman"/>
          <w:b/>
          <w:sz w:val="24"/>
          <w:szCs w:val="24"/>
          <w:lang w:val="en-US"/>
        </w:rPr>
      </w:r>
      <w:r>
        <w:rPr>
          <w:rFonts w:ascii="Times New Roman" w:hAnsi="Times New Roman" w:cs="Times New Roman"/>
          <w:b/>
          <w:sz w:val="24"/>
          <w:szCs w:val="24"/>
          <w:lang w:val="en-US"/>
        </w:rPr>
      </w:r>
    </w:p>
    <w:p>
      <w:pPr>
        <w:pStyle w:val="886"/>
        <w:ind w:left="0" w:right="0" w:firstLine="709"/>
        <w:spacing w:before="0" w:after="6"/>
        <w:tabs>
          <w:tab w:val="left" w:pos="540" w:leader="none"/>
          <w:tab w:val="clear" w:pos="708" w:leader="none"/>
          <w:tab w:val="left" w:pos="2127" w:leader="none"/>
        </w:tabs>
      </w:pPr>
      <w:r>
        <w:rPr>
          <w:sz w:val="24"/>
          <w:szCs w:val="24"/>
        </w:rPr>
        <w:t xml:space="preserve">6.1. За качество поставленного товара Поставщик несет ответственность в соответствии с действующим законодательством Российской Федерации.</w:t>
      </w:r>
      <w:r/>
    </w:p>
    <w:p>
      <w:pPr>
        <w:pStyle w:val="823"/>
        <w:ind w:left="0" w:right="0" w:firstLine="709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6.2.В случае просрочки исполнения Поставщиком обязательств (в том числе</w:t>
      </w:r>
      <w:r>
        <w:rPr>
          <w:rFonts w:ascii="Times New Roman" w:hAnsi="Times New Roman"/>
          <w:sz w:val="24"/>
          <w:szCs w:val="24"/>
        </w:rPr>
        <w:t xml:space="preserve">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Исполнителю требование об уплате неустоек (штрафов, пеней).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ind w:left="0" w:right="0" w:firstLine="709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6.3. За каждый факт неисполнения или ненадлежащего исполнения Поставщиком обязате</w:t>
      </w:r>
      <w:r>
        <w:rPr>
          <w:rFonts w:ascii="Times New Roman" w:hAnsi="Times New Roman"/>
          <w:sz w:val="24"/>
          <w:szCs w:val="24"/>
        </w:rPr>
        <w:t xml:space="preserve">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взыскивается штраф в размере 10 процентов от цены Контракта, определенном согласно постановлению Прави</w:t>
      </w:r>
      <w:r>
        <w:rPr>
          <w:rFonts w:ascii="Times New Roman" w:hAnsi="Times New Roman"/>
          <w:sz w:val="24"/>
          <w:szCs w:val="24"/>
        </w:rPr>
        <w:t xml:space="preserve">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</w:t>
      </w:r>
      <w:r>
        <w:rPr>
          <w:rFonts w:ascii="Times New Roman" w:hAnsi="Times New Roman"/>
          <w:sz w:val="24"/>
          <w:szCs w:val="24"/>
        </w:rPr>
        <w:t xml:space="preserve">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</w:t>
      </w:r>
      <w:r>
        <w:rPr>
          <w:rFonts w:ascii="Times New Roman" w:hAnsi="Times New Roman"/>
          <w:sz w:val="24"/>
          <w:szCs w:val="24"/>
        </w:rPr>
        <w:t xml:space="preserve">мотренного Контрактом,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– Постановление № 1042).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ind w:left="0" w:right="0" w:firstLine="709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6.4</w:t>
      </w:r>
      <w:r>
        <w:rPr>
          <w:rFonts w:ascii="Times New Roman" w:hAnsi="Times New Roman"/>
          <w:i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 взыскивается штраф в размере 1000,0 рублей, определенном согласно Постановлению № 1042.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ind w:left="0" w:right="0" w:firstLine="709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взыскивается штраф в размере 1000 рублей, определенном согласно Постановлению № 1042.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ind w:left="0" w:right="0" w:firstLine="709"/>
        <w:jc w:val="both"/>
        <w:spacing w:before="0" w:after="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6.6. В случае просрочки исполнения Поставщиком обязательства, предусмотренного Контрактом, Поставщик оплачивает Заказчику пеню. Пеня начисляется за каждый день просрочки исполнения обя</w:t>
      </w:r>
      <w:r>
        <w:rPr>
          <w:rFonts w:ascii="Times New Roman" w:hAnsi="Times New Roman"/>
          <w:sz w:val="24"/>
          <w:szCs w:val="24"/>
        </w:rPr>
        <w:t xml:space="preserve">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</w:t>
      </w:r>
      <w:r>
        <w:rPr>
          <w:rFonts w:ascii="Times New Roman" w:hAnsi="Times New Roman"/>
          <w:sz w:val="24"/>
          <w:szCs w:val="24"/>
        </w:rPr>
        <w:t xml:space="preserve">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ind w:left="0" w:right="0" w:firstLine="709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6.7.В случае просрочки исполнения Заказчиком обязательств, предусмотренных Контрактом, а также в ин</w:t>
      </w:r>
      <w:r>
        <w:rPr>
          <w:rFonts w:ascii="Times New Roman" w:hAnsi="Times New Roman"/>
          <w:sz w:val="24"/>
          <w:szCs w:val="24"/>
        </w:rPr>
        <w:t xml:space="preserve">ых случаях неисполнения или ненадлежащего исполнения Заказчиком обязательств, предусмотренных Контрактом, Поставщик вправе требовать уплаты неустоек (штрафов, пеней). Пеня начисляется в размере одной трехсотой действующей на дату уплаты пеней ключевой став</w:t>
      </w:r>
      <w:r>
        <w:rPr>
          <w:rFonts w:ascii="Times New Roman" w:hAnsi="Times New Roman"/>
          <w:sz w:val="24"/>
          <w:szCs w:val="24"/>
        </w:rPr>
        <w:t xml:space="preserve">ки Центрального банка Российской Федерации от неуплаченной в срок суммы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ind w:left="0" w:right="0" w:firstLine="709"/>
        <w:jc w:val="both"/>
        <w:spacing w:before="0" w:after="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6.8. Ответственность Сторон в иных случаях определяется в соответствии с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ind w:left="0" w:right="0" w:firstLine="709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6.9. Уплата штрафа, пени не освобождает Стороны от необходимости исполнения обязательств или устранения нарушений.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ind w:left="0" w:right="0" w:firstLine="709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ind w:left="0" w:right="0" w:firstLine="709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6.11.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ind w:left="0" w:right="0" w:firstLine="709"/>
        <w:jc w:val="both"/>
        <w:spacing w:before="0" w:after="0"/>
        <w:widowControl w:val="off"/>
        <w:tabs>
          <w:tab w:val="clear" w:pos="708" w:leader="none"/>
          <w:tab w:val="left" w:pos="143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6.12.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ind w:left="0" w:right="0" w:firstLine="709"/>
        <w:jc w:val="both"/>
        <w:widowControl w:val="off"/>
        <w:tabs>
          <w:tab w:val="clear" w:pos="708" w:leader="none"/>
          <w:tab w:val="left" w:pos="143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6.13. В случае если законо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дательством Российской Федерации установлен иной порядок начисления штрафа, чем порядок, предусмотренный настоящим Контрактом, размер такого штрафа и порядок его начисления устанавливается Контрактом в соответствии с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0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7. </w:t>
      </w:r>
      <w:r>
        <w:rPr>
          <w:rFonts w:ascii="Times New Roman" w:hAnsi="Times New Roman"/>
          <w:b/>
          <w:sz w:val="24"/>
          <w:szCs w:val="24"/>
        </w:rPr>
        <w:t xml:space="preserve">Обеспечение гарантийных обязательств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contextualSpacing/>
        <w:ind w:left="0" w:firstLine="709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7.1. Обеспечение гарантийных не устанавливается.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numPr>
          <w:ilvl w:val="0"/>
          <w:numId w:val="0"/>
        </w:numPr>
        <w:contextualSpacing/>
        <w:ind w:left="0" w:firstLine="0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8</w:t>
      </w:r>
      <w:r>
        <w:rPr>
          <w:rFonts w:ascii="Times New Roman" w:hAnsi="Times New Roman"/>
          <w:b/>
          <w:sz w:val="24"/>
          <w:szCs w:val="24"/>
        </w:rPr>
        <w:t xml:space="preserve">.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Обстоятельства непреодолимой силы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contextualSpacing/>
        <w:ind w:left="0" w:firstLine="709"/>
        <w:jc w:val="both"/>
        <w:spacing w:before="0" w:after="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 Стороны освобождаются от ответственности за полное или частичное неисполнение своих обязательств по Контракту, в случае если оно явилось следствием обстоятельств непреодолимой силы, а и</w:t>
      </w:r>
      <w:r>
        <w:rPr>
          <w:rFonts w:ascii="Times New Roman" w:hAnsi="Times New Roman"/>
          <w:sz w:val="24"/>
          <w:szCs w:val="24"/>
        </w:rPr>
        <w:t xml:space="preserve">менно наводнения, пожара, землетрясения, диверсии, военных действий, блокад, массовых заболеваний (эпидемий), препятствующих надлежащему исполнению обязательств по Контракту, а также других чрезвычайных обстоятельств, в том числе решения органа государстве</w:t>
      </w:r>
      <w:r>
        <w:rPr>
          <w:rFonts w:ascii="Times New Roman" w:hAnsi="Times New Roman"/>
          <w:sz w:val="24"/>
          <w:szCs w:val="24"/>
        </w:rPr>
        <w:t xml:space="preserve">нной власти, государственных органов, уполномоченных должностных лиц, которые возникли после заключения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contextualSpacing/>
        <w:ind w:left="0" w:firstLine="709"/>
        <w:jc w:val="both"/>
        <w:spacing w:before="0" w:after="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8.2. Сторона, подвергшаяся действию обстоятельств непреодолимой силы, не позднее 3 (трех) рабочих </w:t>
      </w:r>
      <w:r>
        <w:rPr>
          <w:rFonts w:ascii="Times New Roman" w:hAnsi="Times New Roman"/>
          <w:sz w:val="24"/>
          <w:szCs w:val="24"/>
        </w:rPr>
        <w:t xml:space="preserve">дней с момента их наступления обязана в письменной форме уведомить другую Сторону о возникновении, виде и возможной продолжительности действия указанных обстоятельств с приложением документов, удостоверяющих факт наступления указанных обстоятельств. Такие </w:t>
      </w:r>
      <w:r>
        <w:rPr>
          <w:rFonts w:ascii="Times New Roman" w:hAnsi="Times New Roman"/>
          <w:sz w:val="24"/>
          <w:szCs w:val="24"/>
        </w:rPr>
        <w:t xml:space="preserve">документы должны быть получены от компетентных органов территории, где данные обстоятельства имели место (в случае, если Исполнителем является нерезидент Российской Федерации — то Торгово-промышленной палатой страны, где данные обстоятельства имели место).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contextualSpacing/>
        <w:ind w:left="0" w:firstLine="567"/>
        <w:jc w:val="both"/>
        <w:spacing w:before="0" w:after="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8.3. В случае своевременного уведомления Стороной, подвергшейся действию обстоятельств</w:t>
      </w:r>
      <w:r>
        <w:rPr>
          <w:rFonts w:ascii="Times New Roman" w:hAnsi="Times New Roman"/>
          <w:sz w:val="24"/>
          <w:szCs w:val="24"/>
        </w:rPr>
        <w:t xml:space="preserve"> непреодолимой силы, другой Стороны о возникновении, виде и возможной продолжительности действия указанных обстоятельств с приложением документов, удостоверяющих факт наступления указанных обстоятельств, Стороны проводят переговоры о расторжении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contextualSpacing/>
        <w:ind w:left="0" w:firstLine="567"/>
        <w:jc w:val="both"/>
        <w:spacing w:before="0"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8.4. Если обстоятельства непреодо</w:t>
      </w:r>
      <w:r>
        <w:rPr>
          <w:rFonts w:ascii="Times New Roman" w:hAnsi="Times New Roman" w:cs="Times New Roman"/>
          <w:sz w:val="24"/>
          <w:szCs w:val="24"/>
        </w:rPr>
        <w:t xml:space="preserve">лимой силы будут действовать свыше 6 (шести) месяцев, то каждая из Сторон будет вправе требовать расторжения Контракта полностью или частично, и в таком случае ни одна из Сторон не будет иметь права требовать от другой Стороны возмещения возможных убытков.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jc w:val="both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9. </w:t>
      </w:r>
      <w:r>
        <w:rPr>
          <w:rFonts w:ascii="Times New Roman" w:hAnsi="Times New Roman"/>
          <w:b/>
          <w:sz w:val="24"/>
          <w:szCs w:val="24"/>
        </w:rPr>
        <w:t xml:space="preserve">Рассмотрение и разрешение споров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contextualSpacing/>
        <w:ind w:left="0" w:firstLine="709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contextualSpacing/>
        <w:ind w:left="0" w:firstLine="709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9.2. Срок рассмотрения претензии не может превышать 10 (десять) рабочих дней. Переписка Сторон осуществляется в соответствии с пунктом 6.16 Контракта.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contextualSpacing/>
        <w:ind w:left="0" w:firstLine="709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9.3. При неурегулировании Сторонами спора в досудебном порядке, спор разрешается в судебном порядке в Арбитражном суде Нижегородской области.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contextualSpacing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0"/>
        <w:ind w:left="357"/>
        <w:jc w:val="center"/>
        <w:keepNext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10. Срок действия и порядок расторжения Контракта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contextualSpacing/>
        <w:ind w:left="0" w:firstLine="709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auto"/>
        </w:rPr>
        <w:t xml:space="preserve">10.1. Контракт вступает в силу с момента его подписания обеими Сторонами и действует по </w:t>
      </w:r>
      <w:r>
        <w:rPr>
          <w:rFonts w:ascii="Times New Roman" w:hAnsi="Times New Roman"/>
          <w:b/>
          <w:bCs/>
          <w:sz w:val="24"/>
          <w:szCs w:val="24"/>
          <w:shd w:val="clear" w:color="auto" w:fill="auto"/>
        </w:rPr>
        <w:t xml:space="preserve">31.12</w:t>
      </w:r>
      <w:r>
        <w:rPr>
          <w:rFonts w:ascii="Times New Roman" w:hAnsi="Times New Roman"/>
          <w:b/>
          <w:bCs/>
          <w:sz w:val="24"/>
          <w:szCs w:val="24"/>
          <w:shd w:val="clear" w:color="auto" w:fill="auto"/>
        </w:rPr>
        <w:t xml:space="preserve">.2026. </w:t>
      </w:r>
      <w:r>
        <w:rPr>
          <w:rFonts w:ascii="Times New Roman" w:hAnsi="Times New Roman"/>
          <w:sz w:val="24"/>
          <w:szCs w:val="24"/>
          <w:shd w:val="clear" w:color="auto" w:fill="auto"/>
        </w:rPr>
        <w:t xml:space="preserve">О</w:t>
      </w:r>
      <w:r>
        <w:rPr>
          <w:rFonts w:ascii="Times New Roman" w:hAnsi="Times New Roman"/>
          <w:sz w:val="24"/>
          <w:szCs w:val="24"/>
        </w:rPr>
        <w:t xml:space="preserve">кончание срока действия Контракта не влечет прекращения неисполненных обязательств Сторон по Контракту.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contextualSpacing/>
        <w:ind w:left="0" w:firstLine="709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10.2. Расторжение Контра</w:t>
      </w:r>
      <w:r>
        <w:rPr>
          <w:rFonts w:ascii="Times New Roman" w:hAnsi="Times New Roman"/>
          <w:sz w:val="24"/>
          <w:szCs w:val="24"/>
        </w:rPr>
        <w:t xml:space="preserve">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статьей 95 Федерального закона № 44-ФЗ.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0"/>
        <w:ind w:left="48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11</w:t>
      </w:r>
      <w:r>
        <w:rPr>
          <w:rFonts w:ascii="Times New Roman" w:hAnsi="Times New Roman"/>
          <w:b/>
          <w:sz w:val="24"/>
          <w:szCs w:val="24"/>
        </w:rPr>
        <w:t xml:space="preserve">. Прочие положения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contextualSpacing/>
        <w:ind w:left="0" w:firstLine="709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11.1. Во всем, что не предусмотрено Контрактом, Стороны руководствуются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contextualSpacing/>
        <w:ind w:left="0" w:firstLine="709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11.2. В случае изменения у какой-либо из Сторон местонахождения, названия, а также в случае реорганизации она обязана в течение 10 (десяти) дней письменно известить об этом другую Сторону.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contextualSpacing/>
        <w:ind w:left="0" w:firstLine="709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11.3. Внесение изменений и дополнений, не противоречащих законодательству Российской</w:t>
      </w:r>
      <w:r>
        <w:rPr>
          <w:rFonts w:ascii="Times New Roman" w:hAnsi="Times New Roman"/>
          <w:sz w:val="24"/>
          <w:szCs w:val="24"/>
        </w:rPr>
        <w:t xml:space="preserve"> Федерации, в условия Контракта осуществляется путем заключения Сторонами дополнительных соглашений к Контракту, которые являются его неотъемлемой частью. Соглашение об изменении условий контракта заключается с использованием единой информационной системы.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contextualSpacing/>
        <w:ind w:left="0" w:firstLine="709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11.4. Изменение условий Контракта при его исполнении не допускается, за исключением случаев, предусмотренных статьей 95 Федерального закона № 44-ФЗ.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7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изменения банковских или иных реквизитов Сторон оформление дополнительного соглашения не требуется при условии надлежащего письменного уведомления в соответствии с пунктом 4.1.9. и пунктом 4.3.6.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ind w:firstLine="708"/>
        <w:jc w:val="both"/>
        <w:spacing w:before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11.5.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contextualSpacing/>
        <w:ind w:left="0" w:firstLine="0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ind w:left="0"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12. Антикоррупционная оговорка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ind w:firstLine="567"/>
        <w:jc w:val="both"/>
        <w:spacing w:before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12.1. Антикоррупционная оговорка отражает приверженность Сторон Контракта, их ответ</w:t>
      </w:r>
      <w:r>
        <w:rPr>
          <w:rFonts w:ascii="Times New Roman" w:hAnsi="Times New Roman" w:cs="Times New Roman"/>
          <w:sz w:val="24"/>
          <w:szCs w:val="24"/>
        </w:rPr>
        <w:t xml:space="preserve">ственных лиц, работников и посредников принципам открытого и честного исполнения Контракта, направлена на минимизацию рисков вовлечения указанных лиц в коррупционную деятельность, а также на поддержание деловой репутации Сторон Контракта на высоком уровне.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ind w:firstLine="567"/>
        <w:jc w:val="both"/>
        <w:spacing w:before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12.2. Стороны пришли к обоюдному согласию о необходимости подписания Антикоррупционной оговорки, Стороны подтверждают, что решение о подписании является добровольным и осознают смысл и последствия нарушения условий Антикоррупционной оговорки.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ind w:firstLine="567"/>
        <w:jc w:val="both"/>
        <w:spacing w:before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12.3. Стороны Контракта подтверждают, что ведут правомочную хозяйственную деятельность и имеют только законные источники финансирования.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ind w:firstLine="567"/>
        <w:jc w:val="both"/>
        <w:spacing w:before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12.4. Стороны Контракта обязуются </w:t>
      </w:r>
      <w:r>
        <w:rPr>
          <w:rFonts w:ascii="Times New Roman" w:hAnsi="Times New Roman" w:cs="Times New Roman"/>
          <w:sz w:val="24"/>
          <w:szCs w:val="24"/>
        </w:rPr>
        <w:t xml:space="preserve">соблюдать, а также обеспечивать соблюдение их ответственными лицами, работниками и посредниками, действующими по Контракту, Антикоррупционной оговорки, а также оказывать друг другу содействие в случае действительного или возможного нарушения ее требований.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ind w:firstLine="567"/>
        <w:jc w:val="both"/>
        <w:spacing w:before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12.5. Стороны Контракта, обязуются не совершать, а также обязуются обеспечивать, чтобы их ответственные лица, работники и посредники, не совершали прямо или косвенно следующих действий при исполнении Контракта: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ind w:firstLine="567"/>
        <w:jc w:val="both"/>
        <w:spacing w:before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12.5.1. Платить или предлагать уплатить денежные средства или предоставить иные ценности, безвозмездно выполнить работы (услуги) и т.д. публичным органам, должностным лицам, лицам, которые являетс</w:t>
      </w:r>
      <w:r>
        <w:rPr>
          <w:rFonts w:ascii="Times New Roman" w:hAnsi="Times New Roman" w:cs="Times New Roman"/>
          <w:sz w:val="24"/>
          <w:szCs w:val="24"/>
        </w:rPr>
        <w:t xml:space="preserve">я близким родственниками публичных органов и должностных лиц, либо лицам, иным образом, связанным с государством, в целях неправомерного получения преимуществ для Сторон Контракта, их ответственных лиц, работников или посредников, действующих по Контракту.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ind w:firstLine="567"/>
        <w:jc w:val="both"/>
        <w:spacing w:before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12.5.2. Платить или предлагать уплатить денежные средства или предоставить иные ценности, безвозмездно выполнить работы (услуги) и т</w:t>
      </w:r>
      <w:r>
        <w:rPr>
          <w:rFonts w:ascii="Times New Roman" w:hAnsi="Times New Roman" w:cs="Times New Roman"/>
          <w:sz w:val="24"/>
          <w:szCs w:val="24"/>
        </w:rPr>
        <w:t xml:space="preserve">.д. работникам другой Стороны, ее ответственным лицам,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т.д.).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ind w:firstLine="567"/>
        <w:jc w:val="both"/>
        <w:spacing w:before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12.5.3. Не совершать иных действий, нарушающих действующее антикоррупционное законодательство, включая коммерческий подкуп и иные противозаконные и неправомерные средства при исполнении Контракта.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ind w:firstLine="567"/>
        <w:jc w:val="both"/>
        <w:spacing w:before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12.6. В случае возникновения у Стороны Контракта подозрений, что произошл</w:t>
      </w:r>
      <w:r>
        <w:rPr>
          <w:rFonts w:ascii="Times New Roman" w:hAnsi="Times New Roman" w:cs="Times New Roman"/>
          <w:sz w:val="24"/>
          <w:szCs w:val="24"/>
        </w:rPr>
        <w:t xml:space="preserve">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Контракту до получения подтверждения от другой Стороны, что </w:t>
      </w:r>
      <w:r>
        <w:rPr>
          <w:rFonts w:ascii="Times New Roman" w:hAnsi="Times New Roman" w:cs="Times New Roman"/>
          <w:sz w:val="24"/>
          <w:szCs w:val="24"/>
        </w:rPr>
        <w:t xml:space="preserve">нарушение не произошло или не произойдет. Подтверждение должно быть направлено в течение 10 (десяти)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ind w:firstLine="567"/>
        <w:jc w:val="both"/>
        <w:spacing w:before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12.7. В случае наличия подтверждений (доказательств) нарушения одной Стороной Антикоррупционной оговорки другая Сторона имеет право расторгнуть Контракт в порядке, предусмотренном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contextualSpacing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0"/>
        <w:numPr>
          <w:ilvl w:val="0"/>
          <w:numId w:val="0"/>
        </w:numPr>
        <w:ind w:left="0" w:firstLine="567"/>
        <w:jc w:val="center"/>
        <w:keepNext/>
        <w:rPr>
          <w:rFonts w:ascii="Times New Roman" w:hAnsi="Times New Roman"/>
          <w:sz w:val="24"/>
          <w:szCs w:val="24"/>
        </w:rPr>
        <w:outlineLvl w:val="1"/>
      </w:pPr>
      <w:r>
        <w:rPr>
          <w:rFonts w:ascii="Times New Roman" w:hAnsi="Times New Roman"/>
          <w:b/>
          <w:sz w:val="24"/>
          <w:szCs w:val="24"/>
        </w:rPr>
        <w:t xml:space="preserve">13. Конфиденциальность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ind w:firstLine="567"/>
        <w:jc w:val="both"/>
        <w:spacing w:before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13.1. Для целей Контракта конфиденциальной информацией считается вся предоставляемая Сторонами друг другу юридическая, финансовая и иная информация, связанная с заключением и исполнением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ind w:firstLine="567"/>
        <w:jc w:val="both"/>
        <w:spacing w:before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13.2. Стороны по Контракту имеют право предоставлять доступ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ind w:firstLine="567"/>
        <w:jc w:val="both"/>
        <w:spacing w:before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конфиденциальной информации своим сотрудникам для выполнения ими своих трудовых обязанностей, связанных с исполнением Контракта, при условии соблюдения ее конфиденциальности.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ind w:firstLine="567"/>
        <w:jc w:val="both"/>
        <w:spacing w:before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13.3. Стороны обязуются, начиная с момента подписания и в течение 3 (трех) лет после прекращения действия Контракта, не передавать конфиденциальную информацию третьим </w:t>
      </w:r>
      <w:r>
        <w:rPr>
          <w:rFonts w:ascii="Times New Roman" w:hAnsi="Times New Roman" w:cs="Times New Roman"/>
          <w:sz w:val="24"/>
          <w:szCs w:val="24"/>
        </w:rPr>
        <w:t xml:space="preserve">лицам без письменного согласия другой Стороны, а также не публиковать или иным способом не разглашать полученные результаты без письменного согласия другой Стороны, кроме случаев, когда это требуется в соответствии с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ind w:firstLine="567"/>
        <w:jc w:val="both"/>
        <w:spacing w:before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13.4. В случае раскрытия (включая неумышленное) конфиденциальной информации Сторона, которая раск</w:t>
      </w:r>
      <w:r>
        <w:rPr>
          <w:rFonts w:ascii="Times New Roman" w:hAnsi="Times New Roman" w:cs="Times New Roman"/>
          <w:sz w:val="24"/>
          <w:szCs w:val="24"/>
        </w:rPr>
        <w:t xml:space="preserve">рыла информацию, обязана предпринять все возможные действия для устранения в максимально короткий период времени последствий такого раскрытия и возместить другой Стороне убытки (реальный ущерб), возникшие в результате раскрытия конфиденциальной информации.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ind w:firstLine="567"/>
        <w:jc w:val="both"/>
        <w:spacing w:before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13.5. Исполнитель до начала оказания Услуг обязан письменно подтвердить Заказчику при</w:t>
      </w:r>
      <w:r>
        <w:rPr>
          <w:rFonts w:ascii="Times New Roman" w:hAnsi="Times New Roman" w:cs="Times New Roman"/>
          <w:sz w:val="24"/>
          <w:szCs w:val="24"/>
        </w:rPr>
        <w:t xml:space="preserve">нятие его работниками, участвующими в оказании услуг, письменных обязательств об обеспечении сохранности и неразглашении информации ограниченного распространения, в том числе персональных данных, ставшей им известной в процессе оказания Услуг по Контракту.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contextualSpacing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0"/>
        <w:ind w:left="48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14</w:t>
      </w:r>
      <w:r>
        <w:rPr>
          <w:rFonts w:ascii="Times New Roman" w:hAnsi="Times New Roman"/>
          <w:b/>
          <w:sz w:val="24"/>
          <w:szCs w:val="24"/>
        </w:rPr>
        <w:t xml:space="preserve">. Перечень приложений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0"/>
        <w:contextualSpacing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14.1. Неотъемлемой частью Контракта является следующее приложение: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jc w:val="both"/>
        <w:spacing w:before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1 – Техническое задание;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2 – Спецификация.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23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0"/>
        <w:ind w:left="48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15.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Адреса и банковские реквизиты Сторон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10066" w:type="dxa"/>
        <w:tblInd w:w="-34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34"/>
        <w:gridCol w:w="4499"/>
        <w:gridCol w:w="387"/>
        <w:gridCol w:w="4905"/>
        <w:gridCol w:w="240"/>
      </w:tblGrid>
      <w:tr>
        <w:tblPrEx/>
        <w:trPr/>
        <w:tc>
          <w:tcPr>
            <w:tcW w:w="34" w:type="dxa"/>
            <w:textDirection w:val="lrTb"/>
            <w:noWrap w:val="false"/>
          </w:tcPr>
          <w:p>
            <w:pPr>
              <w:pStyle w:val="823"/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gridSpan w:val="2"/>
            <w:tcW w:w="4886" w:type="dxa"/>
            <w:textDirection w:val="lrTb"/>
            <w:noWrap w:val="false"/>
          </w:tcPr>
          <w:p>
            <w:pPr>
              <w:pStyle w:val="823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ЗАКАЗЧИК: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905" w:type="dxa"/>
            <w:textDirection w:val="lrTb"/>
            <w:noWrap w:val="false"/>
          </w:tcPr>
          <w:p>
            <w:pPr>
              <w:pStyle w:val="823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ПОСТАВЩИК: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0" w:type="dxa"/>
            <w:textDirection w:val="lrTb"/>
            <w:noWrap w:val="false"/>
          </w:tcPr>
          <w:p>
            <w:pPr>
              <w:pStyle w:val="823"/>
              <w:jc w:val="left"/>
              <w:spacing w:before="0" w:beforeAutospacing="0" w:after="160" w:afterAutospacing="0" w:line="259" w:lineRule="auto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34" w:type="dxa"/>
            <w:textDirection w:val="lrTb"/>
            <w:noWrap w:val="false"/>
          </w:tcPr>
          <w:p>
            <w:pPr>
              <w:pStyle w:val="823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4886" w:type="dxa"/>
            <w:vAlign w:val="center"/>
            <w:textDirection w:val="lrTb"/>
            <w:noWrap w:val="false"/>
          </w:tcPr>
          <w:p>
            <w:pPr>
              <w:pStyle w:val="823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государственной регистрации, кадастра и картографии по Нижегородской области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905" w:type="dxa"/>
            <w:vAlign w:val="center"/>
            <w:textDirection w:val="lrTb"/>
            <w:noWrap w:val="false"/>
          </w:tcPr>
          <w:p>
            <w:pPr>
              <w:pStyle w:val="823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0" w:type="dxa"/>
            <w:textDirection w:val="lrTb"/>
            <w:noWrap w:val="false"/>
          </w:tcPr>
          <w:p>
            <w:pPr>
              <w:pStyle w:val="823"/>
              <w:jc w:val="left"/>
              <w:spacing w:before="0" w:beforeAutospacing="0" w:after="160" w:afterAutospacing="0" w:line="259" w:lineRule="auto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628"/>
        </w:trPr>
        <w:tc>
          <w:tcPr>
            <w:tcW w:w="34" w:type="dxa"/>
            <w:textDirection w:val="lrTb"/>
            <w:noWrap w:val="false"/>
          </w:tcPr>
          <w:p>
            <w:pPr>
              <w:pStyle w:val="823"/>
              <w:spacing w:before="0" w:after="0" w:line="240" w:lineRule="auto"/>
              <w:shd w:val="clear" w:color="auto" w:fill="ffffff"/>
              <w:tabs>
                <w:tab w:val="clear" w:pos="708" w:leader="none"/>
                <w:tab w:val="left" w:pos="9355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4886" w:type="dxa"/>
            <w:textDirection w:val="lrTb"/>
            <w:noWrap w:val="false"/>
          </w:tcPr>
          <w:p>
            <w:pPr>
              <w:pStyle w:val="823"/>
              <w:spacing w:before="0" w:after="0" w:line="240" w:lineRule="auto"/>
              <w:shd w:val="clear" w:color="auto" w:fill="ffffff"/>
              <w:tabs>
                <w:tab w:val="clear" w:pos="708" w:leader="none"/>
                <w:tab w:val="left" w:pos="935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603950, г. Нижний Новгород, ул. Малая Ямская, д. 78А, пом.П5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905" w:type="dxa"/>
            <w:textDirection w:val="lrTb"/>
            <w:noWrap w:val="false"/>
          </w:tcPr>
          <w:p>
            <w:pPr>
              <w:pStyle w:val="823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0" w:type="dxa"/>
            <w:textDirection w:val="lrTb"/>
            <w:noWrap w:val="false"/>
          </w:tcPr>
          <w:p>
            <w:pPr>
              <w:pStyle w:val="823"/>
              <w:jc w:val="left"/>
              <w:spacing w:before="0" w:beforeAutospacing="0" w:after="160" w:afterAutospacing="0" w:line="259" w:lineRule="auto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34" w:type="dxa"/>
            <w:textDirection w:val="lrTb"/>
            <w:noWrap w:val="false"/>
          </w:tcPr>
          <w:p>
            <w:pPr>
              <w:pStyle w:val="823"/>
              <w:ind w:right="-5"/>
              <w:spacing w:before="0" w:after="0"/>
              <w:shd w:val="clear" w:color="auto" w:fill="ffffff"/>
              <w:tabs>
                <w:tab w:val="clear" w:pos="708" w:leader="none"/>
                <w:tab w:val="left" w:pos="9355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4886" w:type="dxa"/>
            <w:textDirection w:val="lrTb"/>
            <w:noWrap w:val="false"/>
          </w:tcPr>
          <w:p>
            <w:pPr>
              <w:pStyle w:val="823"/>
              <w:ind w:right="-5"/>
              <w:spacing w:before="0" w:after="0"/>
              <w:shd w:val="clear" w:color="auto" w:fill="ffffff"/>
              <w:tabs>
                <w:tab w:val="clear" w:pos="708" w:leader="none"/>
                <w:tab w:val="left" w:pos="935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603950, г. Нижний Новгород, ул. Малая Ямская, д. 78А, пом.П5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3"/>
              <w:ind w:right="-5"/>
              <w:spacing w:before="0" w:after="0"/>
              <w:shd w:val="clear" w:color="auto" w:fill="ffffff"/>
              <w:tabs>
                <w:tab w:val="clear" w:pos="708" w:leader="none"/>
                <w:tab w:val="left" w:pos="935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Банковские реквизиты: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3"/>
              <w:ind w:right="-5"/>
              <w:spacing w:before="0" w:after="0"/>
              <w:shd w:val="clear" w:color="auto" w:fill="ffffff"/>
              <w:tabs>
                <w:tab w:val="clear" w:pos="708" w:leader="none"/>
                <w:tab w:val="left" w:pos="935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5262133455 КПП 526201001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3"/>
              <w:ind w:right="-5"/>
              <w:spacing w:before="0" w:after="0"/>
              <w:shd w:val="clear" w:color="auto" w:fill="ffffff"/>
              <w:tabs>
                <w:tab w:val="clear" w:pos="708" w:leader="none"/>
                <w:tab w:val="left" w:pos="935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03211643000000013200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ОКЦ №1 ВВГУ Банка России//УФК по Нижегородской области, г.Нижний Новгород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3"/>
              <w:ind w:right="-5"/>
              <w:spacing w:before="0" w:after="0"/>
              <w:shd w:val="clear" w:color="auto" w:fill="ffffff"/>
              <w:tabs>
                <w:tab w:val="clear" w:pos="708" w:leader="none"/>
                <w:tab w:val="left" w:pos="935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40102810745370000024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3"/>
              <w:ind w:right="-5"/>
              <w:spacing w:before="0" w:after="0"/>
              <w:tabs>
                <w:tab w:val="clear" w:pos="708" w:leader="none"/>
                <w:tab w:val="left" w:pos="935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Л/с 03321W00770 в УФК по Нижегородской области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3"/>
              <w:ind w:right="-5"/>
              <w:spacing w:before="0" w:after="0"/>
              <w:shd w:val="clear" w:color="auto" w:fill="ffffff"/>
              <w:tabs>
                <w:tab w:val="clear" w:pos="708" w:leader="none"/>
                <w:tab w:val="left" w:pos="935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БИК 012202102 ОКПО 75675017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3"/>
              <w:ind w:right="-5"/>
              <w:spacing w:before="0" w:after="0"/>
              <w:shd w:val="clear" w:color="auto" w:fill="ffffff"/>
              <w:tabs>
                <w:tab w:val="clear" w:pos="708" w:leader="none"/>
                <w:tab w:val="left" w:pos="935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ОГРН 1045207492494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3"/>
              <w:ind w:right="-5"/>
              <w:spacing w:before="0" w:after="0"/>
              <w:tabs>
                <w:tab w:val="clear" w:pos="708" w:leader="none"/>
                <w:tab w:val="left" w:pos="935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Тел. 434-37-09 (бухгалтерия), 434-36-69 (договорной отдел)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3"/>
              <w:ind w:right="-5"/>
              <w:spacing w:before="0" w:after="0"/>
              <w:tabs>
                <w:tab w:val="clear" w:pos="708" w:leader="none"/>
                <w:tab w:val="left" w:pos="935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rosreestr52mto@mail.ru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905" w:type="dxa"/>
            <w:textDirection w:val="lrTb"/>
            <w:noWrap w:val="false"/>
          </w:tcPr>
          <w:p>
            <w:pPr>
              <w:pStyle w:val="823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______________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3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______________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3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Р/сч   ______________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3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К/сч  ______________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3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БИК ______________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3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ОКТМО _________________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3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40" w:type="dxa"/>
            <w:textDirection w:val="lrTb"/>
            <w:noWrap w:val="false"/>
          </w:tcPr>
          <w:p>
            <w:pPr>
              <w:pStyle w:val="823"/>
              <w:jc w:val="left"/>
              <w:spacing w:before="0" w:beforeAutospacing="0" w:after="160" w:afterAutospacing="0" w:line="259" w:lineRule="auto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03"/>
        </w:trPr>
        <w:tc>
          <w:tcPr>
            <w:gridSpan w:val="2"/>
            <w:tcW w:w="4533" w:type="dxa"/>
            <w:textDirection w:val="lrTb"/>
            <w:noWrap w:val="false"/>
          </w:tcPr>
          <w:p>
            <w:pPr>
              <w:pStyle w:val="823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ЗАКАЗЧИК: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87" w:type="dxa"/>
            <w:textDirection w:val="lrTb"/>
            <w:noWrap w:val="false"/>
          </w:tcPr>
          <w:p>
            <w:pPr>
              <w:pStyle w:val="823"/>
              <w:spacing w:before="0" w:after="1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gridSpan w:val="2"/>
            <w:tcW w:w="5145" w:type="dxa"/>
            <w:textDirection w:val="lrTb"/>
            <w:noWrap w:val="false"/>
          </w:tcPr>
          <w:p>
            <w:pPr>
              <w:pStyle w:val="823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ПОСТАВЩИК: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642"/>
        </w:trPr>
        <w:tc>
          <w:tcPr>
            <w:gridSpan w:val="2"/>
            <w:tcW w:w="4533" w:type="dxa"/>
            <w:textDirection w:val="lrTb"/>
            <w:noWrap w:val="false"/>
          </w:tcPr>
          <w:p>
            <w:pPr>
              <w:pStyle w:val="823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_____________._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___________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87" w:type="dxa"/>
            <w:textDirection w:val="lrTb"/>
            <w:noWrap w:val="false"/>
          </w:tcPr>
          <w:p>
            <w:pPr>
              <w:pStyle w:val="823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</w:r>
          </w:p>
        </w:tc>
        <w:tc>
          <w:tcPr>
            <w:gridSpan w:val="2"/>
            <w:tcW w:w="5145" w:type="dxa"/>
            <w:textDirection w:val="lrTb"/>
            <w:noWrap w:val="false"/>
          </w:tcPr>
          <w:p>
            <w:pPr>
              <w:pStyle w:val="823"/>
              <w:ind w:left="34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_____________._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___________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823"/>
        <w:jc w:val="right"/>
        <w:spacing w:before="0" w:after="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23"/>
        <w:jc w:val="right"/>
        <w:spacing w:before="0" w:after="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hd w:val="nil" w:color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23"/>
        <w:jc w:val="right"/>
        <w:spacing w:before="0" w:after="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23"/>
        <w:jc w:val="right"/>
        <w:spacing w:before="0" w:after="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1 к Государственному контракту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23"/>
        <w:jc w:val="right"/>
        <w:spacing w:before="0" w:after="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«___» ____________ 2026 г. № __________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ind w:firstLine="567"/>
        <w:jc w:val="center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23"/>
        <w:ind w:right="14"/>
        <w:jc w:val="center"/>
        <w:spacing w:before="0" w:after="0" w:line="240" w:lineRule="auto"/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ТЕХНИЧЕСКОЕ ЗАДАНИЕ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ind w:right="14"/>
        <w:jc w:val="center"/>
        <w:spacing w:before="0" w:after="0" w:line="240" w:lineRule="auto"/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на поставку дизельного топлива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ind w:right="14"/>
        <w:jc w:val="center"/>
        <w:spacing w:before="0" w:after="0" w:line="240" w:lineRule="auto"/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для нужд Управления Росреестра по Нижегородской области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ind w:firstLine="709"/>
        <w:spacing w:before="0" w:after="0"/>
        <w:widowControl w:val="off"/>
        <w:rPr>
          <w:rFonts w:ascii="Times New Roman" w:hAnsi="Times New Roman" w:cs="Times New Roman"/>
          <w:b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</w:r>
      <w:r>
        <w:rPr>
          <w:rFonts w:ascii="Times New Roman" w:hAnsi="Times New Roman" w:cs="Times New Roman"/>
          <w:b/>
          <w:spacing w:val="-6"/>
          <w:sz w:val="24"/>
          <w:szCs w:val="24"/>
        </w:rPr>
      </w:r>
      <w:r>
        <w:rPr>
          <w:rFonts w:ascii="Times New Roman" w:hAnsi="Times New Roman" w:cs="Times New Roman"/>
          <w:b/>
          <w:spacing w:val="-6"/>
          <w:sz w:val="24"/>
          <w:szCs w:val="24"/>
        </w:rPr>
      </w:r>
    </w:p>
    <w:p>
      <w:pPr>
        <w:pStyle w:val="823"/>
        <w:ind w:firstLine="709"/>
        <w:jc w:val="both"/>
        <w:spacing w:before="0"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Общие сведения.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Общие сведения.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1.1. Заказчик: </w:t>
      </w:r>
      <w:r>
        <w:rPr>
          <w:rFonts w:ascii="Times New Roman" w:hAnsi="Times New Roman" w:cs="Times New Roman"/>
          <w:bCs/>
          <w:sz w:val="24"/>
          <w:szCs w:val="24"/>
        </w:rPr>
        <w:t xml:space="preserve">Управление Федеральной службы</w:t>
      </w:r>
      <w:r>
        <w:rPr>
          <w:rFonts w:ascii="Times New Roman" w:hAnsi="Times New Roman" w:cs="Times New Roman"/>
          <w:bCs/>
          <w:sz w:val="24"/>
          <w:szCs w:val="24"/>
        </w:rPr>
        <w:t xml:space="preserve"> государственной регистрации, кадастра и картографии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 Нижегородской области (Управление </w:t>
      </w:r>
      <w:r>
        <w:rPr>
          <w:rFonts w:ascii="Times New Roman" w:hAnsi="Times New Roman" w:cs="Times New Roman"/>
          <w:bCs/>
          <w:sz w:val="24"/>
          <w:szCs w:val="24"/>
        </w:rPr>
        <w:t xml:space="preserve">Росреестра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 Нижегородской области)</w:t>
      </w:r>
      <w:r>
        <w:rPr>
          <w:rFonts w:ascii="Times New Roman" w:hAnsi="Times New Roman" w:cs="Times New Roman"/>
          <w:bCs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1.2. Основание осуществления закупки на поставку дизельного</w:t>
      </w:r>
      <w:r>
        <w:rPr>
          <w:rFonts w:ascii="Times New Roman" w:hAnsi="Times New Roman" w:cs="Times New Roman"/>
          <w:bCs/>
          <w:sz w:val="24"/>
          <w:szCs w:val="24"/>
        </w:rPr>
        <w:t xml:space="preserve"> топлива</w:t>
      </w:r>
      <w:r>
        <w:rPr>
          <w:rFonts w:ascii="Times New Roman" w:hAnsi="Times New Roman" w:cs="Times New Roman"/>
          <w:bCs/>
          <w:sz w:val="24"/>
          <w:szCs w:val="24"/>
        </w:rPr>
        <w:t xml:space="preserve">: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потребность Заказчика в заправке автотранспорта дизельным топливом (далее – Товар), с применением электронных топливных (пластиковых) карт (далее – Топливные карты).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1.3. Срок поставки Товара: 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numPr>
          <w:ilvl w:val="0"/>
          <w:numId w:val="10"/>
        </w:numPr>
        <w:ind w:left="0" w:firstLine="709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white"/>
          <w:lang w:val="en-US"/>
        </w:rPr>
        <w:t xml:space="preserve">C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момента заключения Контракта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по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30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.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11.202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6г.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либо до полной выборки Заказчиком максимального значения цены контракта, в зависимости от того, что наступит ранее.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0"/>
        <w:ind w:left="0"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Сведения об источниках финансирования: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num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источником финансирования является федеральный бюджет.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spacing w:after="0" w:line="240" w:lineRule="auto"/>
        <w:widowControl w:val="off"/>
        <w:rPr>
          <w:rFonts w:ascii="Times New Roman" w:hAnsi="Times New Roman" w:cs="Times New Roman"/>
          <w:b/>
          <w:sz w:val="24"/>
          <w:szCs w:val="24"/>
        </w:rPr>
        <w:outlineLvl w:val="0"/>
      </w:pPr>
      <w:r>
        <w:rPr>
          <w:rFonts w:ascii="Times New Roman" w:hAnsi="Times New Roman" w:cs="Times New Roman"/>
          <w:b/>
          <w:sz w:val="24"/>
          <w:szCs w:val="24"/>
        </w:rPr>
        <w:t xml:space="preserve">2. Цель поставки Товара.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  <w:outlineLvl w:val="1"/>
      </w:pPr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End w:id="0"/>
      <w:r>
        <w:rPr>
          <w:rFonts w:ascii="Times New Roman" w:hAnsi="Times New Roman" w:cs="Times New Roman"/>
          <w:bCs/>
          <w:iCs/>
          <w:sz w:val="24"/>
          <w:szCs w:val="24"/>
        </w:rPr>
        <w:t xml:space="preserve">2.1. </w:t>
      </w:r>
      <w:r>
        <w:rPr>
          <w:rFonts w:ascii="Times New Roman" w:hAnsi="Times New Roman" w:cs="Times New Roman"/>
          <w:sz w:val="24"/>
          <w:szCs w:val="24"/>
        </w:rPr>
        <w:t xml:space="preserve">Поставка Товара осуществляется с целью обеспечения деятельности Заказчика, в частности – эксплуатации автотранспортных средств в </w:t>
      </w:r>
      <w:r>
        <w:rPr>
          <w:rFonts w:ascii="Times New Roman" w:hAnsi="Times New Roman" w:cs="Times New Roman"/>
          <w:sz w:val="24"/>
          <w:szCs w:val="24"/>
        </w:rPr>
        <w:t xml:space="preserve">2026 годах.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spacing w:after="0"/>
        <w:widowControl w:val="off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Требования к поставляемому Товару.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bCs/>
          <w:sz w:val="24"/>
          <w:szCs w:val="24"/>
          <w:highlight w:val="none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3.1. Товар должен соответствовать </w:t>
      </w:r>
      <w:r>
        <w:rPr>
          <w:rFonts w:ascii="Times New Roman" w:hAnsi="Times New Roman" w:cs="Times New Roman"/>
          <w:sz w:val="24"/>
          <w:szCs w:val="24"/>
        </w:rPr>
        <w:t xml:space="preserve">требованиям, указанным в настоящем Техническом задании. </w:t>
      </w:r>
      <w:r>
        <w:rPr>
          <w:rFonts w:ascii="Times New Roman" w:hAnsi="Times New Roman" w:cs="Times New Roman"/>
          <w:sz w:val="24"/>
          <w:szCs w:val="24"/>
        </w:rPr>
        <w:t xml:space="preserve">Качество топлива  должно соответствовать Федеральному закону от 27.12.2002 № 184-ФЗ «О техническом регулировании», «Топливо моторное. Бензин неэтилированный», требованиям технического регламента «О требованиях к автомобильному и авиационному</w:t>
      </w:r>
      <w:r>
        <w:rPr>
          <w:rFonts w:ascii="Times New Roman" w:hAnsi="Times New Roman" w:cs="Times New Roman"/>
          <w:sz w:val="24"/>
          <w:szCs w:val="24"/>
        </w:rPr>
        <w:t xml:space="preserve"> бензину, дизельному и судо</w:t>
      </w:r>
      <w:r>
        <w:rPr>
          <w:rFonts w:ascii="Times New Roman" w:hAnsi="Times New Roman" w:cs="Times New Roman"/>
          <w:sz w:val="24"/>
          <w:szCs w:val="24"/>
        </w:rPr>
        <w:t xml:space="preserve">вому топливу, топливу для реактивных двигателей и топочному мазуту» (Решение Комиссии Таможенного союза от 18.10.2011 № 826  «О принятии технического регламента Таможенного союза «О требованиях к автомобильному и авиационному бензину, дизельному и судовому</w:t>
      </w:r>
      <w:r>
        <w:rPr>
          <w:rFonts w:ascii="Times New Roman" w:hAnsi="Times New Roman" w:cs="Times New Roman"/>
          <w:sz w:val="24"/>
          <w:szCs w:val="24"/>
        </w:rPr>
        <w:t xml:space="preserve"> топливу, топливу для реактивных двигателей и мазуту»  (вместе с «ТР ТС 013/2011. Технический регламент Таможенного союза. «О требованиях к автомобильному и авиационному бензину, дизельному и судовому топливу, топливу для реактивных двигателей и мазуту»), </w:t>
      </w:r>
      <w:r>
        <w:rPr>
          <w:rFonts w:ascii="Times New Roman" w:hAnsi="Times New Roman" w:cs="Times New Roman"/>
          <w:sz w:val="24"/>
          <w:szCs w:val="24"/>
        </w:rPr>
        <w:t xml:space="preserve">что должно подтверждаться сертификатами соответствия.</w:t>
      </w:r>
      <w:r>
        <w:rPr>
          <w:rFonts w:ascii="Times New Roman" w:hAnsi="Times New Roman" w:cs="Times New Roman"/>
          <w:bCs/>
          <w:sz w:val="24"/>
          <w:szCs w:val="24"/>
          <w:highlight w:val="none"/>
          <w14:ligatures w14:val="none"/>
        </w:rPr>
      </w:r>
      <w:r>
        <w:rPr>
          <w:rFonts w:ascii="Times New Roman" w:hAnsi="Times New Roman" w:cs="Times New Roman"/>
          <w:bCs/>
          <w:sz w:val="24"/>
          <w:szCs w:val="24"/>
          <w:highlight w:val="none"/>
          <w14:ligatures w14:val="non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/>
        </w:rPr>
        <w:t xml:space="preserve">Качество и безопасность поставляемого товара должны соответствовать  ГОСТ 32511-2013, </w:t>
      </w:r>
      <w:r>
        <w:rPr>
          <w:rFonts w:ascii="Times New Roman" w:hAnsi="Times New Roman"/>
        </w:rPr>
        <w:t xml:space="preserve">технического регламента Таможенного со</w:t>
      </w:r>
      <w:r>
        <w:rPr>
          <w:rFonts w:ascii="Times New Roman" w:hAnsi="Times New Roman"/>
        </w:rPr>
        <w:t xml:space="preserve">юза «О требованиях к автомобильному и авиационному бензину, дизельному и судовому топливу, топливу для реактивных двигателей и мазуту» (ТР ТС 013/2011), утвержденного Решением Комиссии Таможенного союза № 826 от 18.10.2011, ГОСТ Р 52368-2005 (ЕН 590:2009).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ind w:right="102"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  <w:t xml:space="preserve">4. Поставка Товара.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Поставка Товара осуществляется посредством выборки (самовывоза) товара Заказч</w:t>
      </w:r>
      <w:r>
        <w:rPr>
          <w:rFonts w:ascii="Times New Roman" w:hAnsi="Times New Roman" w:cs="Times New Roman"/>
          <w:sz w:val="24"/>
          <w:szCs w:val="24"/>
        </w:rPr>
        <w:t xml:space="preserve">иком (заправки автотранспортных средств Заказчика Товаром) по мере необходимости Заказчика по месту нахождения автозаправочных станций (АЗС), (собственных и (или) сторонних АЗС, на которых обслуживаются Топливные карты Поставщика), указанные в перечне АЗС </w:t>
      </w:r>
      <w:r>
        <w:rPr>
          <w:rFonts w:ascii="Times New Roman" w:hAnsi="Times New Roman" w:cs="Times New Roman"/>
          <w:sz w:val="24"/>
          <w:szCs w:val="24"/>
        </w:rPr>
        <w:t xml:space="preserve">(Приложение № 1 к настоящему техническому заданию).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Поставщик обеспечивает незамедлительный отпуск топлива Заказчику по его потребности в сети АЗС, принимающих Топливные карты Поставщика, с обязательным предоставлением держателю Топливной карты кассового или терминального чека.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Отпуск Товара по Топливным картам должен осуществляться 24 часа в сутки </w:t>
      </w:r>
      <w:r>
        <w:rPr>
          <w:rFonts w:ascii="Times New Roman" w:hAnsi="Times New Roman" w:cs="Times New Roman"/>
          <w:sz w:val="24"/>
          <w:szCs w:val="24"/>
        </w:rPr>
        <w:br/>
        <w:t xml:space="preserve">по всей сети АЗС Поставщика без ограничений по к</w:t>
      </w:r>
      <w:r>
        <w:rPr>
          <w:rFonts w:ascii="Times New Roman" w:hAnsi="Times New Roman" w:cs="Times New Roman"/>
          <w:sz w:val="24"/>
          <w:szCs w:val="24"/>
        </w:rPr>
        <w:t xml:space="preserve">оличеству Товара, но в пределах</w:t>
      </w:r>
      <w:r>
        <w:rPr>
          <w:rFonts w:ascii="Times New Roman" w:hAnsi="Times New Roman" w:cs="Times New Roman"/>
          <w:sz w:val="24"/>
          <w:szCs w:val="24"/>
        </w:rPr>
        <w:t xml:space="preserve"> лимитов, установленных Заказчиком и в пределах максимального значения цены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spacing w:after="0"/>
        <w:widowControl w:val="off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5. Требования к АЗС.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</w:r>
      <w:r>
        <w:rPr>
          <w:rFonts w:ascii="Times New Roman" w:hAnsi="Times New Roman" w:cs="Times New Roman"/>
          <w:b/>
          <w:color w:val="000000"/>
          <w:sz w:val="24"/>
          <w:szCs w:val="24"/>
        </w:rPr>
      </w:r>
    </w:p>
    <w:p>
      <w:pPr>
        <w:ind w:right="57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5.1. Поставщик должен обес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печить обязательное наличие АЗС, </w:t>
      </w:r>
      <w:r>
        <w:rPr>
          <w:rFonts w:ascii="Times New Roman" w:hAnsi="Times New Roman" w:cs="Times New Roman"/>
          <w:sz w:val="24"/>
          <w:szCs w:val="24"/>
        </w:rPr>
        <w:t xml:space="preserve">расположенных в городе Нижнем Новгороде и районах Нижегородской области, с обязательным наличие</w:t>
      </w:r>
      <w:r>
        <w:rPr>
          <w:rFonts w:ascii="Times New Roman" w:hAnsi="Times New Roman" w:cs="Times New Roman"/>
          <w:sz w:val="24"/>
          <w:szCs w:val="24"/>
        </w:rPr>
        <w:t xml:space="preserve">м</w:t>
      </w:r>
      <w:r>
        <w:rPr>
          <w:rFonts w:ascii="Times New Roman" w:hAnsi="Times New Roman" w:cs="Times New Roman"/>
          <w:sz w:val="24"/>
          <w:szCs w:val="24"/>
        </w:rPr>
        <w:t xml:space="preserve"> в районах Нижегородской области: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г. Нижний Новгород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г. Арзамас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г. Бор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г. Выкса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г. Дзержинск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г. Кулебаки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г. Навашино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г. Саров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г. Семенов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г. Чкаловск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г. Шахунья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Ардатовский</w:t>
      </w:r>
      <w:r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Арзамасский</w:t>
      </w:r>
      <w:r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Балахнинский</w:t>
      </w:r>
      <w:r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Богородской район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Большеболдинский</w:t>
      </w:r>
      <w:r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Большемурашкинский</w:t>
      </w:r>
      <w:r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Вадский</w:t>
      </w:r>
      <w:r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Вачский</w:t>
      </w:r>
      <w:r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Вознесенский район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Воротынский район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Воскресенский район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Гагинский</w:t>
      </w:r>
      <w:r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Городецкий район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Дальнеконстантиновский</w:t>
      </w:r>
      <w:r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Дивеевский</w:t>
      </w:r>
      <w:r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Княгининский</w:t>
      </w:r>
      <w:r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 xml:space="preserve"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Ковернинский</w:t>
      </w:r>
      <w:r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 xml:space="preserve"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Краснобаковский</w:t>
      </w:r>
      <w:r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Кстовский</w:t>
      </w:r>
      <w:r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Лукояновский</w:t>
      </w:r>
      <w:r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Лысковский</w:t>
      </w:r>
      <w:r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Павловский район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Первомайский район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Перевозский</w:t>
      </w:r>
      <w:r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Пильнинский</w:t>
      </w:r>
      <w:r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Починковский</w:t>
      </w:r>
      <w:r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Сергачский</w:t>
      </w:r>
      <w:r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Сеченовский</w:t>
      </w:r>
      <w:r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Сокольский</w:t>
      </w:r>
      <w:r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Тоншаевский</w:t>
      </w:r>
      <w:r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Уренский</w:t>
      </w:r>
      <w:r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Шатковский</w:t>
      </w:r>
      <w:r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Шарангский</w:t>
      </w:r>
      <w:r>
        <w:rPr>
          <w:rFonts w:ascii="Times New Roman" w:hAnsi="Times New Roman" w:cs="Times New Roman"/>
          <w:sz w:val="24"/>
          <w:szCs w:val="24"/>
        </w:rPr>
        <w:t xml:space="preserve"> район.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57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Поставщик </w:t>
      </w:r>
      <w:r>
        <w:rPr>
          <w:rFonts w:ascii="Times New Roman" w:hAnsi="Times New Roman" w:cs="Times New Roman"/>
          <w:sz w:val="24"/>
          <w:szCs w:val="24"/>
        </w:rPr>
        <w:t xml:space="preserve">к моменту</w:t>
      </w:r>
      <w:r>
        <w:rPr>
          <w:rFonts w:ascii="Times New Roman" w:hAnsi="Times New Roman" w:cs="Times New Roman"/>
          <w:sz w:val="24"/>
          <w:szCs w:val="24"/>
        </w:rPr>
        <w:t xml:space="preserve"> заключения Контракта предоставляет Заказчику </w:t>
      </w:r>
      <w:r>
        <w:rPr>
          <w:rFonts w:ascii="Times New Roman" w:hAnsi="Times New Roman" w:cs="Times New Roman"/>
          <w:sz w:val="24"/>
          <w:szCs w:val="24"/>
        </w:rPr>
        <w:t xml:space="preserve">по форме приложения № 1 к настоящему техническому заданию</w:t>
      </w:r>
      <w:r>
        <w:rPr>
          <w:rFonts w:ascii="Times New Roman" w:hAnsi="Times New Roman" w:cs="Times New Roman"/>
          <w:sz w:val="24"/>
          <w:szCs w:val="24"/>
        </w:rPr>
        <w:t xml:space="preserve"> перечень АЗС (собственных и (или) сторонних) в соответствии с требованиями настоящего раздела, на которых обслуживаются Топливные карты, выданные Поставщиком.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firstLine="709"/>
        <w:keepNext/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6. Требования к Топливным картам и сервисным службам.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</w:r>
      <w:r>
        <w:rPr>
          <w:rFonts w:ascii="Times New Roman" w:hAnsi="Times New Roman" w:cs="Times New Roman"/>
          <w:b/>
          <w:color w:val="000000"/>
          <w:sz w:val="24"/>
          <w:szCs w:val="24"/>
        </w:rPr>
      </w:r>
    </w:p>
    <w:p>
      <w:pPr>
        <w:ind w:right="57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877"/>
          <w:sz w:val="24"/>
          <w:szCs w:val="24"/>
          <w:lang w:eastAsia="ar-SA"/>
        </w:rPr>
        <w:t xml:space="preserve">6</w:t>
      </w:r>
      <w:r>
        <w:rPr>
          <w:rStyle w:val="877"/>
          <w:sz w:val="24"/>
          <w:szCs w:val="24"/>
          <w:lang w:eastAsia="ar-SA"/>
        </w:rPr>
        <w:t xml:space="preserve">.1. </w:t>
      </w:r>
      <w:r>
        <w:rPr>
          <w:rFonts w:ascii="Times New Roman" w:hAnsi="Times New Roman"/>
          <w:sz w:val="24"/>
          <w:szCs w:val="24"/>
        </w:rPr>
        <w:t xml:space="preserve">Поставщик в срок не более 3 (трех) рабочих дней с даты заключения Контракта</w:t>
      </w:r>
      <w:r>
        <w:rPr>
          <w:color w:val="000000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за свой счет изготавливает, оформляет и передает Заказчику Топливные карты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акту приема-передачи Топливных карт (приложение № 2 к настоящему техническому заданию, далее – Акт приема-передачи Топливных карт), содержащий перечень, передаваемых </w:t>
      </w:r>
      <w:r>
        <w:rPr>
          <w:rFonts w:ascii="Times New Roman" w:hAnsi="Times New Roman" w:cs="Times New Roman"/>
          <w:sz w:val="24"/>
          <w:szCs w:val="24"/>
        </w:rPr>
        <w:t xml:space="preserve">Топливных карт на Товар в следующем количестве: ориентировочное количество -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1</w:t>
      </w:r>
      <w:r>
        <w:rPr>
          <w:rFonts w:ascii="Times New Roman" w:hAnsi="Times New Roman" w:cs="Times New Roman"/>
          <w:sz w:val="24"/>
          <w:szCs w:val="24"/>
        </w:rPr>
        <w:t xml:space="preserve"> шт., количество карт может быть изменено по заявке Заказчика.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6.2. Доставка Топливных карт Заказчику производится за свой счет Поставщиком, по адресу: г. </w:t>
      </w:r>
      <w:r>
        <w:rPr>
          <w:rFonts w:ascii="Times New Roman" w:hAnsi="Times New Roman" w:cs="Times New Roman"/>
          <w:sz w:val="24"/>
          <w:szCs w:val="24"/>
        </w:rPr>
        <w:t xml:space="preserve">Нижний Новгород</w:t>
      </w:r>
      <w:r>
        <w:rPr>
          <w:rFonts w:ascii="Times New Roman" w:hAnsi="Times New Roman" w:cs="Times New Roman"/>
          <w:sz w:val="24"/>
          <w:szCs w:val="24"/>
        </w:rPr>
        <w:t xml:space="preserve">, ул. </w:t>
      </w:r>
      <w:r>
        <w:rPr>
          <w:rFonts w:ascii="Times New Roman" w:hAnsi="Times New Roman" w:cs="Times New Roman"/>
          <w:sz w:val="24"/>
          <w:szCs w:val="24"/>
        </w:rPr>
        <w:t xml:space="preserve">Малая Ямская, д.78А, пом. П5.</w:t>
      </w:r>
      <w:r>
        <w:rPr>
          <w:rFonts w:cs="Times New Roman"/>
        </w:rPr>
      </w:r>
      <w:r>
        <w:rPr>
          <w:rFonts w:cs="Times New Roman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Возврат Заказчиком Топливных карт Поставщику осуществляется по Акту приема-передачи Топливных карт – в течение 20 (Двадцати) дней с даты окончания срока поставки Товара, указанного в п. 1.3 Технического задания.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spacing w:after="0" w:line="240" w:lineRule="auto"/>
        <w:widowControl w:val="off"/>
      </w:pPr>
      <w:r>
        <w:rPr>
          <w:rFonts w:ascii="Times New Roman" w:hAnsi="Times New Roman"/>
          <w:sz w:val="24"/>
          <w:szCs w:val="24"/>
        </w:rPr>
        <w:t xml:space="preserve">6.4. За обслуживание Топливных карт абонентская плата не взимается.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6.5. Каждая Топливная карта должна иметь персональный идентификационный номер (</w:t>
      </w:r>
      <w:r>
        <w:rPr>
          <w:rFonts w:ascii="Times New Roman" w:hAnsi="Times New Roman"/>
          <w:sz w:val="24"/>
          <w:szCs w:val="24"/>
        </w:rPr>
        <w:t xml:space="preserve">пин</w:t>
      </w:r>
      <w:r>
        <w:rPr>
          <w:rFonts w:ascii="Times New Roman" w:hAnsi="Times New Roman"/>
          <w:sz w:val="24"/>
          <w:szCs w:val="24"/>
        </w:rPr>
        <w:t xml:space="preserve"> - код).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6.6. Поставщик обеспечивает возможность установки </w:t>
      </w:r>
      <w:r>
        <w:rPr>
          <w:rFonts w:ascii="Times New Roman" w:hAnsi="Times New Roman"/>
          <w:sz w:val="24"/>
          <w:szCs w:val="24"/>
        </w:rPr>
        <w:t xml:space="preserve">установленного </w:t>
      </w:r>
      <w:r>
        <w:rPr>
          <w:rFonts w:ascii="Times New Roman" w:hAnsi="Times New Roman"/>
          <w:sz w:val="24"/>
          <w:szCs w:val="24"/>
        </w:rPr>
        <w:t xml:space="preserve">лимита топлива на Топливной карте в литрах, превысить который невозможно.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ержателю Топливной карты разрешено заправиться конкретным видом топлива в пределах установленного лимита, вне зависимости от того, заправляется он каждый день или несколько раз в месяц.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6.7. При утере Топливной карты по обращению Заказчика Поставщик производит блокировку утерянной топливной карты не позднее 24 часов, а также выдает в течение 1 (Одного) рабочего дня новую Топливную карту на безвозмездной основе.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6.8. Поставщик обеспечивает работу круглосуточного телефона «горячей линии» поддержки клиентов, держателей топливных карт, предоставление услуги личный </w:t>
      </w:r>
      <w:r>
        <w:rPr>
          <w:rFonts w:ascii="Times New Roman" w:hAnsi="Times New Roman" w:cs="Times New Roman"/>
          <w:sz w:val="24"/>
          <w:szCs w:val="24"/>
        </w:rPr>
        <w:br/>
        <w:t xml:space="preserve">сервис – менеджер.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6.9. Поставщик должен вести учет отпущенного топлива путем составления базы данных с сохранением инфо</w:t>
      </w:r>
      <w:r>
        <w:rPr>
          <w:rFonts w:ascii="Times New Roman" w:hAnsi="Times New Roman" w:cs="Times New Roman"/>
          <w:sz w:val="24"/>
          <w:szCs w:val="24"/>
        </w:rPr>
        <w:t xml:space="preserve">рмации о датах, количестве и виде отпущенного топлива, подтверждать передачу топлива выдачей чека представителю Заказчика (водителю) и предоставлять Заказчику ежемесячные отчеты (в электронной форме) по заправке топлива по каждой Топливной карте Заказчика.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6.10. Поставщик обеспечивает возможность Заказчика самостоятельно на постоянной основе управлять, контролирова</w:t>
      </w:r>
      <w:r>
        <w:rPr>
          <w:rFonts w:ascii="Times New Roman" w:hAnsi="Times New Roman" w:cs="Times New Roman"/>
          <w:sz w:val="24"/>
          <w:szCs w:val="24"/>
        </w:rPr>
        <w:t xml:space="preserve">ть, получать информацию по Топливным картам в режиме «онлайн» (через сеть «Интернет», «личный кабинет», «электронная почта»), получать информацию об остатке суточного лимита по Топливной карте в режиме «онлайн» или на любой АЗС из перечня АЗС, получив чек.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6.11. Поставщик обеспечивает возможность Заказчика просматривать, распечатывать информацию о всех транзакциях, совершенных по каждой Топливной карте </w:t>
      </w:r>
      <w:r>
        <w:rPr>
          <w:rFonts w:ascii="Times New Roman" w:hAnsi="Times New Roman" w:cs="Times New Roman"/>
          <w:sz w:val="24"/>
          <w:szCs w:val="24"/>
        </w:rPr>
        <w:t xml:space="preserve">за определенные промежутки времени, которая должна включать дату и время операции, номер топливной карты, номер АЗС, адрес АЗС, вид топлива, количество отпущенного топлива (в литрах), цену Товара за единицу, общую стоимость Товара.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57" w:firstLine="709"/>
        <w:jc w:val="both"/>
        <w:spacing w:after="0" w:line="240" w:lineRule="auto"/>
        <w:rPr>
          <w:rFonts w:asciiTheme="minorHAnsi" w:hAnsiTheme="minorHAnsi" w:cstheme="minorBidi"/>
        </w:rPr>
      </w:pPr>
      <w:r>
        <w:rPr>
          <w:rFonts w:ascii="Times New Roman" w:hAnsi="Times New Roman" w:cs="Times New Roman"/>
          <w:sz w:val="24"/>
          <w:szCs w:val="24"/>
        </w:rPr>
        <w:t xml:space="preserve">6.12. В срок не позднее 2 (двух) рабочих дней с даты заключения Контракта</w:t>
      </w:r>
      <w:r>
        <w:rPr>
          <w:rFonts w:ascii="Times New Roman" w:hAnsi="Times New Roman" w:cs="Times New Roman"/>
          <w:sz w:val="24"/>
          <w:szCs w:val="24"/>
        </w:rPr>
        <w:t xml:space="preserve"> Поставщик назначает и направляет Заказчику информацию об ответственном сотруднике за исполнение Контракта, а именно: фамилия, имя, отчество, адрес электронной почты и номер мобильного телефона для организации оперативного взаимодействия в рамках Контракта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Theme="minorHAnsi" w:hAnsiTheme="minorHAnsi" w:cstheme="minorBidi"/>
        </w:rPr>
      </w:r>
      <w:r>
        <w:rPr>
          <w:rFonts w:asciiTheme="minorHAnsi" w:hAnsiTheme="minorHAnsi" w:cstheme="minorBidi"/>
        </w:rPr>
      </w:r>
    </w:p>
    <w:p>
      <w:pPr>
        <w:pStyle w:val="928"/>
        <w:numPr>
          <w:ilvl w:val="0"/>
          <w:numId w:val="0"/>
        </w:num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.13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Поставщик </w:t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 моменту заключения государственного контракта предоставляет Заказчику сведения о номерах АЗС/заправочных пунктов, наименованиях районов города Нижнего Новго</w:t>
      </w:r>
      <w:r>
        <w:rPr>
          <w:rFonts w:ascii="Times New Roman" w:hAnsi="Times New Roman" w:cs="Times New Roman"/>
          <w:sz w:val="24"/>
          <w:szCs w:val="24"/>
        </w:rPr>
        <w:t xml:space="preserve">рода и Нижегородской области, где расположены данные АЗС/заправочные пункты, наименованиях населенных пунктов или наименованиях участков автомобильных трасс, номерах строений, служащих ориентиром для описания точного местоположения АЗС/заправочных пунктов.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0"/>
        <w:gridCol w:w="1276"/>
        <w:gridCol w:w="2356"/>
        <w:gridCol w:w="1602"/>
        <w:gridCol w:w="1602"/>
        <w:gridCol w:w="1602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3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Наименование товара, работы, услуги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Код позиции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95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Характеристики товара, работы, услуги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0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Единица измерения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0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Инструкция по заполнению характеристик в заявке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2"/>
                <w:szCs w:val="12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50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35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Наименование характеристики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Значение характеристики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02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02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350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Топливо дизельное (розничная реализация)</w:t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19.20.21.300-00000009</w:t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35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0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0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0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r>
          </w:p>
        </w:tc>
      </w:tr>
      <w:tr>
        <w:tblPrEx/>
        <w:trPr>
          <w:trHeight w:val="15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50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35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Сорт/класс топлива</w:t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0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Не ниже F</w:t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02" w:type="dxa"/>
            <w:vAlign w:val="center"/>
            <w:vMerge w:val="restart"/>
            <w:textDirection w:val="lrTb"/>
            <w:noWrap w:val="false"/>
          </w:tcPr>
          <w:p>
            <w:pPr>
              <w:pStyle w:val="823"/>
              <w:jc w:val="center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Литр; кубический дециметр (Л; ДМ3)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Участник закупки указывает в заявке конкретное значение характеристики</w:t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50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35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Тип топлива дизельного</w:t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0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Межсезонное</w:t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02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50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35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Экологический класс</w:t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0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Не ниже К5</w:t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02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Участник закупки указывает в заявке конкретное значение характеристики</w:t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r>
          </w:p>
        </w:tc>
      </w:tr>
    </w:tbl>
    <w:p>
      <w:pPr>
        <w:pStyle w:val="823"/>
        <w:spacing w:before="0" w:after="0"/>
        <w:widowControl w:val="off"/>
        <w:rPr>
          <w:rFonts w:ascii="Times New Roman" w:hAnsi="Times New Roman" w:cs="Times New Roman"/>
          <w:b/>
          <w:sz w:val="24"/>
          <w:szCs w:val="24"/>
        </w:rPr>
        <w:sectPr>
          <w:footnotePr/>
          <w:endnotePr/>
          <w:type w:val="nextPage"/>
          <w:pgSz w:w="11906" w:h="16838" w:orient="portrait"/>
          <w:pgMar w:top="1134" w:right="851" w:bottom="1134" w:left="1701" w:header="0" w:footer="0" w:gutter="0"/>
          <w:cols w:num="1" w:sep="0" w:space="1701" w:equalWidth="1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23"/>
        <w:spacing w:before="0" w:after="0"/>
        <w:widowControl w:val="off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23"/>
        <w:ind w:firstLine="709"/>
        <w:jc w:val="right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Приложение № 1 к Техническому заданию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spacing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823"/>
        <w:spacing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823"/>
        <w:jc w:val="center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Перечень АЗС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jc w:val="center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23"/>
        <w:jc w:val="center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W w:w="9634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42"/>
        <w:gridCol w:w="4106"/>
        <w:gridCol w:w="4686"/>
      </w:tblGrid>
      <w:tr>
        <w:tblPrEx/>
        <w:trPr/>
        <w:tc>
          <w:tcPr>
            <w:tcW w:w="842" w:type="dxa"/>
            <w:textDirection w:val="lrTb"/>
            <w:noWrap w:val="false"/>
          </w:tcPr>
          <w:p>
            <w:pPr>
              <w:pStyle w:val="823"/>
              <w:ind w:left="0" w:right="0" w:firstLine="0"/>
              <w:jc w:val="left"/>
              <w:keepLines w:val="0"/>
              <w:keepNext w:val="0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b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4"/>
                <w:szCs w:val="24"/>
                <w:u w:val="none"/>
                <w:vertAlign w:val="baseline"/>
                <w:lang w:val="ru-RU" w:eastAsia="en-US" w:bidi="ar-SA"/>
              </w:rPr>
              <w:t xml:space="preserve">№ </w:t>
            </w:r>
            <w:r>
              <w:rPr>
                <w:rFonts w:ascii="Times New Roman" w:hAnsi="Times New Roman" w:eastAsia="Calibri" w:cs="Times New Roman"/>
                <w:b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4"/>
                <w:szCs w:val="24"/>
                <w:u w:val="none"/>
                <w:vertAlign w:val="baseline"/>
                <w:lang w:val="ru-RU" w:eastAsia="en-US" w:bidi="ar-SA"/>
              </w:rPr>
              <w:t xml:space="preserve">п/п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106" w:type="dxa"/>
            <w:textDirection w:val="lrTb"/>
            <w:noWrap w:val="false"/>
          </w:tcPr>
          <w:p>
            <w:pPr>
              <w:pStyle w:val="823"/>
              <w:ind w:left="0" w:right="0" w:firstLine="0"/>
              <w:jc w:val="center"/>
              <w:keepLines w:val="0"/>
              <w:keepNext w:val="0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b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4"/>
                <w:szCs w:val="24"/>
                <w:u w:val="none"/>
                <w:vertAlign w:val="baseline"/>
                <w:lang w:val="ru-RU" w:eastAsia="en-US" w:bidi="ar-SA"/>
              </w:rPr>
              <w:t xml:space="preserve">Наименование/Бренд АЗС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686" w:type="dxa"/>
            <w:textDirection w:val="lrTb"/>
            <w:noWrap w:val="false"/>
          </w:tcPr>
          <w:p>
            <w:pPr>
              <w:pStyle w:val="823"/>
              <w:ind w:left="0" w:right="0" w:firstLine="0"/>
              <w:jc w:val="center"/>
              <w:keepLines w:val="0"/>
              <w:keepNext w:val="0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b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4"/>
                <w:szCs w:val="24"/>
                <w:u w:val="none"/>
                <w:vertAlign w:val="baseline"/>
                <w:lang w:val="ru-RU" w:eastAsia="en-US" w:bidi="ar-SA"/>
              </w:rPr>
              <w:t xml:space="preserve">Адрес АЗС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42" w:type="dxa"/>
            <w:textDirection w:val="lrTb"/>
            <w:noWrap w:val="false"/>
          </w:tcPr>
          <w:p>
            <w:pPr>
              <w:pStyle w:val="823"/>
              <w:ind w:left="0" w:right="0" w:firstLine="0"/>
              <w:jc w:val="center"/>
              <w:keepLines w:val="0"/>
              <w:keepNext w:val="0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106" w:type="dxa"/>
            <w:textDirection w:val="lrTb"/>
            <w:noWrap w:val="false"/>
          </w:tcPr>
          <w:p>
            <w:pPr>
              <w:pStyle w:val="823"/>
              <w:ind w:left="0" w:right="0" w:firstLine="0"/>
              <w:jc w:val="center"/>
              <w:keepLines w:val="0"/>
              <w:keepNext w:val="0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686" w:type="dxa"/>
            <w:textDirection w:val="lrTb"/>
            <w:noWrap w:val="false"/>
          </w:tcPr>
          <w:p>
            <w:pPr>
              <w:pStyle w:val="823"/>
              <w:ind w:left="0" w:right="0" w:firstLine="0"/>
              <w:jc w:val="center"/>
              <w:keepLines w:val="0"/>
              <w:keepNext w:val="0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42" w:type="dxa"/>
            <w:textDirection w:val="lrTb"/>
            <w:noWrap w:val="false"/>
          </w:tcPr>
          <w:p>
            <w:pPr>
              <w:pStyle w:val="823"/>
              <w:ind w:left="0" w:right="0" w:firstLine="0"/>
              <w:jc w:val="center"/>
              <w:keepLines w:val="0"/>
              <w:keepNext w:val="0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106" w:type="dxa"/>
            <w:textDirection w:val="lrTb"/>
            <w:noWrap w:val="false"/>
          </w:tcPr>
          <w:p>
            <w:pPr>
              <w:pStyle w:val="823"/>
              <w:ind w:left="0" w:right="0" w:firstLine="0"/>
              <w:jc w:val="center"/>
              <w:keepLines w:val="0"/>
              <w:keepNext w:val="0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686" w:type="dxa"/>
            <w:textDirection w:val="lrTb"/>
            <w:noWrap w:val="false"/>
          </w:tcPr>
          <w:p>
            <w:pPr>
              <w:pStyle w:val="823"/>
              <w:ind w:left="0" w:right="0" w:firstLine="0"/>
              <w:jc w:val="center"/>
              <w:keepLines w:val="0"/>
              <w:keepNext w:val="0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42" w:type="dxa"/>
            <w:textDirection w:val="lrTb"/>
            <w:noWrap w:val="false"/>
          </w:tcPr>
          <w:p>
            <w:pPr>
              <w:pStyle w:val="823"/>
              <w:ind w:left="0" w:right="0" w:firstLine="0"/>
              <w:jc w:val="center"/>
              <w:keepLines w:val="0"/>
              <w:keepNext w:val="0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106" w:type="dxa"/>
            <w:textDirection w:val="lrTb"/>
            <w:noWrap w:val="false"/>
          </w:tcPr>
          <w:p>
            <w:pPr>
              <w:pStyle w:val="823"/>
              <w:ind w:left="0" w:right="0" w:firstLine="0"/>
              <w:jc w:val="center"/>
              <w:keepLines w:val="0"/>
              <w:keepNext w:val="0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686" w:type="dxa"/>
            <w:textDirection w:val="lrTb"/>
            <w:noWrap w:val="false"/>
          </w:tcPr>
          <w:p>
            <w:pPr>
              <w:pStyle w:val="823"/>
              <w:ind w:left="0" w:right="0" w:firstLine="0"/>
              <w:jc w:val="center"/>
              <w:keepLines w:val="0"/>
              <w:keepNext w:val="0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823"/>
        <w:jc w:val="center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23"/>
        <w:jc w:val="center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8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918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918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918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918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918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918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918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918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918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918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918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918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918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918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918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918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918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918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918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918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918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918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918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918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918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918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918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918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918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918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918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918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918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918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918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918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918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918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823"/>
        <w:ind w:firstLine="0"/>
        <w:jc w:val="right"/>
        <w:spacing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823"/>
        <w:ind w:firstLine="0"/>
        <w:jc w:val="right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Приложение № 2 к Техническому заданию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numPr>
          <w:ilvl w:val="0"/>
          <w:numId w:val="0"/>
        </w:numPr>
        <w:ind w:left="0" w:right="2" w:firstLine="0"/>
        <w:jc w:val="center"/>
        <w:widowControl w:val="off"/>
        <w:tabs>
          <w:tab w:val="left" w:pos="708" w:leader="none"/>
        </w:tabs>
        <w:rPr>
          <w:rFonts w:ascii="Times New Roman" w:hAnsi="Times New Roman"/>
          <w:sz w:val="24"/>
          <w:szCs w:val="24"/>
        </w:rPr>
        <w:outlineLvl w:val="0"/>
      </w:pPr>
      <w:r>
        <w:rPr>
          <w:rFonts w:ascii="Times New Roman" w:hAnsi="Times New Roman" w:cs="Times New Roman"/>
          <w:b/>
          <w:sz w:val="24"/>
          <w:szCs w:val="24"/>
        </w:rPr>
        <w:t xml:space="preserve">ФОРМА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АКТА приема-передачи Топливных карт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9781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5091"/>
        <w:gridCol w:w="224"/>
        <w:gridCol w:w="4466"/>
      </w:tblGrid>
      <w:tr>
        <w:tblPrEx/>
        <w:trPr/>
        <w:tc>
          <w:tcPr>
            <w:tcW w:w="5091" w:type="dxa"/>
            <w:textDirection w:val="lrTb"/>
            <w:noWrap w:val="false"/>
          </w:tcPr>
          <w:p>
            <w:pPr>
              <w:pStyle w:val="823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ЗАКАЗЧИК: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4" w:type="dxa"/>
            <w:textDirection w:val="lrTb"/>
            <w:noWrap w:val="false"/>
          </w:tcPr>
          <w:p>
            <w:pPr>
              <w:pStyle w:val="823"/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4466" w:type="dxa"/>
            <w:textDirection w:val="lrTb"/>
            <w:noWrap w:val="false"/>
          </w:tcPr>
          <w:p>
            <w:pPr>
              <w:pStyle w:val="823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ПОСТАВЩИК: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1215"/>
        </w:trPr>
        <w:tc>
          <w:tcPr>
            <w:tcW w:w="5091" w:type="dxa"/>
            <w:vAlign w:val="center"/>
            <w:textDirection w:val="lrTb"/>
            <w:noWrap w:val="false"/>
          </w:tcPr>
          <w:p>
            <w:pPr>
              <w:pStyle w:val="823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государственной регистрации, кадастра и картографии по Нижегородской области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4" w:type="dxa"/>
            <w:vAlign w:val="center"/>
            <w:textDirection w:val="lrTb"/>
            <w:noWrap w:val="false"/>
          </w:tcPr>
          <w:p>
            <w:pPr>
              <w:pStyle w:val="823"/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4466" w:type="dxa"/>
            <w:vAlign w:val="center"/>
            <w:textDirection w:val="lrTb"/>
            <w:noWrap w:val="false"/>
          </w:tcPr>
          <w:p>
            <w:pPr>
              <w:pStyle w:val="823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628"/>
        </w:trPr>
        <w:tc>
          <w:tcPr>
            <w:tcW w:w="5091" w:type="dxa"/>
            <w:textDirection w:val="lrTb"/>
            <w:noWrap w:val="false"/>
          </w:tcPr>
          <w:p>
            <w:pPr>
              <w:pStyle w:val="823"/>
              <w:spacing w:before="0" w:after="0" w:line="240" w:lineRule="auto"/>
              <w:shd w:val="clear" w:color="auto" w:fill="ffffff"/>
              <w:tabs>
                <w:tab w:val="clear" w:pos="708" w:leader="none"/>
                <w:tab w:val="left" w:pos="935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603950, г. Нижний Новгород, ул. Малая Ямская, д. 78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4" w:type="dxa"/>
            <w:textDirection w:val="lrTb"/>
            <w:noWrap w:val="false"/>
          </w:tcPr>
          <w:p>
            <w:pPr>
              <w:pStyle w:val="823"/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4466" w:type="dxa"/>
            <w:textDirection w:val="lrTb"/>
            <w:noWrap w:val="false"/>
          </w:tcPr>
          <w:p>
            <w:pPr>
              <w:pStyle w:val="823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091" w:type="dxa"/>
            <w:textDirection w:val="lrTb"/>
            <w:noWrap w:val="false"/>
          </w:tcPr>
          <w:p>
            <w:pPr>
              <w:pStyle w:val="823"/>
              <w:ind w:right="-5"/>
              <w:spacing w:before="0" w:after="0"/>
              <w:shd w:val="clear" w:color="auto" w:fill="ffffff"/>
              <w:tabs>
                <w:tab w:val="clear" w:pos="708" w:leader="none"/>
                <w:tab w:val="left" w:pos="935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603950, г. Нижний Новгород, ул. Малая Ямская, д. 78А, пом.5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4" w:type="dxa"/>
            <w:textDirection w:val="lrTb"/>
            <w:noWrap w:val="false"/>
          </w:tcPr>
          <w:p>
            <w:pPr>
              <w:pStyle w:val="823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4466" w:type="dxa"/>
            <w:textDirection w:val="lrTb"/>
            <w:noWrap w:val="false"/>
          </w:tcPr>
          <w:p>
            <w:pPr>
              <w:pStyle w:val="823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______________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3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______________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3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Р/сч   ______________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3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К/сч  ______________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3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БИК ______________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3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ОКТМО _________________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823"/>
        <w:numPr>
          <w:ilvl w:val="0"/>
          <w:numId w:val="0"/>
        </w:numPr>
        <w:ind w:left="0" w:right="2" w:firstLine="0"/>
        <w:jc w:val="center"/>
        <w:spacing w:before="0" w:after="0" w:line="240" w:lineRule="auto"/>
        <w:widowControl w:val="off"/>
        <w:tabs>
          <w:tab w:val="left" w:pos="708" w:leader="none"/>
        </w:tabs>
        <w:rPr>
          <w:rFonts w:ascii="Times New Roman" w:hAnsi="Times New Roman"/>
          <w:sz w:val="24"/>
          <w:szCs w:val="24"/>
        </w:rPr>
        <w:outlineLvl w:val="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 К Т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numPr>
          <w:ilvl w:val="0"/>
          <w:numId w:val="0"/>
        </w:numPr>
        <w:ind w:left="0" w:right="2" w:firstLine="0"/>
        <w:jc w:val="center"/>
        <w:spacing w:before="0" w:after="0" w:line="240" w:lineRule="auto"/>
        <w:widowControl w:val="off"/>
        <w:tabs>
          <w:tab w:val="left" w:pos="708" w:leader="none"/>
        </w:tabs>
        <w:rPr>
          <w:rFonts w:ascii="Times New Roman" w:hAnsi="Times New Roman"/>
          <w:sz w:val="24"/>
          <w:szCs w:val="24"/>
        </w:rPr>
        <w:outlineLvl w:val="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приема-передачи Топливных карт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numPr>
          <w:ilvl w:val="0"/>
          <w:numId w:val="0"/>
        </w:numPr>
        <w:ind w:left="0" w:right="2" w:firstLine="0"/>
        <w:jc w:val="center"/>
        <w:spacing w:before="0" w:after="0" w:line="240" w:lineRule="auto"/>
        <w:widowControl w:val="off"/>
        <w:tabs>
          <w:tab w:val="left" w:pos="708" w:leader="none"/>
        </w:tabs>
        <w:rPr>
          <w:rFonts w:ascii="Times New Roman" w:hAnsi="Times New Roman"/>
          <w:sz w:val="24"/>
          <w:szCs w:val="24"/>
        </w:rPr>
        <w:outlineLvl w:val="0"/>
      </w:pPr>
      <w:r>
        <w:rPr>
          <w:rFonts w:ascii="Times New Roman" w:hAnsi="Times New Roman" w:cs="Times New Roman"/>
          <w:bCs/>
          <w:sz w:val="24"/>
          <w:szCs w:val="24"/>
        </w:rPr>
        <w:t xml:space="preserve">по Государственному контракту от «___» ___________202__ г. №_____________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numPr>
          <w:ilvl w:val="0"/>
          <w:numId w:val="0"/>
        </w:numPr>
        <w:ind w:left="0" w:right="2" w:firstLine="0"/>
        <w:jc w:val="center"/>
        <w:spacing w:before="0" w:after="0" w:line="240" w:lineRule="auto"/>
        <w:widowControl w:val="off"/>
        <w:tabs>
          <w:tab w:val="left" w:pos="708" w:leader="none"/>
        </w:tabs>
        <w:rPr>
          <w:rFonts w:ascii="Times New Roman" w:hAnsi="Times New Roman" w:cs="Times New Roman"/>
          <w:bCs/>
          <w:sz w:val="24"/>
          <w:szCs w:val="24"/>
        </w:rPr>
        <w:outlineLvl w:val="0"/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823"/>
        <w:numPr>
          <w:ilvl w:val="0"/>
          <w:numId w:val="0"/>
        </w:numPr>
        <w:ind w:left="0" w:firstLine="0"/>
        <w:jc w:val="center"/>
        <w:spacing w:before="0" w:after="0" w:line="240" w:lineRule="auto"/>
        <w:widowControl w:val="off"/>
        <w:tabs>
          <w:tab w:val="left" w:pos="708" w:leader="none"/>
        </w:tabs>
        <w:rPr>
          <w:rFonts w:ascii="Times New Roman" w:hAnsi="Times New Roman"/>
          <w:sz w:val="24"/>
          <w:szCs w:val="24"/>
        </w:rPr>
        <w:outlineLvl w:val="0"/>
      </w:pPr>
      <w:r>
        <w:rPr>
          <w:rFonts w:ascii="Times New Roman" w:hAnsi="Times New Roman" w:cs="Times New Roman"/>
          <w:bCs/>
          <w:sz w:val="24"/>
          <w:szCs w:val="24"/>
        </w:rPr>
        <w:t xml:space="preserve">Составлен «___» __________ 202___ г.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spacing w:before="0" w:after="0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23"/>
        <w:ind w:firstLine="709"/>
        <w:jc w:val="both"/>
        <w:spacing w:before="0" w:after="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Федеральной службы государственной регистрации, кадастра и картографии по Нижегородской области (Управление Росреестра по Нижегородской области), именуемая в дальнейшем «Заказчик</w:t>
      </w:r>
      <w:r>
        <w:rPr>
          <w:rFonts w:ascii="Times New Roman" w:hAnsi="Times New Roman" w:cs="Times New Roman"/>
          <w:sz w:val="24"/>
          <w:szCs w:val="24"/>
        </w:rPr>
        <w:t xml:space="preserve">», в лице ________________________________________________________________, действующего </w:t>
        <w:br/>
        <w:t xml:space="preserve">на основании доверенности от _______________ № __________________, с одной стороны и ________________________________________________________, именуемое в дальнейшем </w:t>
      </w:r>
      <w:r>
        <w:rPr>
          <w:rFonts w:ascii="Times New Roman" w:hAnsi="Times New Roman" w:cs="Times New Roman"/>
          <w:b/>
          <w:sz w:val="24"/>
          <w:szCs w:val="24"/>
        </w:rPr>
        <w:t xml:space="preserve">«</w:t>
      </w:r>
      <w:r>
        <w:rPr>
          <w:rFonts w:ascii="Times New Roman" w:hAnsi="Times New Roman" w:cs="Times New Roman"/>
          <w:sz w:val="24"/>
          <w:szCs w:val="24"/>
        </w:rPr>
        <w:t xml:space="preserve">Поставщик</w:t>
      </w:r>
      <w:r>
        <w:rPr>
          <w:rFonts w:ascii="Times New Roman" w:hAnsi="Times New Roman" w:cs="Times New Roman"/>
          <w:b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  <w:t xml:space="preserve">, в лице _______________________________________________, действующего на основании _________________________, с другой стороны, составили настоящий Акт о том, что __________________ передал, а _______________ принял Топливные карты, а именно: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pPr w:horzAnchor="margin" w:tblpXSpec="left" w:vertAnchor="text" w:tblpY="75" w:leftFromText="180" w:topFromText="0" w:rightFromText="180" w:bottomFromText="0"/>
        <w:tblW w:w="9634" w:type="dxa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78"/>
        <w:gridCol w:w="2528"/>
        <w:gridCol w:w="1709"/>
        <w:gridCol w:w="2397"/>
        <w:gridCol w:w="2422"/>
      </w:tblGrid>
      <w:tr>
        <w:tblPrEx/>
        <w:trPr>
          <w:trHeight w:val="2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" w:type="dxa"/>
            <w:vAlign w:val="center"/>
            <w:textDirection w:val="lrTb"/>
            <w:noWrap w:val="false"/>
          </w:tcPr>
          <w:p>
            <w:pPr>
              <w:pStyle w:val="823"/>
              <w:jc w:val="center"/>
              <w:spacing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п/п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28" w:type="dxa"/>
            <w:vAlign w:val="center"/>
            <w:textDirection w:val="lrTb"/>
            <w:noWrap w:val="false"/>
          </w:tcPr>
          <w:p>
            <w:pPr>
              <w:pStyle w:val="823"/>
              <w:jc w:val="center"/>
              <w:spacing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Номер Топливной карты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9" w:type="dxa"/>
            <w:vAlign w:val="center"/>
            <w:textDirection w:val="lrTb"/>
            <w:noWrap w:val="false"/>
          </w:tcPr>
          <w:p>
            <w:pPr>
              <w:pStyle w:val="823"/>
              <w:jc w:val="center"/>
              <w:spacing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Вид лимита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7" w:type="dxa"/>
            <w:vAlign w:val="center"/>
            <w:textDirection w:val="lrTb"/>
            <w:noWrap w:val="false"/>
          </w:tcPr>
          <w:p>
            <w:pPr>
              <w:pStyle w:val="823"/>
              <w:jc w:val="center"/>
              <w:spacing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Значение лимита, литр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2" w:type="dxa"/>
            <w:vAlign w:val="center"/>
            <w:textDirection w:val="lrTb"/>
            <w:noWrap w:val="false"/>
          </w:tcPr>
          <w:p>
            <w:pPr>
              <w:pStyle w:val="823"/>
              <w:jc w:val="center"/>
              <w:spacing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Категория автотранспорта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24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" w:type="dxa"/>
            <w:textDirection w:val="lrTb"/>
            <w:noWrap w:val="false"/>
          </w:tcPr>
          <w:p>
            <w:pPr>
              <w:pStyle w:val="823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28" w:type="dxa"/>
            <w:vAlign w:val="bottom"/>
            <w:textDirection w:val="lrTb"/>
            <w:noWrap w:val="false"/>
          </w:tcPr>
          <w:p>
            <w:pPr>
              <w:pStyle w:val="823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9" w:type="dxa"/>
            <w:textDirection w:val="lrTb"/>
            <w:noWrap w:val="false"/>
          </w:tcPr>
          <w:p>
            <w:pPr>
              <w:pStyle w:val="823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7" w:type="dxa"/>
            <w:textDirection w:val="lrTb"/>
            <w:noWrap w:val="false"/>
          </w:tcPr>
          <w:p>
            <w:pPr>
              <w:pStyle w:val="823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2" w:type="dxa"/>
            <w:textDirection w:val="lrTb"/>
            <w:noWrap w:val="false"/>
          </w:tcPr>
          <w:p>
            <w:pPr>
              <w:pStyle w:val="823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4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" w:type="dxa"/>
            <w:textDirection w:val="lrTb"/>
            <w:noWrap w:val="false"/>
          </w:tcPr>
          <w:p>
            <w:pPr>
              <w:pStyle w:val="823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28" w:type="dxa"/>
            <w:vAlign w:val="bottom"/>
            <w:textDirection w:val="lrTb"/>
            <w:noWrap w:val="false"/>
          </w:tcPr>
          <w:p>
            <w:pPr>
              <w:pStyle w:val="823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9" w:type="dxa"/>
            <w:textDirection w:val="lrTb"/>
            <w:noWrap w:val="false"/>
          </w:tcPr>
          <w:p>
            <w:pPr>
              <w:pStyle w:val="823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7" w:type="dxa"/>
            <w:textDirection w:val="lrTb"/>
            <w:noWrap w:val="false"/>
          </w:tcPr>
          <w:p>
            <w:pPr>
              <w:pStyle w:val="823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2" w:type="dxa"/>
            <w:textDirection w:val="lrTb"/>
            <w:noWrap w:val="false"/>
          </w:tcPr>
          <w:p>
            <w:pPr>
              <w:pStyle w:val="823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4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" w:type="dxa"/>
            <w:textDirection w:val="lrTb"/>
            <w:noWrap w:val="false"/>
          </w:tcPr>
          <w:p>
            <w:pPr>
              <w:pStyle w:val="823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28" w:type="dxa"/>
            <w:vAlign w:val="bottom"/>
            <w:textDirection w:val="lrTb"/>
            <w:noWrap w:val="false"/>
          </w:tcPr>
          <w:p>
            <w:pPr>
              <w:pStyle w:val="823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9" w:type="dxa"/>
            <w:textDirection w:val="lrTb"/>
            <w:noWrap w:val="false"/>
          </w:tcPr>
          <w:p>
            <w:pPr>
              <w:pStyle w:val="823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7" w:type="dxa"/>
            <w:textDirection w:val="lrTb"/>
            <w:noWrap w:val="false"/>
          </w:tcPr>
          <w:p>
            <w:pPr>
              <w:pStyle w:val="823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2" w:type="dxa"/>
            <w:textDirection w:val="lrTb"/>
            <w:noWrap w:val="false"/>
          </w:tcPr>
          <w:p>
            <w:pPr>
              <w:pStyle w:val="823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4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" w:type="dxa"/>
            <w:textDirection w:val="lrTb"/>
            <w:noWrap w:val="false"/>
          </w:tcPr>
          <w:p>
            <w:pPr>
              <w:pStyle w:val="823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28" w:type="dxa"/>
            <w:vAlign w:val="bottom"/>
            <w:textDirection w:val="lrTb"/>
            <w:noWrap w:val="false"/>
          </w:tcPr>
          <w:p>
            <w:pPr>
              <w:pStyle w:val="823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9" w:type="dxa"/>
            <w:textDirection w:val="lrTb"/>
            <w:noWrap w:val="false"/>
          </w:tcPr>
          <w:p>
            <w:pPr>
              <w:pStyle w:val="823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7" w:type="dxa"/>
            <w:textDirection w:val="lrTb"/>
            <w:noWrap w:val="false"/>
          </w:tcPr>
          <w:p>
            <w:pPr>
              <w:pStyle w:val="823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2" w:type="dxa"/>
            <w:textDirection w:val="lrTb"/>
            <w:noWrap w:val="false"/>
          </w:tcPr>
          <w:p>
            <w:pPr>
              <w:pStyle w:val="823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23"/>
        <w:ind w:firstLine="709"/>
        <w:spacing w:before="0" w:after="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 Топливных карт: ___ (____________) штук.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ind w:firstLine="709"/>
        <w:spacing w:before="0" w:after="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Топливные карты являются собственностью Поставщика и подлежат возврату по окончании действия Государственного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ind w:firstLine="709"/>
        <w:spacing w:before="0" w:after="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Продажа и передача пластиковых карт третьим лицам запрещена.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9354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77"/>
        <w:gridCol w:w="4676"/>
      </w:tblGrid>
      <w:tr>
        <w:tblPrEx/>
        <w:trPr/>
        <w:tc>
          <w:tcPr>
            <w:shd w:val="clear" w:color="ffffff" w:fill="ffffff"/>
            <w:tcW w:w="4677" w:type="dxa"/>
            <w:textDirection w:val="lrTb"/>
            <w:noWrap w:val="false"/>
          </w:tcPr>
          <w:p>
            <w:pPr>
              <w:pStyle w:val="823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Заказчика: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3"/>
              <w:jc w:val="center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Style w:val="823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3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_____________ 2026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3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М.П.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4676" w:type="dxa"/>
            <w:textDirection w:val="lrTb"/>
            <w:noWrap w:val="false"/>
          </w:tcPr>
          <w:p>
            <w:pPr>
              <w:pStyle w:val="823"/>
              <w:jc w:val="center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Поставщика: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3"/>
              <w:jc w:val="center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Style w:val="823"/>
              <w:jc w:val="center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3"/>
              <w:jc w:val="center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_____________ 2026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3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М.П.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3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>
      <w:pPr>
        <w:pStyle w:val="91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823"/>
        <w:jc w:val="right"/>
        <w:spacing w:before="0" w:after="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2 к Государственному контракту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jc w:val="right"/>
        <w:spacing w:before="0" w:after="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«___» ____________ 2026 г. № _________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jc w:val="right"/>
        <w:spacing w:before="0" w:after="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jc w:val="center"/>
        <w:spacing w:before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Спецификация</w:t>
      </w:r>
      <w:r>
        <w:rPr>
          <w:rStyle w:val="869"/>
          <w:rFonts w:ascii="Times New Roman" w:hAnsi="Times New Roman" w:cs="Times New Roman"/>
          <w:b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jc w:val="center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поставку дизельного топлива для нужд Управления Росреестра по Нижегородской области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5000" w:type="pct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92"/>
        <w:gridCol w:w="2245"/>
        <w:gridCol w:w="1506"/>
        <w:gridCol w:w="1840"/>
        <w:gridCol w:w="1339"/>
        <w:gridCol w:w="1832"/>
      </w:tblGrid>
      <w:tr>
        <w:tblPrEx/>
        <w:trPr/>
        <w:tc>
          <w:tcPr>
            <w:tcW w:w="592" w:type="dxa"/>
            <w:vAlign w:val="center"/>
            <w:textDirection w:val="lrTb"/>
            <w:noWrap w:val="false"/>
          </w:tcPr>
          <w:p>
            <w:pPr>
              <w:pStyle w:val="823"/>
              <w:ind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ru-RU" w:eastAsia="en-US" w:bidi="ar-SA"/>
              </w:rPr>
              <w:t xml:space="preserve">№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3"/>
              <w:ind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ru-RU" w:eastAsia="en-US" w:bidi="ar-SA"/>
              </w:rPr>
              <w:t xml:space="preserve">п/п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45" w:type="dxa"/>
            <w:vAlign w:val="center"/>
            <w:textDirection w:val="lrTb"/>
            <w:noWrap w:val="false"/>
          </w:tcPr>
          <w:p>
            <w:pPr>
              <w:pStyle w:val="823"/>
              <w:ind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ru-RU" w:eastAsia="en-US" w:bidi="ar-SA"/>
              </w:rPr>
              <w:t xml:space="preserve">Наименование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06" w:type="dxa"/>
            <w:vAlign w:val="center"/>
            <w:textDirection w:val="lrTb"/>
            <w:noWrap w:val="false"/>
          </w:tcPr>
          <w:p>
            <w:pPr>
              <w:pStyle w:val="823"/>
              <w:ind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ru-RU" w:eastAsia="en-US" w:bidi="ar-SA"/>
              </w:rPr>
              <w:t xml:space="preserve">Наименование товара в соответствии с КТРУ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40" w:type="dxa"/>
            <w:textDirection w:val="lrTb"/>
            <w:noWrap w:val="false"/>
          </w:tcPr>
          <w:p>
            <w:pPr>
              <w:pStyle w:val="823"/>
              <w:ind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 w:eastAsia="en-US" w:bidi="ar-SA"/>
              </w:rPr>
              <w:t xml:space="preserve">Единица измерения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339" w:type="dxa"/>
            <w:vAlign w:val="center"/>
            <w:textDirection w:val="lrTb"/>
            <w:noWrap w:val="false"/>
          </w:tcPr>
          <w:p>
            <w:pPr>
              <w:pStyle w:val="823"/>
              <w:ind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 w:eastAsia="en-US" w:bidi="ar-SA"/>
              </w:rPr>
              <w:t xml:space="preserve">Страна происхождения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32" w:type="dxa"/>
            <w:textDirection w:val="lrTb"/>
            <w:noWrap w:val="false"/>
          </w:tcPr>
          <w:p>
            <w:pPr>
              <w:pStyle w:val="823"/>
              <w:ind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 w:eastAsia="en-US" w:bidi="ar-SA"/>
              </w:rPr>
              <w:t xml:space="preserve">Максимальная цена за одну единицу товара, с НДС (22%)</w:t>
            </w:r>
            <w:r>
              <w:rPr>
                <w:rStyle w:val="869"/>
                <w:rFonts w:ascii="Times New Roman" w:hAnsi="Times New Roman" w:eastAsia="Calibri" w:cs="Times New Roman"/>
                <w:b/>
                <w:sz w:val="24"/>
                <w:szCs w:val="24"/>
                <w:lang w:val="ru-RU" w:eastAsia="en-US" w:bidi="ar-SA"/>
              </w:rPr>
              <w:footnoteReference w:id="3"/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 w:eastAsia="en-US" w:bidi="ar-SA"/>
              </w:rPr>
              <w:t xml:space="preserve">, руб.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38"/>
        </w:trPr>
        <w:tc>
          <w:tcPr>
            <w:tcW w:w="592" w:type="dxa"/>
            <w:vAlign w:val="center"/>
            <w:textDirection w:val="lrTb"/>
            <w:noWrap w:val="false"/>
          </w:tcPr>
          <w:p>
            <w:pPr>
              <w:pStyle w:val="823"/>
              <w:ind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1.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45" w:type="dxa"/>
            <w:vAlign w:val="center"/>
            <w:textDirection w:val="lrTb"/>
            <w:noWrap w:val="false"/>
          </w:tcPr>
          <w:p>
            <w:pPr>
              <w:pStyle w:val="823"/>
              <w:ind w:hanging="68"/>
              <w:jc w:val="center"/>
              <w:spacing w:before="0" w:after="0" w:line="240" w:lineRule="auto"/>
              <w:shd w:val="clear" w:color="auto" w:fill="ffffff"/>
              <w:widowControl/>
              <w:tabs>
                <w:tab w:val="left" w:pos="-180" w:leader="none"/>
                <w:tab w:val="clear" w:pos="708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 w:eastAsia="en-US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Топливо дизельное (розничная реализация)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3"/>
              <w:ind w:firstLine="0"/>
              <w:jc w:val="left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0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19.20.21.300-00000009</w:t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r>
          </w:p>
          <w:p>
            <w:pPr>
              <w:pStyle w:val="823"/>
              <w:ind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 w:eastAsia="en-US" w:bidi="ar-SA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40" w:type="dxa"/>
            <w:vAlign w:val="center"/>
            <w:textDirection w:val="lrTb"/>
            <w:noWrap w:val="false"/>
          </w:tcPr>
          <w:p>
            <w:pPr>
              <w:pStyle w:val="823"/>
              <w:ind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 w:eastAsia="en-US" w:bidi="ar-SA"/>
              </w:rPr>
              <w:t xml:space="preserve">Литр; кубический дециметр (Л; ДМ3)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339" w:type="dxa"/>
            <w:vAlign w:val="center"/>
            <w:textDirection w:val="lrTb"/>
            <w:noWrap w:val="false"/>
          </w:tcPr>
          <w:p>
            <w:pPr>
              <w:pStyle w:val="823"/>
              <w:ind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32" w:type="dxa"/>
            <w:textDirection w:val="lrTb"/>
            <w:noWrap w:val="false"/>
          </w:tcPr>
          <w:p>
            <w:pPr>
              <w:pStyle w:val="823"/>
              <w:ind w:firstLine="709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82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23"/>
        <w:numPr>
          <w:ilvl w:val="0"/>
          <w:numId w:val="0"/>
        </w:numPr>
        <w:ind w:left="0" w:right="0" w:firstLine="0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Максимальное значение цены Контракта составляет 50 000 (Пятьдесят тысяч) рублей 00 копеек,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в том числе НДС ___ % _______ рублей___ копеек, случае если Контракт заключается с лицами, не являющимися в соответствии с законодательством Российской Федерации о налогах и сборах плательщиком НДС, то цена Контракта НДС не облагается)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3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9355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>
        <w:tblPrEx/>
        <w:trPr>
          <w:trHeight w:val="1957"/>
        </w:trPr>
        <w:tc>
          <w:tcPr>
            <w:tcW w:w="4677" w:type="dxa"/>
            <w:textDirection w:val="lrTb"/>
            <w:noWrap w:val="false"/>
          </w:tcPr>
          <w:p>
            <w:pPr>
              <w:pStyle w:val="823"/>
              <w:ind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ЗАКАЗЧИК: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3"/>
              <w:ind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Управление Федеральной службы государственной регистрации, кадастра и картографии по Нижегородской области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3"/>
              <w:ind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3"/>
              <w:ind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3"/>
              <w:ind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«___» ____________ 202__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pStyle w:val="823"/>
              <w:ind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ПОСТАВЩИК: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3"/>
              <w:ind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3"/>
              <w:ind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3"/>
              <w:ind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3"/>
              <w:ind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3"/>
              <w:ind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3"/>
              <w:ind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«___» ____________ 202__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823"/>
        <w:ind w:firstLine="567"/>
        <w:jc w:val="center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23"/>
        <w:ind w:firstLine="567"/>
        <w:jc w:val="center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23"/>
        <w:ind w:firstLine="567"/>
        <w:jc w:val="center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23"/>
        <w:ind w:firstLine="567"/>
        <w:jc w:val="center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sectPr>
      <w:footnotePr>
        <w:numFmt w:val="decimal"/>
      </w:footnotePr>
      <w:endnotePr/>
      <w:type w:val="nextPage"/>
      <w:pgSz w:w="11906" w:h="16838" w:orient="portrait"/>
      <w:pgMar w:top="1134" w:right="850" w:bottom="993" w:left="1701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 Math">
    <w:panose1 w:val="02000603000000000000"/>
  </w:font>
  <w:font w:name="Wingdings">
    <w:panose1 w:val="05010000000000000000"/>
  </w:font>
  <w:font w:name="Symbol">
    <w:panose1 w:val="05010000000000000000"/>
  </w:font>
  <w:font w:name="Tahoma">
    <w:panose1 w:val="020B0604030504040204"/>
  </w:font>
  <w:font w:name="Noto Sans Devanagari">
    <w:panose1 w:val="020B0502040504020204"/>
  </w:font>
  <w:font w:name="Courier New">
    <w:panose1 w:val="02070409020205020404"/>
  </w:font>
  <w:font w:name="Times New Roman">
    <w:panose1 w:val="02020603050405020304"/>
  </w:font>
  <w:font w:name="Calibri">
    <w:panose1 w:val="020F05020202040302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915"/>
        <w:spacing w:before="0" w:after="160"/>
      </w:pPr>
      <w:r>
        <w:rPr>
          <w:rStyle w:val="867"/>
        </w:rPr>
        <w:footnoteRef/>
      </w:r>
      <w:r>
        <w:t xml:space="preserve"> </w:t>
      </w:r>
      <w:r>
        <w:t xml:space="preserve">Заполняется при заключении государственного контракта.</w:t>
      </w:r>
      <w:r/>
    </w:p>
  </w:footnote>
  <w:footnote w:id="3">
    <w:p>
      <w:pPr>
        <w:pStyle w:val="915"/>
        <w:spacing w:before="0" w:after="0"/>
      </w:pPr>
      <w:r>
        <w:rPr>
          <w:rStyle w:val="867"/>
        </w:rPr>
        <w:footnoteRef/>
      </w:r>
      <w:r>
        <w:t xml:space="preserve"> </w:t>
      </w:r>
      <w:r>
        <w:t xml:space="preserve">Если Поставщик не является плательщиком налога на добавленную стоимость (в том числе находится</w:t>
        <w:br/>
        <w:t xml:space="preserve">на упрощённой системе налогообложения), то при указании цены контракта вместо указания суммы налога на добавленную стоимость ставится «НДС не облагается».</w:t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/>
      <w:suff w:val="tab"/>
      <w:lvlText w:val="%1."/>
      <w:lvlJc w:val="left"/>
      <w:pPr>
        <w:ind w:left="432" w:hanging="432"/>
        <w:tabs>
          <w:tab w:val="num" w:pos="432" w:leader="none"/>
        </w:tabs>
      </w:pPr>
    </w:lvl>
    <w:lvl w:ilvl="1">
      <w:start w:val="1"/>
      <w:numFmt w:val="decimal"/>
      <w:isLgl/>
      <w:suff w:val="tab"/>
      <w:lvlText w:val="%1.%2"/>
      <w:lvlJc w:val="left"/>
      <w:pPr>
        <w:ind w:left="576" w:hanging="576"/>
        <w:tabs>
          <w:tab w:val="num" w:pos="576" w:leader="none"/>
        </w:tabs>
      </w:pPr>
    </w:lvl>
    <w:lvl w:ilvl="2">
      <w:start w:val="1"/>
      <w:numFmt w:val="decimal"/>
      <w:pStyle w:val="826"/>
      <w:isLgl/>
      <w:suff w:val="tab"/>
      <w:lvlText w:val="%1.%2.%3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pStyle w:val="827"/>
      <w:isLgl/>
      <w:suff w:val="tab"/>
      <w:lvlText w:val="%1.%2.%3.%4"/>
      <w:lvlJc w:val="left"/>
      <w:pPr>
        <w:ind w:left="864" w:hanging="864"/>
        <w:tabs>
          <w:tab w:val="num" w:pos="864" w:leader="none"/>
        </w:tabs>
      </w:pPr>
    </w:lvl>
    <w:lvl w:ilvl="4">
      <w:start w:val="1"/>
      <w:numFmt w:val="decimal"/>
      <w:pStyle w:val="828"/>
      <w:isLgl/>
      <w:suff w:val="tab"/>
      <w:lvlText w:val="%1.%2.%3.%4.%5"/>
      <w:lvlJc w:val="left"/>
      <w:pPr>
        <w:ind w:left="1008" w:hanging="1008"/>
        <w:tabs>
          <w:tab w:val="num" w:pos="1008" w:leader="none"/>
        </w:tabs>
      </w:pPr>
    </w:lvl>
    <w:lvl w:ilvl="5">
      <w:start w:val="1"/>
      <w:numFmt w:val="decimal"/>
      <w:pStyle w:val="829"/>
      <w:isLgl/>
      <w:suff w:val="tab"/>
      <w:lvlText w:val="%1.%2.%3.%4.%5.%6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decimal"/>
      <w:pStyle w:val="830"/>
      <w:isLgl/>
      <w:suff w:val="tab"/>
      <w:lvlText w:val="%1.%2.%3.%4.%5.%6.%7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decimal"/>
      <w:pStyle w:val="831"/>
      <w:isLgl/>
      <w:suff w:val="tab"/>
      <w:lvlText w:val="%1.%2.%3.%4.%5.%6.%7.%8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pStyle w:val="832"/>
      <w:isLgl/>
      <w:suff w:val="tab"/>
      <w:lvlText w:val="%1.%2.%3.%4.%5.%6.%7.%8.%9"/>
      <w:lvlJc w:val="left"/>
      <w:pPr>
        <w:ind w:left="1584" w:hanging="1584"/>
        <w:tabs>
          <w:tab w:val="num" w:pos="1584" w:leader="none"/>
        </w:tabs>
      </w:pPr>
    </w:lvl>
  </w:abstractNum>
  <w:abstractNum w:abstractNumId="1">
    <w:multiLevelType w:val="hybridMultilevel"/>
    <w:lvl w:ilvl="0">
      <w:start w:val="1"/>
      <w:numFmt w:val="decimal"/>
      <w:pStyle w:val="922"/>
      <w:isLgl/>
      <w:suff w:val="tab"/>
      <w:lvlText w:val="%1."/>
      <w:lvlJc w:val="center"/>
      <w:pPr>
        <w:ind w:left="0" w:firstLine="0"/>
        <w:tabs>
          <w:tab w:val="num" w:pos="0" w:leader="none"/>
        </w:tabs>
      </w:pPr>
      <w:rPr>
        <w:b/>
        <w:i w:val="0"/>
      </w:rPr>
    </w:lvl>
    <w:lvl w:ilvl="1">
      <w:start w:val="1"/>
      <w:numFmt w:val="decimal"/>
      <w:pStyle w:val="923"/>
      <w:isLgl/>
      <w:suff w:val="tab"/>
      <w:lvlText w:val="%1.%2"/>
      <w:lvlJc w:val="left"/>
      <w:pPr>
        <w:ind w:left="851" w:hanging="851"/>
        <w:tabs>
          <w:tab w:val="num" w:pos="851" w:leader="none"/>
        </w:tabs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vanish w:val="0"/>
        <w:color w:val="auto"/>
        <w:spacing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924"/>
      <w:isLgl/>
      <w:suff w:val="tab"/>
      <w:lvlText w:val="%1.%2.%3"/>
      <w:lvlJc w:val="left"/>
      <w:pPr>
        <w:ind w:left="851" w:hanging="851"/>
        <w:tabs>
          <w:tab w:val="num" w:pos="851" w:leader="none"/>
        </w:tabs>
      </w:pPr>
      <w:rPr>
        <w:b w:val="0"/>
        <w:bCs w:val="0"/>
        <w:i w:val="0"/>
        <w:iCs w:val="0"/>
      </w:rPr>
    </w:lvl>
    <w:lvl w:ilvl="3">
      <w:start w:val="1"/>
      <w:numFmt w:val="lowerLetter"/>
      <w:pStyle w:val="925"/>
      <w:isLgl/>
      <w:suff w:val="tab"/>
      <w:lvlText w:val="%4)"/>
      <w:lvlJc w:val="left"/>
      <w:pPr>
        <w:ind w:left="1418" w:hanging="567"/>
        <w:tabs>
          <w:tab w:val="num" w:pos="1418" w:leader="none"/>
        </w:tabs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vanish w:val="0"/>
        <w:color w:val="auto"/>
        <w:spacing w:val="0"/>
        <w:position w:val="0"/>
        <w:sz w:val="22"/>
        <w:u w:val="none"/>
        <w:vertAlign w:val="baseline"/>
      </w:rPr>
    </w:lvl>
    <w:lvl w:ilvl="4">
      <w:start w:val="1"/>
      <w:numFmt w:val="lowerLetter"/>
      <w:isLgl/>
      <w:suff w:val="tab"/>
      <w:lvlText w:val="%5)"/>
      <w:lvlJc w:val="left"/>
      <w:pPr>
        <w:ind w:left="1134" w:hanging="567"/>
        <w:tabs>
          <w:tab w:val="num" w:pos="1134" w:leader="none"/>
        </w:tabs>
      </w:pPr>
    </w:lvl>
    <w:lvl w:ilvl="5">
      <w:start w:val="1"/>
      <w:numFmt w:val="bullet"/>
      <w:isLgl/>
      <w:suff w:val="tab"/>
      <w:lvlText w:val=""/>
      <w:lvlJc w:val="left"/>
      <w:pPr>
        <w:ind w:left="1701" w:hanging="567"/>
        <w:tabs>
          <w:tab w:val="num" w:pos="1701" w:leader="none"/>
        </w:tabs>
      </w:pPr>
      <w:rPr>
        <w:rFonts w:hint="default" w:ascii="Symbol" w:hAnsi="Symbol" w:cs="Symbol"/>
      </w:rPr>
    </w:lvl>
    <w:lvl w:ilvl="6">
      <w:start w:val="1"/>
      <w:numFmt w:val="lowerLetter"/>
      <w:isLgl/>
      <w:suff w:val="tab"/>
      <w:lvlText w:val="%5%6%7)"/>
      <w:lvlJc w:val="left"/>
      <w:pPr>
        <w:ind w:left="2268" w:hanging="567"/>
        <w:tabs>
          <w:tab w:val="num" w:pos="2268" w:leader="none"/>
        </w:tabs>
      </w:pPr>
    </w:lvl>
    <w:lvl w:ilvl="7">
      <w:start w:val="1"/>
      <w:numFmt w:val="decimal"/>
      <w:isLgl/>
      <w:suff w:val="tab"/>
      <w:lvlText w:val="%1.%2.%3.%4.%5.%6.%7.%8."/>
      <w:lvlJc w:val="left"/>
      <w:pPr>
        <w:ind w:left="2322" w:hanging="1224"/>
        <w:tabs>
          <w:tab w:val="num" w:pos="3978" w:leader="none"/>
        </w:tabs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2898" w:hanging="1440"/>
        <w:tabs>
          <w:tab w:val="num" w:pos="4698" w:leader="none"/>
        </w:tabs>
      </w:pPr>
    </w:lvl>
  </w:abstractNum>
  <w:abstractNum w:abstractNumId="2">
    <w:multiLevelType w:val="hybridMultilevel"/>
    <w:lvl w:ilvl="0">
      <w:start w:val="1"/>
      <w:numFmt w:val="upperRoman"/>
      <w:pStyle w:val="927"/>
      <w:isLgl/>
      <w:suff w:val="tab"/>
      <w:lvlText w:val="%1."/>
      <w:lvlJc w:val="right"/>
      <w:pPr>
        <w:ind w:left="1260" w:hanging="360"/>
        <w:tabs>
          <w:tab w:val="num" w:pos="0" w:leader="none"/>
        </w:tabs>
      </w:pPr>
      <w:rPr>
        <w:b/>
      </w:rPr>
    </w:lvl>
    <w:lvl w:ilvl="1">
      <w:start w:val="1"/>
      <w:numFmt w:val="lowerLetter"/>
      <w:isLgl/>
      <w:suff w:val="tab"/>
      <w:lvlText w:val="%2."/>
      <w:lvlJc w:val="left"/>
      <w:pPr>
        <w:ind w:left="1980" w:hanging="360"/>
        <w:tabs>
          <w:tab w:val="num" w:pos="0" w:leader="none"/>
        </w:tabs>
      </w:pPr>
    </w:lvl>
    <w:lvl w:ilvl="2">
      <w:start w:val="1"/>
      <w:numFmt w:val="lowerRoman"/>
      <w:isLgl/>
      <w:suff w:val="tab"/>
      <w:lvlText w:val="%3."/>
      <w:lvlJc w:val="right"/>
      <w:pPr>
        <w:ind w:left="2700" w:hanging="180"/>
        <w:tabs>
          <w:tab w:val="num" w:pos="0" w:leader="none"/>
        </w:tabs>
      </w:pPr>
    </w:lvl>
    <w:lvl w:ilvl="3">
      <w:start w:val="1"/>
      <w:numFmt w:val="decimal"/>
      <w:isLgl/>
      <w:suff w:val="tab"/>
      <w:lvlText w:val="%4."/>
      <w:lvlJc w:val="left"/>
      <w:pPr>
        <w:ind w:left="3420" w:hanging="360"/>
        <w:tabs>
          <w:tab w:val="num" w:pos="3420" w:leader="none"/>
        </w:tabs>
      </w:pPr>
    </w:lvl>
    <w:lvl w:ilvl="4">
      <w:start w:val="1"/>
      <w:numFmt w:val="lowerLetter"/>
      <w:isLgl/>
      <w:suff w:val="tab"/>
      <w:lvlText w:val="%5."/>
      <w:lvlJc w:val="left"/>
      <w:pPr>
        <w:ind w:left="4140" w:hanging="360"/>
        <w:tabs>
          <w:tab w:val="num" w:pos="0" w:leader="none"/>
        </w:tabs>
      </w:pPr>
    </w:lvl>
    <w:lvl w:ilvl="5">
      <w:start w:val="1"/>
      <w:numFmt w:val="lowerRoman"/>
      <w:isLgl/>
      <w:suff w:val="tab"/>
      <w:lvlText w:val="%6."/>
      <w:lvlJc w:val="right"/>
      <w:pPr>
        <w:ind w:left="4860" w:hanging="180"/>
        <w:tabs>
          <w:tab w:val="num" w:pos="0" w:leader="none"/>
        </w:tabs>
      </w:pPr>
    </w:lvl>
    <w:lvl w:ilvl="6">
      <w:start w:val="1"/>
      <w:numFmt w:val="decimal"/>
      <w:isLgl/>
      <w:suff w:val="tab"/>
      <w:lvlText w:val="%7."/>
      <w:lvlJc w:val="left"/>
      <w:pPr>
        <w:ind w:left="5580" w:hanging="360"/>
        <w:tabs>
          <w:tab w:val="num" w:pos="0" w:leader="none"/>
        </w:tabs>
      </w:pPr>
    </w:lvl>
    <w:lvl w:ilvl="7">
      <w:start w:val="1"/>
      <w:numFmt w:val="lowerLetter"/>
      <w:isLgl/>
      <w:suff w:val="tab"/>
      <w:lvlText w:val="%8."/>
      <w:lvlJc w:val="left"/>
      <w:pPr>
        <w:ind w:left="6300" w:hanging="360"/>
        <w:tabs>
          <w:tab w:val="num" w:pos="0" w:leader="none"/>
        </w:tabs>
      </w:pPr>
    </w:lvl>
    <w:lvl w:ilvl="8">
      <w:start w:val="1"/>
      <w:numFmt w:val="lowerRoman"/>
      <w:isLgl/>
      <w:suff w:val="tab"/>
      <w:lvlText w:val="%9."/>
      <w:lvlJc w:val="right"/>
      <w:pPr>
        <w:ind w:left="7020" w:hanging="180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decimal"/>
      <w:pStyle w:val="928"/>
      <w:isLgl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/>
      <w:suff w:val="tab"/>
      <w:lvlText w:val="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/>
      <w:suff w:val="tab"/>
      <w:lvlText w:val="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/>
      <w:suff w:val="tab"/>
      <w:lvlText w:val="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/>
      <w:suff w:val="tab"/>
      <w:lvlText w:val="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/>
      <w:suff w:val="tab"/>
      <w:lvlText w:val="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4">
    <w:multiLevelType w:val="hybridMultilevel"/>
    <w:lvl w:ilvl="0">
      <w:start w:val="1"/>
      <w:numFmt w:val="decimal"/>
      <w:pStyle w:val="930"/>
      <w:isLgl/>
      <w:suff w:val="tab"/>
      <w:lvlText w:val="%1."/>
      <w:lvlJc w:val="left"/>
      <w:pPr>
        <w:ind w:left="926" w:hanging="360"/>
        <w:tabs>
          <w:tab w:val="num" w:pos="926" w:leader="none"/>
        </w:tabs>
      </w:pPr>
    </w:lvl>
    <w:lvl w:ilvl="1">
      <w:start w:val="1"/>
      <w:numFmt w:val="bullet"/>
      <w:isLgl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/>
      <w:suff w:val="tab"/>
      <w:lvlText w:val="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/>
      <w:suff w:val="tab"/>
      <w:lvlText w:val="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/>
      <w:suff w:val="tab"/>
      <w:lvlText w:val="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/>
      <w:suff w:val="tab"/>
      <w:lvlText w:val="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/>
      <w:suff w:val="tab"/>
      <w:lvlText w:val="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5">
    <w:multiLevelType w:val="hybridMultilevel"/>
    <w:lvl w:ilvl="0">
      <w:start w:val="1"/>
      <w:numFmt w:val="decimal"/>
      <w:isLgl/>
      <w:suff w:val="tab"/>
      <w:lvlText w:val="%1."/>
      <w:lvlJc w:val="left"/>
      <w:pPr>
        <w:ind w:left="360" w:hanging="360"/>
        <w:tabs>
          <w:tab w:val="num" w:pos="0" w:leader="none"/>
        </w:tabs>
      </w:pPr>
      <w:rPr>
        <w:b/>
        <w:bCs/>
        <w:color w:val="000000"/>
      </w:rPr>
    </w:lvl>
    <w:lvl w:ilvl="1">
      <w:start w:val="1"/>
      <w:numFmt w:val="decimal"/>
      <w:isLgl/>
      <w:suff w:val="tab"/>
      <w:lvlText w:val="%1.%2."/>
      <w:lvlJc w:val="left"/>
      <w:pPr>
        <w:ind w:left="1142" w:hanging="432"/>
        <w:tabs>
          <w:tab w:val="num" w:pos="0" w:leader="none"/>
        </w:tabs>
      </w:pPr>
    </w:lvl>
    <w:lvl w:ilvl="2">
      <w:start w:val="1"/>
      <w:numFmt w:val="decimal"/>
      <w:isLgl/>
      <w:suff w:val="tab"/>
      <w:lvlText w:val="%1.%2.%3."/>
      <w:lvlJc w:val="left"/>
      <w:pPr>
        <w:ind w:left="1224" w:hanging="504"/>
        <w:tabs>
          <w:tab w:val="num" w:pos="0" w:leader="none"/>
        </w:tabs>
      </w:pPr>
    </w:lvl>
    <w:lvl w:ilvl="3">
      <w:start w:val="1"/>
      <w:numFmt w:val="decimal"/>
      <w:isLgl/>
      <w:suff w:val="tab"/>
      <w:lvlText w:val="%1.%2.%3.%4."/>
      <w:lvlJc w:val="left"/>
      <w:pPr>
        <w:ind w:left="1728" w:hanging="648"/>
        <w:tabs>
          <w:tab w:val="num" w:pos="0" w:leader="none"/>
        </w:tabs>
      </w:pPr>
    </w:lvl>
    <w:lvl w:ilvl="4">
      <w:start w:val="1"/>
      <w:numFmt w:val="decimal"/>
      <w:isLgl/>
      <w:suff w:val="tab"/>
      <w:lvlText w:val="%1.%2.%3.%4.%5."/>
      <w:lvlJc w:val="left"/>
      <w:pPr>
        <w:ind w:left="2232" w:hanging="792"/>
        <w:tabs>
          <w:tab w:val="num" w:pos="0" w:leader="none"/>
        </w:tabs>
      </w:pPr>
    </w:lvl>
    <w:lvl w:ilvl="5">
      <w:start w:val="1"/>
      <w:numFmt w:val="decimal"/>
      <w:isLgl/>
      <w:suff w:val="tab"/>
      <w:lvlText w:val="%1.%2.%3.%4.%5.%6."/>
      <w:lvlJc w:val="left"/>
      <w:pPr>
        <w:ind w:left="2736" w:hanging="936"/>
        <w:tabs>
          <w:tab w:val="num" w:pos="0" w:leader="none"/>
        </w:tabs>
      </w:pPr>
    </w:lvl>
    <w:lvl w:ilvl="6">
      <w:start w:val="1"/>
      <w:numFmt w:val="decimal"/>
      <w:isLgl/>
      <w:suff w:val="tab"/>
      <w:lvlText w:val="%1.%2.%3.%4.%5.%6.%7."/>
      <w:lvlJc w:val="left"/>
      <w:pPr>
        <w:ind w:left="3240" w:hanging="1080"/>
        <w:tabs>
          <w:tab w:val="num" w:pos="0" w:leader="none"/>
        </w:tabs>
      </w:pPr>
    </w:lvl>
    <w:lvl w:ilvl="7">
      <w:start w:val="1"/>
      <w:numFmt w:val="decimal"/>
      <w:isLgl/>
      <w:suff w:val="tab"/>
      <w:lvlText w:val="%1.%2.%3.%4.%5.%6.%7.%8."/>
      <w:lvlJc w:val="left"/>
      <w:pPr>
        <w:ind w:left="3744" w:hanging="1224"/>
        <w:tabs>
          <w:tab w:val="num" w:pos="0" w:leader="none"/>
        </w:tabs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4320" w:hanging="1440"/>
        <w:tabs>
          <w:tab w:val="num" w:pos="0" w:leader="none"/>
        </w:tabs>
      </w:pPr>
    </w:lvl>
  </w:abstractNum>
  <w:abstractNum w:abstractNumId="6">
    <w:multiLevelType w:val="hybridMultilevel"/>
    <w:lvl w:ilvl="0">
      <w:start w:val="2"/>
      <w:numFmt w:val="decimal"/>
      <w:isLgl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2"/>
      <w:numFmt w:val="decimal"/>
      <w:isLgl/>
      <w:suff w:val="tab"/>
      <w:lvlText w:val="%1.%2."/>
      <w:lvlJc w:val="left"/>
      <w:pPr>
        <w:ind w:left="1430" w:hanging="360"/>
        <w:tabs>
          <w:tab w:val="num" w:pos="0" w:leader="none"/>
        </w:tabs>
      </w:pPr>
    </w:lvl>
    <w:lvl w:ilvl="2">
      <w:start w:val="1"/>
      <w:numFmt w:val="decimal"/>
      <w:isLgl/>
      <w:suff w:val="tab"/>
      <w:lvlText w:val="%1.%2.%3."/>
      <w:lvlJc w:val="left"/>
      <w:pPr>
        <w:ind w:left="2860" w:hanging="720"/>
        <w:tabs>
          <w:tab w:val="num" w:pos="0" w:leader="none"/>
        </w:tabs>
      </w:pPr>
    </w:lvl>
    <w:lvl w:ilvl="3">
      <w:start w:val="1"/>
      <w:numFmt w:val="decimal"/>
      <w:isLgl/>
      <w:suff w:val="tab"/>
      <w:lvlText w:val="%1.%2.%3.%4."/>
      <w:lvlJc w:val="left"/>
      <w:pPr>
        <w:ind w:left="3930" w:hanging="720"/>
        <w:tabs>
          <w:tab w:val="num" w:pos="0" w:leader="none"/>
        </w:tabs>
      </w:pPr>
    </w:lvl>
    <w:lvl w:ilvl="4">
      <w:start w:val="1"/>
      <w:numFmt w:val="decimal"/>
      <w:isLgl/>
      <w:suff w:val="tab"/>
      <w:lvlText w:val="%1.%2.%3.%4.%5."/>
      <w:lvlJc w:val="left"/>
      <w:pPr>
        <w:ind w:left="5360" w:hanging="1080"/>
        <w:tabs>
          <w:tab w:val="num" w:pos="0" w:leader="none"/>
        </w:tabs>
      </w:pPr>
    </w:lvl>
    <w:lvl w:ilvl="5">
      <w:start w:val="1"/>
      <w:numFmt w:val="decimal"/>
      <w:isLgl/>
      <w:suff w:val="tab"/>
      <w:lvlText w:val="%1.%2.%3.%4.%5.%6."/>
      <w:lvlJc w:val="left"/>
      <w:pPr>
        <w:ind w:left="6430" w:hanging="1080"/>
        <w:tabs>
          <w:tab w:val="num" w:pos="0" w:leader="none"/>
        </w:tabs>
      </w:pPr>
    </w:lvl>
    <w:lvl w:ilvl="6">
      <w:start w:val="1"/>
      <w:numFmt w:val="decimal"/>
      <w:isLgl/>
      <w:suff w:val="tab"/>
      <w:lvlText w:val="%1.%2.%3.%4.%5.%6.%7."/>
      <w:lvlJc w:val="left"/>
      <w:pPr>
        <w:ind w:left="7860" w:hanging="1440"/>
        <w:tabs>
          <w:tab w:val="num" w:pos="0" w:leader="none"/>
        </w:tabs>
      </w:pPr>
    </w:lvl>
    <w:lvl w:ilvl="7">
      <w:start w:val="1"/>
      <w:numFmt w:val="decimal"/>
      <w:isLgl/>
      <w:suff w:val="tab"/>
      <w:lvlText w:val="%1.%2.%3.%4.%5.%6.%7.%8."/>
      <w:lvlJc w:val="left"/>
      <w:pPr>
        <w:ind w:left="8930" w:hanging="1440"/>
        <w:tabs>
          <w:tab w:val="num" w:pos="0" w:leader="none"/>
        </w:tabs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10360" w:hanging="1800"/>
        <w:tabs>
          <w:tab w:val="num" w:pos="0" w:leader="none"/>
        </w:tabs>
      </w:pPr>
    </w:lvl>
  </w:abstractNum>
  <w:abstractNum w:abstractNumId="7">
    <w:multiLevelType w:val="hybridMultilevel"/>
    <w:lvl w:ilvl="0">
      <w:start w:val="2"/>
      <w:numFmt w:val="decimal"/>
      <w:isLgl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decimal"/>
      <w:isLgl/>
      <w:suff w:val="tab"/>
      <w:lvlText w:val="%1.%2."/>
      <w:lvlJc w:val="left"/>
      <w:pPr>
        <w:ind w:left="360" w:hanging="360"/>
        <w:tabs>
          <w:tab w:val="num" w:pos="0" w:leader="none"/>
        </w:tabs>
      </w:pPr>
    </w:lvl>
    <w:lvl w:ilvl="2">
      <w:start w:val="1"/>
      <w:numFmt w:val="decimal"/>
      <w:isLgl/>
      <w:suff w:val="tab"/>
      <w:lvlText w:val="%1.%2.%3.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Zero"/>
      <w:isLgl/>
      <w:suff w:val="tab"/>
      <w:lvlText w:val="%1.%2.%3.%4."/>
      <w:lvlJc w:val="left"/>
      <w:pPr>
        <w:ind w:left="720" w:hanging="720"/>
        <w:tabs>
          <w:tab w:val="num" w:pos="0" w:leader="none"/>
        </w:tabs>
      </w:pPr>
    </w:lvl>
    <w:lvl w:ilvl="4">
      <w:start w:val="1"/>
      <w:numFmt w:val="decimalZero"/>
      <w:isLgl/>
      <w:suff w:val="tab"/>
      <w:lvlText w:val="%1.%2.%3.%4.%5."/>
      <w:lvlJc w:val="left"/>
      <w:pPr>
        <w:ind w:left="1080" w:hanging="1080"/>
        <w:tabs>
          <w:tab w:val="num" w:pos="0" w:leader="none"/>
        </w:tabs>
      </w:pPr>
    </w:lvl>
    <w:lvl w:ilvl="5">
      <w:start w:val="1"/>
      <w:numFmt w:val="decimal"/>
      <w:isLgl/>
      <w:suff w:val="tab"/>
      <w:lvlText w:val="%1.%2.%3.%4.%5.%6."/>
      <w:lvlJc w:val="left"/>
      <w:pPr>
        <w:ind w:left="1080" w:hanging="1080"/>
        <w:tabs>
          <w:tab w:val="num" w:pos="0" w:leader="none"/>
        </w:tabs>
      </w:pPr>
    </w:lvl>
    <w:lvl w:ilvl="6">
      <w:start w:val="1"/>
      <w:numFmt w:val="decimal"/>
      <w:isLgl/>
      <w:suff w:val="tab"/>
      <w:lvlText w:val="%1.%2.%3.%4.%5.%6.%7."/>
      <w:lvlJc w:val="left"/>
      <w:pPr>
        <w:ind w:left="1440" w:hanging="1440"/>
        <w:tabs>
          <w:tab w:val="num" w:pos="0" w:leader="none"/>
        </w:tabs>
      </w:pPr>
    </w:lvl>
    <w:lvl w:ilvl="7">
      <w:start w:val="1"/>
      <w:numFmt w:val="decimal"/>
      <w:isLgl/>
      <w:suff w:val="tab"/>
      <w:lvlText w:val="%1.%2.%3.%4.%5.%6.%7.%8.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1800" w:hanging="1800"/>
        <w:tabs>
          <w:tab w:val="num" w:pos="0" w:leader="none"/>
        </w:tabs>
      </w:pPr>
    </w:lvl>
  </w:abstractNum>
  <w:abstractNum w:abstractNumId="8">
    <w:multiLevelType w:val="hybridMultilevel"/>
    <w:lvl w:ilvl="0">
      <w:start w:val="3"/>
      <w:numFmt w:val="decimal"/>
      <w:isLgl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decimal"/>
      <w:isLgl/>
      <w:suff w:val="tab"/>
      <w:lvlText w:val="%1.%2."/>
      <w:lvlJc w:val="left"/>
      <w:pPr>
        <w:ind w:left="1070" w:hanging="360"/>
        <w:tabs>
          <w:tab w:val="num" w:pos="0" w:leader="none"/>
        </w:tabs>
      </w:pPr>
    </w:lvl>
    <w:lvl w:ilvl="2">
      <w:start w:val="1"/>
      <w:numFmt w:val="decimal"/>
      <w:isLgl/>
      <w:suff w:val="tab"/>
      <w:lvlText w:val="%1.%2.%3."/>
      <w:lvlJc w:val="left"/>
      <w:pPr>
        <w:ind w:left="2140" w:hanging="720"/>
        <w:tabs>
          <w:tab w:val="num" w:pos="0" w:leader="none"/>
        </w:tabs>
      </w:pPr>
    </w:lvl>
    <w:lvl w:ilvl="3">
      <w:start w:val="1"/>
      <w:numFmt w:val="decimal"/>
      <w:isLgl/>
      <w:suff w:val="tab"/>
      <w:lvlText w:val="%1.%2.%3.%4."/>
      <w:lvlJc w:val="left"/>
      <w:pPr>
        <w:ind w:left="2850" w:hanging="720"/>
        <w:tabs>
          <w:tab w:val="num" w:pos="0" w:leader="none"/>
        </w:tabs>
      </w:pPr>
    </w:lvl>
    <w:lvl w:ilvl="4">
      <w:start w:val="1"/>
      <w:numFmt w:val="decimal"/>
      <w:isLgl/>
      <w:suff w:val="tab"/>
      <w:lvlText w:val="%1.%2.%3.%4.%5."/>
      <w:lvlJc w:val="left"/>
      <w:pPr>
        <w:ind w:left="3920" w:hanging="1080"/>
        <w:tabs>
          <w:tab w:val="num" w:pos="0" w:leader="none"/>
        </w:tabs>
      </w:pPr>
    </w:lvl>
    <w:lvl w:ilvl="5">
      <w:start w:val="1"/>
      <w:numFmt w:val="decimal"/>
      <w:isLgl/>
      <w:suff w:val="tab"/>
      <w:lvlText w:val="%1.%2.%3.%4.%5.%6."/>
      <w:lvlJc w:val="left"/>
      <w:pPr>
        <w:ind w:left="4630" w:hanging="1080"/>
        <w:tabs>
          <w:tab w:val="num" w:pos="0" w:leader="none"/>
        </w:tabs>
      </w:pPr>
    </w:lvl>
    <w:lvl w:ilvl="6">
      <w:start w:val="1"/>
      <w:numFmt w:val="decimal"/>
      <w:isLgl/>
      <w:suff w:val="tab"/>
      <w:lvlText w:val="%1.%2.%3.%4.%5.%6.%7."/>
      <w:lvlJc w:val="left"/>
      <w:pPr>
        <w:ind w:left="5700" w:hanging="1440"/>
        <w:tabs>
          <w:tab w:val="num" w:pos="0" w:leader="none"/>
        </w:tabs>
      </w:pPr>
    </w:lvl>
    <w:lvl w:ilvl="7">
      <w:start w:val="1"/>
      <w:numFmt w:val="decimal"/>
      <w:isLgl/>
      <w:suff w:val="tab"/>
      <w:lvlText w:val="%1.%2.%3.%4.%5.%6.%7.%8."/>
      <w:lvlJc w:val="left"/>
      <w:pPr>
        <w:ind w:left="6410" w:hanging="1440"/>
        <w:tabs>
          <w:tab w:val="num" w:pos="0" w:leader="none"/>
        </w:tabs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7480" w:hanging="1800"/>
        <w:tabs>
          <w:tab w:val="num" w:pos="0" w:leader="none"/>
        </w:tabs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ascii="Times New Roman" w:hAnsi="Times New Roman" w:eastAsia="Times New Roman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2138" w:hanging="720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49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869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29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949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309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02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89" w:hanging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696">
    <w:name w:val="No List"/>
    <w:uiPriority w:val="99"/>
    <w:semiHidden/>
    <w:unhideWhenUsed/>
  </w:style>
  <w:style w:type="table" w:styleId="697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8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9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0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1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2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4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6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7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8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9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0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1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2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3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6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9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0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1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2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3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4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5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6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1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2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3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4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5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6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7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9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0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1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2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3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4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5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6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7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8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9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0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1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2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4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5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6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7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8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9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0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1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2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3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4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5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6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7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8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9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0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1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2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23" w:default="1">
    <w:name w:val="Normal"/>
    <w:qFormat/>
    <w:pPr>
      <w:jc w:val="left"/>
      <w:spacing w:before="0" w:beforeAutospacing="0" w:after="160" w:afterAutospacing="0" w:line="259" w:lineRule="auto"/>
      <w:widowControl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824">
    <w:name w:val="Heading 1"/>
    <w:basedOn w:val="823"/>
    <w:qFormat/>
    <w:pPr>
      <w:jc w:val="center"/>
      <w:keepNext/>
      <w:spacing w:before="240" w:after="60" w:line="240" w:lineRule="auto"/>
      <w:outlineLvl w:val="0"/>
    </w:pPr>
    <w:rPr>
      <w:rFonts w:ascii="Times New Roman" w:hAnsi="Times New Roman" w:eastAsia="Times New Roman" w:cs="Times New Roman"/>
      <w:b/>
      <w:sz w:val="36"/>
      <w:szCs w:val="20"/>
      <w:lang w:eastAsia="ru-RU"/>
    </w:rPr>
  </w:style>
  <w:style w:type="paragraph" w:styleId="825">
    <w:name w:val="Heading 2"/>
    <w:basedOn w:val="82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826">
    <w:name w:val="Heading 3"/>
    <w:basedOn w:val="823"/>
    <w:qFormat/>
    <w:pPr>
      <w:numPr>
        <w:ilvl w:val="2"/>
        <w:numId w:val="1"/>
      </w:numPr>
      <w:jc w:val="both"/>
      <w:keepNext/>
      <w:spacing w:before="240" w:after="60" w:line="240" w:lineRule="auto"/>
      <w:outlineLvl w:val="2"/>
    </w:pPr>
    <w:rPr>
      <w:rFonts w:ascii="Arial" w:hAnsi="Arial" w:eastAsia="Times New Roman" w:cs="Times New Roman"/>
      <w:b/>
      <w:sz w:val="24"/>
      <w:szCs w:val="20"/>
      <w:lang w:eastAsia="ru-RU"/>
    </w:rPr>
  </w:style>
  <w:style w:type="paragraph" w:styleId="827">
    <w:name w:val="Heading 4"/>
    <w:basedOn w:val="823"/>
    <w:qFormat/>
    <w:pPr>
      <w:numPr>
        <w:ilvl w:val="3"/>
        <w:numId w:val="1"/>
      </w:numPr>
      <w:jc w:val="both"/>
      <w:keepNext/>
      <w:spacing w:before="240" w:after="60" w:line="240" w:lineRule="auto"/>
      <w:outlineLvl w:val="3"/>
    </w:pPr>
    <w:rPr>
      <w:rFonts w:ascii="Arial" w:hAnsi="Arial" w:eastAsia="Times New Roman" w:cs="Times New Roman"/>
      <w:sz w:val="24"/>
      <w:szCs w:val="20"/>
      <w:lang w:eastAsia="ru-RU"/>
    </w:rPr>
  </w:style>
  <w:style w:type="paragraph" w:styleId="828">
    <w:name w:val="Heading 5"/>
    <w:basedOn w:val="823"/>
    <w:qFormat/>
    <w:pPr>
      <w:numPr>
        <w:ilvl w:val="4"/>
        <w:numId w:val="1"/>
      </w:numPr>
      <w:jc w:val="both"/>
      <w:spacing w:before="240" w:after="60" w:line="240" w:lineRule="auto"/>
      <w:outlineLvl w:val="4"/>
    </w:pPr>
    <w:rPr>
      <w:rFonts w:ascii="Times New Roman" w:hAnsi="Times New Roman" w:eastAsia="Times New Roman" w:cs="Times New Roman"/>
      <w:szCs w:val="20"/>
      <w:lang w:eastAsia="ru-RU"/>
    </w:rPr>
  </w:style>
  <w:style w:type="paragraph" w:styleId="829">
    <w:name w:val="Heading 6"/>
    <w:basedOn w:val="823"/>
    <w:qFormat/>
    <w:pPr>
      <w:numPr>
        <w:ilvl w:val="5"/>
        <w:numId w:val="1"/>
      </w:numPr>
      <w:jc w:val="both"/>
      <w:spacing w:before="240" w:after="60" w:line="240" w:lineRule="auto"/>
      <w:outlineLvl w:val="5"/>
    </w:pPr>
    <w:rPr>
      <w:rFonts w:ascii="Times New Roman" w:hAnsi="Times New Roman" w:eastAsia="Times New Roman" w:cs="Times New Roman"/>
      <w:i/>
      <w:szCs w:val="20"/>
      <w:lang w:eastAsia="ru-RU"/>
    </w:rPr>
  </w:style>
  <w:style w:type="paragraph" w:styleId="830">
    <w:name w:val="Heading 7"/>
    <w:basedOn w:val="823"/>
    <w:qFormat/>
    <w:pPr>
      <w:numPr>
        <w:ilvl w:val="6"/>
        <w:numId w:val="1"/>
      </w:numPr>
      <w:jc w:val="both"/>
      <w:spacing w:before="240" w:after="60" w:line="240" w:lineRule="auto"/>
      <w:outlineLvl w:val="6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831">
    <w:name w:val="Heading 8"/>
    <w:basedOn w:val="823"/>
    <w:qFormat/>
    <w:pPr>
      <w:numPr>
        <w:ilvl w:val="7"/>
        <w:numId w:val="1"/>
      </w:numPr>
      <w:jc w:val="both"/>
      <w:spacing w:before="240" w:after="60" w:line="240" w:lineRule="auto"/>
      <w:outlineLvl w:val="7"/>
    </w:pPr>
    <w:rPr>
      <w:rFonts w:ascii="Arial" w:hAnsi="Arial" w:eastAsia="Times New Roman" w:cs="Times New Roman"/>
      <w:i/>
      <w:sz w:val="20"/>
      <w:szCs w:val="20"/>
      <w:lang w:eastAsia="ru-RU"/>
    </w:rPr>
  </w:style>
  <w:style w:type="paragraph" w:styleId="832">
    <w:name w:val="Heading 9"/>
    <w:basedOn w:val="823"/>
    <w:qFormat/>
    <w:pPr>
      <w:numPr>
        <w:ilvl w:val="8"/>
        <w:numId w:val="1"/>
      </w:numPr>
      <w:jc w:val="both"/>
      <w:spacing w:before="240" w:after="60" w:line="240" w:lineRule="auto"/>
      <w:outlineLvl w:val="8"/>
    </w:pPr>
    <w:rPr>
      <w:rFonts w:ascii="Arial" w:hAnsi="Arial" w:eastAsia="Times New Roman" w:cs="Times New Roman"/>
      <w:b/>
      <w:i/>
      <w:sz w:val="18"/>
      <w:szCs w:val="20"/>
      <w:lang w:eastAsia="ru-RU"/>
    </w:rPr>
  </w:style>
  <w:style w:type="character" w:styleId="833">
    <w:name w:val="Heading 1 Char"/>
    <w:basedOn w:val="854"/>
    <w:uiPriority w:val="9"/>
    <w:qFormat/>
    <w:rPr>
      <w:rFonts w:ascii="Arial" w:hAnsi="Arial" w:eastAsia="Arial" w:cs="Arial"/>
      <w:sz w:val="40"/>
      <w:szCs w:val="40"/>
    </w:rPr>
  </w:style>
  <w:style w:type="character" w:styleId="834">
    <w:name w:val="Heading 2 Char"/>
    <w:basedOn w:val="854"/>
    <w:uiPriority w:val="9"/>
    <w:qFormat/>
    <w:rPr>
      <w:rFonts w:ascii="Arial" w:hAnsi="Arial" w:eastAsia="Arial" w:cs="Arial"/>
      <w:sz w:val="34"/>
    </w:rPr>
  </w:style>
  <w:style w:type="character" w:styleId="835">
    <w:name w:val="Heading 3 Char"/>
    <w:basedOn w:val="854"/>
    <w:uiPriority w:val="9"/>
    <w:qFormat/>
    <w:rPr>
      <w:rFonts w:ascii="Arial" w:hAnsi="Arial" w:eastAsia="Arial" w:cs="Arial"/>
      <w:sz w:val="30"/>
      <w:szCs w:val="30"/>
    </w:rPr>
  </w:style>
  <w:style w:type="character" w:styleId="836">
    <w:name w:val="Heading 4 Char"/>
    <w:basedOn w:val="854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837">
    <w:name w:val="Heading 5 Char"/>
    <w:basedOn w:val="854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838">
    <w:name w:val="Heading 6 Char"/>
    <w:basedOn w:val="854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839">
    <w:name w:val="Heading 7 Char"/>
    <w:basedOn w:val="854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40">
    <w:name w:val="Heading 8 Char"/>
    <w:basedOn w:val="854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841">
    <w:name w:val="Heading 9 Char"/>
    <w:basedOn w:val="854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42">
    <w:name w:val="Title Char"/>
    <w:basedOn w:val="854"/>
    <w:uiPriority w:val="10"/>
    <w:qFormat/>
    <w:rPr>
      <w:sz w:val="48"/>
      <w:szCs w:val="48"/>
    </w:rPr>
  </w:style>
  <w:style w:type="character" w:styleId="843">
    <w:name w:val="Subtitle Char"/>
    <w:basedOn w:val="854"/>
    <w:uiPriority w:val="11"/>
    <w:qFormat/>
    <w:rPr>
      <w:sz w:val="24"/>
      <w:szCs w:val="24"/>
    </w:rPr>
  </w:style>
  <w:style w:type="character" w:styleId="844">
    <w:name w:val="Quote Char"/>
    <w:uiPriority w:val="29"/>
    <w:qFormat/>
    <w:rPr>
      <w:i/>
    </w:rPr>
  </w:style>
  <w:style w:type="character" w:styleId="845">
    <w:name w:val="Intense Quote Char"/>
    <w:uiPriority w:val="30"/>
    <w:qFormat/>
    <w:rPr>
      <w:i/>
    </w:rPr>
  </w:style>
  <w:style w:type="character" w:styleId="846">
    <w:name w:val="Header Char"/>
    <w:basedOn w:val="854"/>
    <w:uiPriority w:val="99"/>
    <w:qFormat/>
  </w:style>
  <w:style w:type="character" w:styleId="847">
    <w:name w:val="Footer Char"/>
    <w:basedOn w:val="854"/>
    <w:uiPriority w:val="99"/>
    <w:qFormat/>
  </w:style>
  <w:style w:type="character" w:styleId="848">
    <w:name w:val="Caption Char"/>
    <w:uiPriority w:val="99"/>
    <w:qFormat/>
  </w:style>
  <w:style w:type="character" w:styleId="849">
    <w:name w:val="Footnote Text Char"/>
    <w:uiPriority w:val="99"/>
    <w:qFormat/>
    <w:rPr>
      <w:sz w:val="18"/>
    </w:rPr>
  </w:style>
  <w:style w:type="character" w:styleId="850">
    <w:name w:val="Endnote Text Char"/>
    <w:uiPriority w:val="99"/>
    <w:qFormat/>
    <w:rPr>
      <w:sz w:val="20"/>
    </w:rPr>
  </w:style>
  <w:style w:type="character" w:styleId="85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852">
    <w:name w:val="Символ концевой сноски (user)"/>
    <w:qFormat/>
    <w:rPr>
      <w:vertAlign w:val="superscript"/>
    </w:rPr>
  </w:style>
  <w:style w:type="character" w:styleId="853">
    <w:name w:val="endnote reference"/>
    <w:rPr>
      <w:vertAlign w:val="superscript"/>
    </w:rPr>
  </w:style>
  <w:style w:type="character" w:styleId="854" w:default="1">
    <w:name w:val="Default Paragraph Font"/>
    <w:uiPriority w:val="1"/>
    <w:semiHidden/>
    <w:unhideWhenUsed/>
    <w:qFormat/>
  </w:style>
  <w:style w:type="character" w:styleId="855" w:customStyle="1">
    <w:name w:val="Заголовок 1 Знак"/>
    <w:basedOn w:val="854"/>
    <w:qFormat/>
    <w:rPr>
      <w:rFonts w:ascii="Times New Roman" w:hAnsi="Times New Roman" w:eastAsia="Times New Roman" w:cs="Times New Roman"/>
      <w:b/>
      <w:sz w:val="36"/>
      <w:szCs w:val="20"/>
      <w:lang w:eastAsia="ru-RU"/>
    </w:rPr>
  </w:style>
  <w:style w:type="character" w:styleId="856" w:customStyle="1">
    <w:name w:val="Заголовок 3 Знак"/>
    <w:basedOn w:val="854"/>
    <w:qFormat/>
    <w:rPr>
      <w:rFonts w:ascii="Arial" w:hAnsi="Arial" w:eastAsia="Times New Roman" w:cs="Times New Roman"/>
      <w:b/>
      <w:sz w:val="24"/>
      <w:szCs w:val="20"/>
      <w:lang w:eastAsia="ru-RU"/>
    </w:rPr>
  </w:style>
  <w:style w:type="character" w:styleId="857" w:customStyle="1">
    <w:name w:val="Заголовок 4 Знак"/>
    <w:basedOn w:val="854"/>
    <w:qFormat/>
    <w:rPr>
      <w:rFonts w:ascii="Arial" w:hAnsi="Arial" w:eastAsia="Times New Roman" w:cs="Times New Roman"/>
      <w:sz w:val="24"/>
      <w:szCs w:val="20"/>
      <w:lang w:eastAsia="ru-RU"/>
    </w:rPr>
  </w:style>
  <w:style w:type="character" w:styleId="858" w:customStyle="1">
    <w:name w:val="Заголовок 5 Знак"/>
    <w:basedOn w:val="854"/>
    <w:qFormat/>
    <w:rPr>
      <w:rFonts w:ascii="Times New Roman" w:hAnsi="Times New Roman" w:eastAsia="Times New Roman" w:cs="Times New Roman"/>
      <w:szCs w:val="20"/>
      <w:lang w:eastAsia="ru-RU"/>
    </w:rPr>
  </w:style>
  <w:style w:type="character" w:styleId="859" w:customStyle="1">
    <w:name w:val="Заголовок 6 Знак"/>
    <w:basedOn w:val="854"/>
    <w:qFormat/>
    <w:rPr>
      <w:rFonts w:ascii="Times New Roman" w:hAnsi="Times New Roman" w:eastAsia="Times New Roman" w:cs="Times New Roman"/>
      <w:i/>
      <w:szCs w:val="20"/>
      <w:lang w:eastAsia="ru-RU"/>
    </w:rPr>
  </w:style>
  <w:style w:type="character" w:styleId="860" w:customStyle="1">
    <w:name w:val="Заголовок 7 Знак"/>
    <w:basedOn w:val="854"/>
    <w:qFormat/>
    <w:rPr>
      <w:rFonts w:ascii="Arial" w:hAnsi="Arial" w:eastAsia="Times New Roman" w:cs="Times New Roman"/>
      <w:sz w:val="20"/>
      <w:szCs w:val="20"/>
      <w:lang w:eastAsia="ru-RU"/>
    </w:rPr>
  </w:style>
  <w:style w:type="character" w:styleId="861" w:customStyle="1">
    <w:name w:val="Заголовок 8 Знак"/>
    <w:basedOn w:val="854"/>
    <w:qFormat/>
    <w:rPr>
      <w:rFonts w:ascii="Arial" w:hAnsi="Arial" w:eastAsia="Times New Roman" w:cs="Times New Roman"/>
      <w:i/>
      <w:sz w:val="20"/>
      <w:szCs w:val="20"/>
      <w:lang w:eastAsia="ru-RU"/>
    </w:rPr>
  </w:style>
  <w:style w:type="character" w:styleId="862" w:customStyle="1">
    <w:name w:val="Заголовок 9 Знак"/>
    <w:basedOn w:val="854"/>
    <w:qFormat/>
    <w:rPr>
      <w:rFonts w:ascii="Arial" w:hAnsi="Arial" w:eastAsia="Times New Roman" w:cs="Times New Roman"/>
      <w:b/>
      <w:i/>
      <w:sz w:val="18"/>
      <w:szCs w:val="20"/>
      <w:lang w:eastAsia="ru-RU"/>
    </w:rPr>
  </w:style>
  <w:style w:type="character" w:styleId="863" w:customStyle="1">
    <w:name w:val="Основной текст с отступом Знак"/>
    <w:basedOn w:val="854"/>
    <w:uiPriority w:val="99"/>
    <w:qFormat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864" w:customStyle="1">
    <w:name w:val="Основной текст Знак"/>
    <w:basedOn w:val="854"/>
    <w:uiPriority w:val="99"/>
    <w:qFormat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865" w:customStyle="1">
    <w:name w:val="Основной текст с отступом 2 Знак"/>
    <w:basedOn w:val="854"/>
    <w:uiPriority w:val="99"/>
    <w:qFormat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866" w:customStyle="1">
    <w:name w:val="Основной текст с отступом 3 Знак"/>
    <w:basedOn w:val="854"/>
    <w:qFormat/>
    <w:rPr>
      <w:rFonts w:ascii="Times New Roman" w:hAnsi="Times New Roman" w:eastAsia="Times New Roman" w:cs="Times New Roman"/>
      <w:sz w:val="16"/>
      <w:szCs w:val="20"/>
      <w:lang w:eastAsia="ru-RU"/>
    </w:rPr>
  </w:style>
  <w:style w:type="character" w:styleId="867">
    <w:name w:val="Символ сноски"/>
    <w:qFormat/>
    <w:rPr>
      <w:rFonts w:ascii="Times New Roman" w:hAnsi="Times New Roman"/>
      <w:vertAlign w:val="superscript"/>
    </w:rPr>
  </w:style>
  <w:style w:type="character" w:styleId="868">
    <w:name w:val="Символ сноски (user)"/>
    <w:qFormat/>
    <w:rPr>
      <w:rFonts w:ascii="Times New Roman" w:hAnsi="Times New Roman"/>
      <w:vertAlign w:val="superscript"/>
    </w:rPr>
  </w:style>
  <w:style w:type="character" w:styleId="869">
    <w:name w:val="footnote reference"/>
    <w:rPr>
      <w:rFonts w:ascii="Times New Roman" w:hAnsi="Times New Roman"/>
      <w:vertAlign w:val="superscript"/>
    </w:rPr>
  </w:style>
  <w:style w:type="character" w:styleId="870" w:customStyle="1">
    <w:name w:val="Текст сноски Знак"/>
    <w:basedOn w:val="854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71" w:customStyle="1">
    <w:name w:val="ConsPlusNormal Знак"/>
    <w:uiPriority w:val="99"/>
    <w:qFormat/>
    <w:rPr>
      <w:rFonts w:ascii="Arial" w:hAnsi="Arial" w:eastAsia="Times New Roman" w:cs="Arial"/>
      <w:sz w:val="20"/>
      <w:szCs w:val="20"/>
      <w:lang w:eastAsia="ru-RU"/>
    </w:rPr>
  </w:style>
  <w:style w:type="character" w:styleId="872" w:customStyle="1">
    <w:name w:val="Без интервала Знак"/>
    <w:uiPriority w:val="1"/>
    <w:qFormat/>
    <w:rPr>
      <w:rFonts w:ascii="Arial" w:hAnsi="Arial" w:eastAsia="Times New Roman" w:cs="Times New Roman"/>
      <w:sz w:val="20"/>
      <w:szCs w:val="20"/>
      <w:lang w:eastAsia="ar-SA"/>
    </w:rPr>
  </w:style>
  <w:style w:type="character" w:styleId="873" w:customStyle="1">
    <w:name w:val="Заголовок Знак"/>
    <w:basedOn w:val="854"/>
    <w:uiPriority w:val="99"/>
    <w:qFormat/>
    <w:rPr>
      <w:rFonts w:ascii="Times New Roman" w:hAnsi="Times New Roman" w:eastAsia="Times New Roman" w:cs="Times New Roman"/>
      <w:bCs/>
      <w:color w:val="000000"/>
      <w:spacing w:val="13"/>
      <w:sz w:val="24"/>
      <w:shd w:val="clear" w:color="auto" w:fill="ffffff"/>
      <w:lang w:eastAsia="ru-RU"/>
    </w:rPr>
  </w:style>
  <w:style w:type="character" w:styleId="874" w:customStyle="1">
    <w:name w:val="ConsPlusNonformat Знак"/>
    <w:qFormat/>
    <w:rPr>
      <w:rFonts w:ascii="Courier New" w:hAnsi="Courier New" w:eastAsia="Times New Roman" w:cs="Courier New"/>
      <w:sz w:val="20"/>
      <w:szCs w:val="20"/>
      <w:lang w:eastAsia="ru-RU"/>
    </w:rPr>
  </w:style>
  <w:style w:type="character" w:styleId="875" w:customStyle="1">
    <w:name w:val="Абзац списка Знак"/>
    <w:uiPriority w:val="34"/>
    <w:qFormat/>
    <w:rPr>
      <w:rFonts w:ascii="Calibri" w:hAnsi="Calibri" w:eastAsia="Calibri" w:cs="Times New Roman"/>
      <w:lang w:eastAsia="ru-RU"/>
    </w:rPr>
  </w:style>
  <w:style w:type="character" w:styleId="876" w:customStyle="1">
    <w:name w:val="ConsNormal Знак"/>
    <w:qFormat/>
    <w:rPr>
      <w:rFonts w:ascii="Arial" w:hAnsi="Arial" w:eastAsia="Times New Roman" w:cs="Arial"/>
      <w:sz w:val="20"/>
      <w:szCs w:val="20"/>
      <w:lang w:eastAsia="ru-RU"/>
    </w:rPr>
  </w:style>
  <w:style w:type="character" w:styleId="877" w:customStyle="1">
    <w:name w:val="Font Style70"/>
    <w:uiPriority w:val="99"/>
    <w:qFormat/>
    <w:rPr>
      <w:rFonts w:ascii="Times New Roman" w:hAnsi="Times New Roman" w:cs="Times New Roman"/>
      <w:sz w:val="22"/>
      <w:szCs w:val="22"/>
    </w:rPr>
  </w:style>
  <w:style w:type="character" w:styleId="878">
    <w:name w:val="Hyperlink"/>
    <w:rPr>
      <w:color w:val="0000ff"/>
      <w:u w:val="single"/>
    </w:rPr>
  </w:style>
  <w:style w:type="character" w:styleId="879" w:customStyle="1">
    <w:name w:val="Обычный (веб) Знак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80" w:customStyle="1">
    <w:name w:val="Раздел ТД Знак"/>
    <w:qFormat/>
    <w:rPr>
      <w:rFonts w:ascii="Times New Roman" w:hAnsi="Times New Roman" w:eastAsia="Calibri" w:cs="Times New Roman"/>
      <w:b/>
      <w:sz w:val="24"/>
      <w:szCs w:val="24"/>
    </w:rPr>
  </w:style>
  <w:style w:type="character" w:styleId="881" w:customStyle="1">
    <w:name w:val="Font Style40"/>
    <w:qFormat/>
    <w:rPr>
      <w:rFonts w:ascii="Times New Roman" w:hAnsi="Times New Roman" w:cs="Times New Roman"/>
      <w:b/>
      <w:bCs/>
      <w:sz w:val="26"/>
      <w:szCs w:val="26"/>
    </w:rPr>
  </w:style>
  <w:style w:type="character" w:styleId="882" w:customStyle="1">
    <w:name w:val="Текст ТД Знак"/>
    <w:qFormat/>
    <w:rPr>
      <w:rFonts w:ascii="Times New Roman" w:hAnsi="Times New Roman" w:eastAsia="Calibri" w:cs="Times New Roman"/>
      <w:sz w:val="24"/>
      <w:szCs w:val="24"/>
    </w:rPr>
  </w:style>
  <w:style w:type="character" w:styleId="883" w:customStyle="1">
    <w:name w:val="Текст сноски Знак1"/>
    <w:basedOn w:val="854"/>
    <w:qFormat/>
    <w:rPr>
      <w:rFonts w:ascii="Times New Roman" w:hAnsi="Times New Roman" w:cs="Times New Roman"/>
      <w:sz w:val="28"/>
      <w:szCs w:val="28"/>
    </w:rPr>
  </w:style>
  <w:style w:type="character" w:styleId="884">
    <w:name w:val="Символ нумерации (user)"/>
    <w:qFormat/>
  </w:style>
  <w:style w:type="paragraph" w:styleId="885">
    <w:name w:val="Заголовок"/>
    <w:basedOn w:val="823"/>
    <w:next w:val="886"/>
    <w:qFormat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886">
    <w:name w:val="Body Text"/>
    <w:basedOn w:val="823"/>
    <w:uiPriority w:val="99"/>
    <w:qFormat/>
    <w:pPr>
      <w:jc w:val="both"/>
      <w:spacing w:before="0" w:after="120" w:line="240" w:lineRule="auto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87">
    <w:name w:val="List"/>
    <w:basedOn w:val="886"/>
    <w:rPr>
      <w:rFonts w:ascii="PT Astra Serif" w:hAnsi="PT Astra Serif" w:cs="Noto Sans Devanagari"/>
    </w:rPr>
  </w:style>
  <w:style w:type="paragraph" w:styleId="888">
    <w:name w:val="Caption"/>
    <w:basedOn w:val="82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889">
    <w:name w:val="Указатель"/>
    <w:basedOn w:val="823"/>
    <w:qFormat/>
    <w:pPr>
      <w:suppressLineNumbers/>
    </w:pPr>
    <w:rPr>
      <w:rFonts w:ascii="PT Astra Serif" w:hAnsi="PT Astra Serif" w:cs="Noto Sans Devanagari"/>
    </w:rPr>
  </w:style>
  <w:style w:type="paragraph" w:styleId="890">
    <w:name w:val="Заголовок (user)"/>
    <w:basedOn w:val="823"/>
    <w:next w:val="886"/>
    <w:qFormat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891">
    <w:name w:val="Указатель (user)"/>
    <w:basedOn w:val="823"/>
    <w:qFormat/>
    <w:pPr>
      <w:suppressLineNumbers/>
    </w:pPr>
    <w:rPr>
      <w:rFonts w:ascii="PT Astra Serif" w:hAnsi="PT Astra Serif" w:cs="Noto Sans Devanagari"/>
    </w:rPr>
  </w:style>
  <w:style w:type="paragraph" w:styleId="892">
    <w:name w:val="Subtitle"/>
    <w:basedOn w:val="823"/>
    <w:uiPriority w:val="11"/>
    <w:qFormat/>
    <w:pPr>
      <w:spacing w:before="200" w:after="200"/>
    </w:pPr>
    <w:rPr>
      <w:sz w:val="24"/>
      <w:szCs w:val="24"/>
    </w:rPr>
  </w:style>
  <w:style w:type="paragraph" w:styleId="893">
    <w:name w:val="Quote"/>
    <w:basedOn w:val="823"/>
    <w:uiPriority w:val="29"/>
    <w:qFormat/>
    <w:pPr>
      <w:ind w:left="720" w:right="720"/>
    </w:pPr>
    <w:rPr>
      <w:i/>
    </w:rPr>
  </w:style>
  <w:style w:type="paragraph" w:styleId="894">
    <w:name w:val="Intense Quote"/>
    <w:basedOn w:val="823"/>
    <w:uiPriority w:val="30"/>
    <w:qFormat/>
    <w:pPr>
      <w:ind w:left="720" w:right="720"/>
      <w:spacing w:before="0" w:after="16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95">
    <w:name w:val="Колонтитулы (user)"/>
    <w:basedOn w:val="823"/>
    <w:qFormat/>
  </w:style>
  <w:style w:type="paragraph" w:styleId="896">
    <w:name w:val="Колонтитулы"/>
    <w:basedOn w:val="823"/>
    <w:qFormat/>
  </w:style>
  <w:style w:type="paragraph" w:styleId="897">
    <w:name w:val="Header"/>
    <w:basedOn w:val="823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898">
    <w:name w:val="Footer"/>
    <w:basedOn w:val="823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899">
    <w:name w:val="endnote text"/>
    <w:basedOn w:val="823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900">
    <w:name w:val="toc 1"/>
    <w:basedOn w:val="823"/>
    <w:uiPriority w:val="39"/>
    <w:unhideWhenUsed/>
    <w:pPr>
      <w:ind w:left="0" w:right="0" w:firstLine="0"/>
      <w:spacing w:before="0" w:after="57"/>
    </w:pPr>
  </w:style>
  <w:style w:type="paragraph" w:styleId="901">
    <w:name w:val="toc 2"/>
    <w:basedOn w:val="823"/>
    <w:uiPriority w:val="39"/>
    <w:unhideWhenUsed/>
    <w:pPr>
      <w:ind w:left="283" w:right="0" w:firstLine="0"/>
      <w:spacing w:before="0" w:after="57"/>
    </w:pPr>
  </w:style>
  <w:style w:type="paragraph" w:styleId="902">
    <w:name w:val="toc 3"/>
    <w:basedOn w:val="823"/>
    <w:uiPriority w:val="39"/>
    <w:unhideWhenUsed/>
    <w:pPr>
      <w:ind w:left="567" w:right="0" w:firstLine="0"/>
      <w:spacing w:before="0" w:after="57"/>
    </w:pPr>
  </w:style>
  <w:style w:type="paragraph" w:styleId="903">
    <w:name w:val="toc 4"/>
    <w:basedOn w:val="823"/>
    <w:uiPriority w:val="39"/>
    <w:unhideWhenUsed/>
    <w:pPr>
      <w:ind w:left="850" w:right="0" w:firstLine="0"/>
      <w:spacing w:before="0" w:after="57"/>
    </w:pPr>
  </w:style>
  <w:style w:type="paragraph" w:styleId="904">
    <w:name w:val="toc 5"/>
    <w:basedOn w:val="823"/>
    <w:uiPriority w:val="39"/>
    <w:unhideWhenUsed/>
    <w:pPr>
      <w:ind w:left="1134" w:right="0" w:firstLine="0"/>
      <w:spacing w:before="0" w:after="57"/>
    </w:pPr>
  </w:style>
  <w:style w:type="paragraph" w:styleId="905">
    <w:name w:val="toc 6"/>
    <w:basedOn w:val="823"/>
    <w:uiPriority w:val="39"/>
    <w:unhideWhenUsed/>
    <w:pPr>
      <w:ind w:left="1417" w:right="0" w:firstLine="0"/>
      <w:spacing w:before="0" w:after="57"/>
    </w:pPr>
  </w:style>
  <w:style w:type="paragraph" w:styleId="906">
    <w:name w:val="toc 7"/>
    <w:basedOn w:val="823"/>
    <w:uiPriority w:val="39"/>
    <w:unhideWhenUsed/>
    <w:pPr>
      <w:ind w:left="1701" w:right="0" w:firstLine="0"/>
      <w:spacing w:before="0" w:after="57"/>
    </w:pPr>
  </w:style>
  <w:style w:type="paragraph" w:styleId="907">
    <w:name w:val="toc 8"/>
    <w:basedOn w:val="823"/>
    <w:uiPriority w:val="39"/>
    <w:unhideWhenUsed/>
    <w:pPr>
      <w:ind w:left="1984" w:right="0" w:firstLine="0"/>
      <w:spacing w:before="0" w:after="57"/>
    </w:pPr>
  </w:style>
  <w:style w:type="paragraph" w:styleId="908">
    <w:name w:val="toc 9"/>
    <w:basedOn w:val="823"/>
    <w:uiPriority w:val="39"/>
    <w:unhideWhenUsed/>
    <w:pPr>
      <w:ind w:left="2268" w:right="0" w:firstLine="0"/>
      <w:spacing w:before="0" w:after="57"/>
    </w:pPr>
  </w:style>
  <w:style w:type="paragraph" w:styleId="909">
    <w:name w:val="index heading"/>
    <w:basedOn w:val="885"/>
  </w:style>
  <w:style w:type="paragraph" w:styleId="910">
    <w:name w:val="TOC Heading"/>
    <w:uiPriority w:val="39"/>
    <w:unhideWhenUsed/>
    <w:qFormat/>
    <w:pPr>
      <w:jc w:val="left"/>
      <w:spacing w:before="0" w:beforeAutospacing="0" w:after="160" w:afterAutospacing="0" w:line="259" w:lineRule="auto"/>
      <w:widowControl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911">
    <w:name w:val="table of figures"/>
    <w:basedOn w:val="823"/>
    <w:uiPriority w:val="99"/>
    <w:unhideWhenUsed/>
    <w:pPr>
      <w:spacing w:before="0" w:after="0" w:afterAutospacing="0"/>
    </w:pPr>
  </w:style>
  <w:style w:type="paragraph" w:styleId="912">
    <w:name w:val="Body Text Indent"/>
    <w:basedOn w:val="823"/>
    <w:uiPriority w:val="99"/>
    <w:pPr>
      <w:ind w:firstLine="851"/>
      <w:jc w:val="both"/>
      <w:spacing w:before="60" w:after="0" w:line="240" w:lineRule="auto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913">
    <w:name w:val="Body Text Indent 2"/>
    <w:basedOn w:val="823"/>
    <w:uiPriority w:val="99"/>
    <w:qFormat/>
    <w:pPr>
      <w:ind w:left="283"/>
      <w:jc w:val="both"/>
      <w:spacing w:before="0" w:after="120" w:line="480" w:lineRule="auto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914">
    <w:name w:val="Body Text Indent 3"/>
    <w:basedOn w:val="823"/>
    <w:qFormat/>
    <w:pPr>
      <w:ind w:left="283"/>
      <w:jc w:val="both"/>
      <w:spacing w:before="0" w:after="120" w:line="240" w:lineRule="auto"/>
    </w:pPr>
    <w:rPr>
      <w:rFonts w:ascii="Times New Roman" w:hAnsi="Times New Roman" w:eastAsia="Times New Roman" w:cs="Times New Roman"/>
      <w:sz w:val="16"/>
      <w:szCs w:val="20"/>
      <w:lang w:eastAsia="ru-RU"/>
    </w:rPr>
  </w:style>
  <w:style w:type="paragraph" w:styleId="915">
    <w:name w:val="footnote text"/>
    <w:basedOn w:val="823"/>
    <w:qFormat/>
    <w:pPr>
      <w:jc w:val="both"/>
      <w:spacing w:before="0" w:after="6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16" w:customStyle="1">
    <w:name w:val="ConsPlusNonformat"/>
    <w:qFormat/>
    <w:pPr>
      <w:jc w:val="left"/>
      <w:spacing w:before="0" w:beforeAutospacing="0" w:after="0" w:afterAutospacing="0" w:line="240" w:lineRule="auto"/>
      <w:widowControl w:val="off"/>
    </w:pPr>
    <w:rPr>
      <w:rFonts w:ascii="Courier New" w:hAnsi="Courier New" w:eastAsia="Times New Roman" w:cs="Courier New"/>
      <w:color w:val="auto"/>
      <w:sz w:val="20"/>
      <w:szCs w:val="20"/>
      <w:lang w:val="ru-RU" w:eastAsia="ru-RU" w:bidi="ar-SA"/>
    </w:rPr>
  </w:style>
  <w:style w:type="paragraph" w:styleId="917" w:customStyle="1">
    <w:name w:val="ConsPlusNormal"/>
    <w:uiPriority w:val="99"/>
    <w:qFormat/>
    <w:pPr>
      <w:jc w:val="left"/>
      <w:spacing w:before="0" w:beforeAutospacing="0" w:after="0" w:afterAutospacing="0" w:line="240" w:lineRule="auto"/>
      <w:widowControl w:val="off"/>
    </w:pPr>
    <w:rPr>
      <w:rFonts w:ascii="Arial" w:hAnsi="Arial" w:eastAsia="Times New Roman" w:cs="Arial" w:cstheme="minorBidi"/>
      <w:color w:val="auto"/>
      <w:sz w:val="20"/>
      <w:szCs w:val="20"/>
      <w:lang w:val="ru-RU" w:eastAsia="ru-RU" w:bidi="ar-SA"/>
    </w:rPr>
  </w:style>
  <w:style w:type="paragraph" w:styleId="918">
    <w:name w:val="No Spacing"/>
    <w:basedOn w:val="823"/>
    <w:qFormat/>
    <w:pPr>
      <w:jc w:val="both"/>
      <w:spacing w:before="0" w:after="0" w:line="240" w:lineRule="auto"/>
    </w:pPr>
    <w:rPr>
      <w:rFonts w:ascii="Arial" w:hAnsi="Arial" w:eastAsia="Times New Roman" w:cs="Times New Roman"/>
      <w:sz w:val="20"/>
      <w:szCs w:val="20"/>
      <w:lang w:eastAsia="ar-SA"/>
    </w:rPr>
  </w:style>
  <w:style w:type="paragraph" w:styleId="919">
    <w:name w:val="Title"/>
    <w:basedOn w:val="823"/>
    <w:uiPriority w:val="99"/>
    <w:qFormat/>
    <w:pPr>
      <w:ind w:left="72"/>
      <w:jc w:val="center"/>
      <w:spacing w:before="0" w:after="0" w:line="240" w:lineRule="auto"/>
      <w:shd w:val="clear" w:color="auto" w:fill="ffffff"/>
      <w:widowControl w:val="off"/>
    </w:pPr>
    <w:rPr>
      <w:rFonts w:ascii="Times New Roman" w:hAnsi="Times New Roman" w:eastAsia="Times New Roman" w:cs="Times New Roman"/>
      <w:bCs/>
      <w:color w:val="000000"/>
      <w:spacing w:val="13"/>
      <w:sz w:val="24"/>
      <w:lang w:eastAsia="ru-RU"/>
    </w:rPr>
  </w:style>
  <w:style w:type="paragraph" w:styleId="920">
    <w:name w:val="List Paragraph"/>
    <w:basedOn w:val="823"/>
    <w:uiPriority w:val="34"/>
    <w:qFormat/>
    <w:pPr>
      <w:ind w:left="720"/>
      <w:spacing w:before="0" w:after="0" w:line="240" w:lineRule="auto"/>
    </w:pPr>
    <w:rPr>
      <w:rFonts w:ascii="Calibri" w:hAnsi="Calibri" w:eastAsia="Calibri" w:cs="Times New Roman"/>
      <w:lang w:eastAsia="ru-RU"/>
    </w:rPr>
  </w:style>
  <w:style w:type="paragraph" w:styleId="921" w:customStyle="1">
    <w:name w:val="ConsNormal"/>
    <w:qFormat/>
    <w:pPr>
      <w:ind w:firstLine="720"/>
      <w:jc w:val="left"/>
      <w:spacing w:before="0" w:beforeAutospacing="0" w:after="0" w:afterAutospacing="0" w:line="240" w:lineRule="auto"/>
      <w:widowControl w:val="off"/>
    </w:pPr>
    <w:rPr>
      <w:rFonts w:ascii="Arial" w:hAnsi="Arial" w:eastAsia="Times New Roman" w:cs="Arial" w:cstheme="minorBidi"/>
      <w:color w:val="auto"/>
      <w:sz w:val="20"/>
      <w:szCs w:val="20"/>
      <w:lang w:val="ru-RU" w:eastAsia="ru-RU" w:bidi="ar-SA"/>
    </w:rPr>
  </w:style>
  <w:style w:type="paragraph" w:styleId="922" w:customStyle="1">
    <w:name w:val="Контракт-раздел"/>
    <w:basedOn w:val="823"/>
    <w:qFormat/>
    <w:pPr>
      <w:numPr>
        <w:ilvl w:val="0"/>
        <w:numId w:val="2"/>
      </w:numPr>
      <w:jc w:val="center"/>
      <w:keepNext/>
      <w:spacing w:before="360" w:after="120" w:line="240" w:lineRule="auto"/>
      <w:tabs>
        <w:tab w:val="left" w:pos="540" w:leader="none"/>
        <w:tab w:val="clear" w:pos="708" w:leader="none"/>
      </w:tabs>
      <w:outlineLvl w:val="3"/>
    </w:pPr>
    <w:rPr>
      <w:rFonts w:ascii="Times New Roman" w:hAnsi="Times New Roman" w:eastAsia="Times New Roman" w:cs="Times New Roman"/>
      <w:b/>
      <w:bCs/>
      <w:smallCaps/>
      <w:sz w:val="24"/>
      <w:szCs w:val="24"/>
      <w:lang w:eastAsia="ru-RU"/>
    </w:rPr>
  </w:style>
  <w:style w:type="paragraph" w:styleId="923" w:customStyle="1">
    <w:name w:val="Контракт-пункт"/>
    <w:basedOn w:val="823"/>
    <w:qFormat/>
    <w:pPr>
      <w:numPr>
        <w:ilvl w:val="1"/>
        <w:numId w:val="2"/>
      </w:numPr>
      <w:jc w:val="both"/>
      <w:spacing w:before="0"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24" w:customStyle="1">
    <w:name w:val="Контракт-подпункт"/>
    <w:basedOn w:val="823"/>
    <w:qFormat/>
    <w:pPr>
      <w:numPr>
        <w:ilvl w:val="2"/>
        <w:numId w:val="2"/>
      </w:numPr>
      <w:jc w:val="both"/>
      <w:spacing w:before="0"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25" w:customStyle="1">
    <w:name w:val="Контракт-подподпункт"/>
    <w:basedOn w:val="823"/>
    <w:qFormat/>
    <w:pPr>
      <w:numPr>
        <w:ilvl w:val="3"/>
        <w:numId w:val="2"/>
      </w:numPr>
      <w:jc w:val="both"/>
      <w:spacing w:before="0"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26">
    <w:name w:val="Normal (Web)"/>
    <w:basedOn w:val="823"/>
    <w:qFormat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27" w:customStyle="1">
    <w:name w:val="Раздел ТД"/>
    <w:basedOn w:val="823"/>
    <w:qFormat/>
    <w:pPr>
      <w:numPr>
        <w:ilvl w:val="0"/>
        <w:numId w:val="3"/>
      </w:numPr>
      <w:jc w:val="center"/>
      <w:spacing w:before="240" w:after="0" w:line="360" w:lineRule="auto"/>
    </w:pPr>
    <w:rPr>
      <w:rFonts w:ascii="Times New Roman" w:hAnsi="Times New Roman" w:eastAsia="Calibri" w:cs="Times New Roman"/>
      <w:b/>
      <w:sz w:val="24"/>
      <w:szCs w:val="24"/>
    </w:rPr>
  </w:style>
  <w:style w:type="paragraph" w:styleId="928">
    <w:name w:val="List Number"/>
    <w:basedOn w:val="823"/>
    <w:uiPriority w:val="99"/>
    <w:semiHidden/>
    <w:unhideWhenUsed/>
    <w:pPr>
      <w:numPr>
        <w:ilvl w:val="0"/>
        <w:numId w:val="4"/>
      </w:numPr>
      <w:contextualSpacing/>
      <w:spacing w:before="0" w:after="200" w:line="276" w:lineRule="auto"/>
    </w:pPr>
    <w:rPr>
      <w:rFonts w:eastAsia="Arial" w:eastAsiaTheme="minorEastAsia"/>
      <w:lang w:eastAsia="ru-RU"/>
    </w:rPr>
  </w:style>
  <w:style w:type="paragraph" w:styleId="929" w:customStyle="1">
    <w:name w:val="Текст ТД"/>
    <w:basedOn w:val="823"/>
    <w:qFormat/>
    <w:pPr>
      <w:ind w:left="1704" w:hanging="360"/>
      <w:jc w:val="both"/>
      <w:spacing w:before="0" w:after="200" w:line="240" w:lineRule="auto"/>
      <w:tabs>
        <w:tab w:val="clear" w:pos="708" w:leader="none"/>
        <w:tab w:val="left" w:pos="1704" w:leader="none"/>
      </w:tabs>
    </w:pPr>
    <w:rPr>
      <w:rFonts w:ascii="Times New Roman" w:hAnsi="Times New Roman" w:eastAsia="Calibri" w:cs="Times New Roman"/>
      <w:sz w:val="24"/>
      <w:szCs w:val="24"/>
    </w:rPr>
  </w:style>
  <w:style w:type="paragraph" w:styleId="930">
    <w:name w:val="List Number 3"/>
    <w:basedOn w:val="823"/>
    <w:pPr>
      <w:numPr>
        <w:ilvl w:val="0"/>
        <w:numId w:val="5"/>
      </w:numPr>
      <w:jc w:val="both"/>
      <w:spacing w:before="0" w:after="60" w:line="240" w:lineRule="auto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931" w:customStyle="1">
    <w:name w:val="ConsNonformat"/>
    <w:uiPriority w:val="99"/>
    <w:qFormat/>
    <w:pPr>
      <w:ind w:right="19772"/>
      <w:jc w:val="left"/>
      <w:spacing w:before="0" w:beforeAutospacing="0" w:after="0" w:afterAutospacing="0" w:line="240" w:lineRule="auto"/>
      <w:widowControl w:val="off"/>
    </w:pPr>
    <w:rPr>
      <w:rFonts w:ascii="Courier New" w:hAnsi="Courier New" w:eastAsia="Times New Roman" w:cs="Courier New"/>
      <w:color w:val="auto"/>
      <w:sz w:val="20"/>
      <w:szCs w:val="20"/>
      <w:lang w:val="ru-RU" w:eastAsia="ru-RU" w:bidi="ar-SA"/>
    </w:rPr>
  </w:style>
  <w:style w:type="paragraph" w:styleId="932">
    <w:name w:val="Содержимое врезки"/>
    <w:basedOn w:val="823"/>
    <w:qFormat/>
  </w:style>
  <w:style w:type="paragraph" w:styleId="933">
    <w:name w:val="Содержимое врезки (user)"/>
    <w:basedOn w:val="823"/>
    <w:qFormat/>
  </w:style>
  <w:style w:type="paragraph" w:styleId="934">
    <w:name w:val="consplusnormal1"/>
    <w:basedOn w:val="823"/>
    <w:qFormat/>
    <w:pPr>
      <w:ind w:left="187" w:right="187" w:firstLine="0"/>
      <w:spacing w:before="187" w:after="187"/>
    </w:pPr>
    <w:rPr>
      <w:sz w:val="24"/>
    </w:rPr>
  </w:style>
  <w:style w:type="paragraph" w:styleId="935">
    <w:name w:val="Содержимое таблицы (user)"/>
    <w:basedOn w:val="823"/>
    <w:qFormat/>
    <w:pPr>
      <w:widowControl w:val="off"/>
      <w:suppressLineNumbers/>
    </w:pPr>
  </w:style>
  <w:style w:type="paragraph" w:styleId="936">
    <w:name w:val="Заголовок таблицы (user)"/>
    <w:basedOn w:val="935"/>
    <w:qFormat/>
    <w:pPr>
      <w:jc w:val="center"/>
      <w:suppressLineNumbers/>
    </w:pPr>
    <w:rPr>
      <w:b/>
      <w:bCs/>
    </w:rPr>
  </w:style>
  <w:style w:type="paragraph" w:styleId="937">
    <w:name w:val="Содержимое таблицы"/>
    <w:basedOn w:val="823"/>
    <w:qFormat/>
    <w:pPr>
      <w:widowControl w:val="off"/>
      <w:suppressLineNumbers/>
    </w:pPr>
  </w:style>
  <w:style w:type="paragraph" w:styleId="938">
    <w:name w:val="Заголовок таблицы"/>
    <w:basedOn w:val="937"/>
    <w:qFormat/>
    <w:pPr>
      <w:jc w:val="center"/>
      <w:suppressLineNumbers/>
    </w:pPr>
    <w:rPr>
      <w:b/>
      <w:bCs/>
    </w:rPr>
  </w:style>
  <w:style w:type="numbering" w:styleId="939" w:default="1">
    <w:name w:val="Без списка"/>
    <w:uiPriority w:val="99"/>
    <w:semiHidden/>
    <w:unhideWhenUsed/>
    <w:qFormat/>
  </w:style>
  <w:style w:type="table" w:styleId="94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wmf"/><Relationship Id="rId11" Type="http://schemas.openxmlformats.org/officeDocument/2006/relationships/hyperlink" Target="consultantplus://offline/ref=1F324A6B9D4CF96861688985C1355D793311377FAA1C8AD7E401C3AB6BCA30CEF478AE98C8EAB2B01240FCFFE18923BB4675A734F6E5F2DFO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C41CC-0E7B-4F9E-9322-8828AD1A1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Р7-Офис/2024.3.2.584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Пименова Екатерина Леонидовна</dc:creator>
  <dc:description/>
  <dc:language>ru-RU</dc:language>
  <cp:revision>281</cp:revision>
  <dcterms:created xsi:type="dcterms:W3CDTF">2022-04-14T07:42:00Z</dcterms:created>
  <dcterms:modified xsi:type="dcterms:W3CDTF">2026-07-30T09:42:41Z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