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4"/>
        <w:jc w:val="right"/>
        <w:spacing w:before="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Государственному контракту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4"/>
        <w:jc w:val="right"/>
        <w:spacing w:before="0"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____________ 2026 г. № 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4"/>
        <w:ind w:right="14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ТЕХНИЧЕСКОЕ ЗАДАНИЕ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ind w:right="14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 поставку дизельного топлива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ind w:right="14"/>
        <w:jc w:val="center"/>
        <w:spacing w:before="0"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для нужд Управления Росреестра по Нижегородской области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ind w:firstLine="709"/>
        <w:spacing w:before="0" w:after="0"/>
        <w:widowControl w:val="off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854"/>
        <w:ind w:firstLine="709"/>
        <w:jc w:val="both"/>
        <w:spacing w:before="0"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Общие сведения.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Общие сведения.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Заказчик: </w:t>
      </w:r>
      <w:r>
        <w:rPr>
          <w:rFonts w:ascii="Times New Roman" w:hAnsi="Times New Roman" w:cs="Times New Roman"/>
          <w:bCs/>
          <w:sz w:val="24"/>
          <w:szCs w:val="24"/>
        </w:rPr>
        <w:t xml:space="preserve">Управление Федеральной службы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государственной регистрации, кадастра и картографии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Нижегородской области (Управление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Росреестра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Нижегородской области)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Основание осуществления закупки на поставку дизельного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топлива</w:t>
      </w:r>
      <w:r>
        <w:rPr>
          <w:rFonts w:ascii="Times New Roman" w:hAnsi="Times New Roman" w:cs="Times New Roman"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потребность Заказчика в заправке автотранспорта дизельным топливом (далее – Товар), с применением электронных топливных (пластиковых) карт (далее – Топливные карты).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Срок поставки Товара: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 xml:space="preserve">C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момента заключения Контракта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30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11.202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6г.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до полной выборки Заказчиком максимального значения цены контракта, в зависимости от того, что наступит ранее.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8"/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Сведения об источниках финансирования: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источником финансирования является федеральный бюджет.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 xml:space="preserve">2. Цель поставки Товара.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  <w:outlineLvl w:val="1"/>
      </w:pPr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End w:id="0"/>
      <w:r>
        <w:rPr>
          <w:rFonts w:ascii="Times New Roman" w:hAnsi="Times New Roman" w:cs="Times New Roman"/>
          <w:bCs/>
          <w:iCs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с целью обеспечения деятельности Заказчика, в частности – эксплуатации автотранспортных средств в </w:t>
      </w:r>
      <w:r>
        <w:rPr>
          <w:rFonts w:ascii="Times New Roman" w:hAnsi="Times New Roman" w:cs="Times New Roman"/>
          <w:sz w:val="24"/>
          <w:szCs w:val="24"/>
        </w:rPr>
        <w:t xml:space="preserve">2026 годах.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Требования к поставляемому Товару.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3.1. Товар должен соответствовать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указанным в настоящем Техническом задании. </w:t>
      </w:r>
      <w:r>
        <w:rPr>
          <w:rFonts w:ascii="Times New Roman" w:hAnsi="Times New Roman" w:cs="Times New Roman"/>
          <w:sz w:val="24"/>
          <w:szCs w:val="24"/>
        </w:rPr>
        <w:t xml:space="preserve">Качество топлива  должно соответствовать Федеральному закону от 27.12.2002 № 184-ФЗ «О техническом регулировании», «Топливо моторное. Бензин неэтилированный», требованиям технического регламента «О требованиях к автомобильному и авиационному</w:t>
      </w:r>
      <w:r>
        <w:rPr>
          <w:rFonts w:ascii="Times New Roman" w:hAnsi="Times New Roman" w:cs="Times New Roman"/>
          <w:sz w:val="24"/>
          <w:szCs w:val="24"/>
        </w:rPr>
        <w:t xml:space="preserve"> бензину, дизельному и судо</w:t>
      </w:r>
      <w:r>
        <w:rPr>
          <w:rFonts w:ascii="Times New Roman" w:hAnsi="Times New Roman" w:cs="Times New Roman"/>
          <w:sz w:val="24"/>
          <w:szCs w:val="24"/>
        </w:rPr>
        <w:t xml:space="preserve">вому топливу, топливу для реактивных двигателей и топочному мазуту» (Решение Комиссии Таможенного союза от 18.10.2011 № 826  «О принятии технического регламента Таможенного союза «О требованиях к автомобильному и авиационному бензину, дизельному и судовому</w:t>
      </w:r>
      <w:r>
        <w:rPr>
          <w:rFonts w:ascii="Times New Roman" w:hAnsi="Times New Roman" w:cs="Times New Roman"/>
          <w:sz w:val="24"/>
          <w:szCs w:val="24"/>
        </w:rPr>
        <w:t xml:space="preserve"> топливу, топливу для реактивных двигателей и мазуту»  (вместе с «ТР ТС 013/2011. Технический регламент Таможенного союза. «О требованиях к автомобильному и авиационному бензину, дизельному и судовому топливу, топливу для реактивных двигателей и мазуту»), </w:t>
      </w:r>
      <w:r>
        <w:rPr>
          <w:rFonts w:ascii="Times New Roman" w:hAnsi="Times New Roman" w:cs="Times New Roman"/>
          <w:sz w:val="24"/>
          <w:szCs w:val="24"/>
        </w:rPr>
        <w:t xml:space="preserve">что должно подтверждаться сертификатами соответствия.</w:t>
      </w:r>
      <w:r>
        <w:rPr>
          <w:rFonts w:ascii="Times New Roman" w:hAnsi="Times New Roman" w:cs="Times New Roman"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Cs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</w:rPr>
        <w:t xml:space="preserve">Качество и безопасность поставляемого товара должны соответствовать  ГОСТ 32511-2013, </w:t>
      </w:r>
      <w:r>
        <w:rPr>
          <w:rFonts w:ascii="Times New Roman" w:hAnsi="Times New Roman"/>
        </w:rPr>
        <w:t xml:space="preserve">технического регламента Таможенного со</w:t>
      </w:r>
      <w:r>
        <w:rPr>
          <w:rFonts w:ascii="Times New Roman" w:hAnsi="Times New Roman"/>
        </w:rPr>
        <w:t xml:space="preserve">юза «О требованиях к автомобильному и авиационному бензину, дизельному и судовому топливу, топливу для реактивных двигателей и мазуту» (ТР ТС 013/2011), утвержденного Решением Комиссии Таможенного союза № 826 от 18.10.2011, ГОСТ Р 52368-2005 (ЕН 590:2009).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right="102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4. Поставка Товара.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Поставка Товара осуществляется посредством выборки (самовывоза) товара Заказч</w:t>
      </w:r>
      <w:r>
        <w:rPr>
          <w:rFonts w:ascii="Times New Roman" w:hAnsi="Times New Roman" w:cs="Times New Roman"/>
          <w:sz w:val="24"/>
          <w:szCs w:val="24"/>
        </w:rPr>
        <w:t xml:space="preserve">иком (заправки автотранспортных средств Заказчика Товаром) по мере необходимости Заказчика по месту нахождения автозаправочных станций (АЗС), (собственных и (или) сторонних АЗС, на которых обслуживаются Топливные карты Поставщика), указанные в перечне АЗС </w:t>
      </w:r>
      <w:r>
        <w:rPr>
          <w:rFonts w:ascii="Times New Roman" w:hAnsi="Times New Roman" w:cs="Times New Roman"/>
          <w:sz w:val="24"/>
          <w:szCs w:val="24"/>
        </w:rPr>
        <w:t xml:space="preserve">(Приложение № 1 к настоящему техническому заданию).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Поставщик обеспечивает незамедлительный отпуск топлива Заказчику по его потребности в сети АЗС, принимающих Топливные карты Поставщика, с обязательным предоставлением держателю Топливной карты кассового или терминального чека.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Отпуск Товара по Топливным картам должен осуществляться 24 часа в сутки </w:t>
      </w:r>
      <w:r>
        <w:rPr>
          <w:rFonts w:ascii="Times New Roman" w:hAnsi="Times New Roman" w:cs="Times New Roman"/>
          <w:sz w:val="24"/>
          <w:szCs w:val="24"/>
        </w:rPr>
        <w:br/>
        <w:t xml:space="preserve">по всей сети АЗС Поставщика без ограничений по к</w:t>
      </w:r>
      <w:r>
        <w:rPr>
          <w:rFonts w:ascii="Times New Roman" w:hAnsi="Times New Roman" w:cs="Times New Roman"/>
          <w:sz w:val="24"/>
          <w:szCs w:val="24"/>
        </w:rPr>
        <w:t xml:space="preserve">оличеству Товара, но в пределах</w:t>
      </w:r>
      <w:r>
        <w:rPr>
          <w:rFonts w:ascii="Times New Roman" w:hAnsi="Times New Roman" w:cs="Times New Roman"/>
          <w:sz w:val="24"/>
          <w:szCs w:val="24"/>
        </w:rPr>
        <w:t xml:space="preserve"> лимитов, установленных Заказчиком и в пределах максимального значения цены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spacing w:after="0"/>
        <w:widowControl w:val="off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Требования к АЗС.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right="5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5.1. Поставщик должен обес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печить обязательное наличие АЗС, </w:t>
      </w:r>
      <w:r>
        <w:rPr>
          <w:rFonts w:ascii="Times New Roman" w:hAnsi="Times New Roman" w:cs="Times New Roman"/>
          <w:sz w:val="24"/>
          <w:szCs w:val="24"/>
        </w:rPr>
        <w:t xml:space="preserve">расположенных в городе Нижнем Новгороде и районах Нижегородской области, с обязательным наличие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 в районах Нижегородской области: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Арзамас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Бор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Выкса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Дзержинск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Кулебаки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Навашино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Саров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Семенов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Чкаловск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г. Шахунья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Ардатовский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Арзамасский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Балахнинский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Богородской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Большеболдинский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Большемурашкинский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Вадский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Вачский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Вознесенский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Воротынский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Воскресенский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Гагинский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Городецкий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Дальнеконстантиновский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Дивеевский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Княгининский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Ковернинский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Краснобаковский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Кстовский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Лукояновский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Лысковский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Павловский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Первомайский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Перевозский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Пильнинский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Починковский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Сергачский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Сеченовский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Сокольский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Тоншаевский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Уренский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Шатковский</w:t>
      </w:r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Шарангский</w:t>
      </w:r>
      <w:r>
        <w:rPr>
          <w:rFonts w:ascii="Times New Roman" w:hAnsi="Times New Roman" w:cs="Times New Roman"/>
          <w:sz w:val="24"/>
          <w:szCs w:val="24"/>
        </w:rPr>
        <w:t xml:space="preserve"> район.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5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Поставщик </w:t>
      </w:r>
      <w:r>
        <w:rPr>
          <w:rFonts w:ascii="Times New Roman" w:hAnsi="Times New Roman" w:cs="Times New Roman"/>
          <w:sz w:val="24"/>
          <w:szCs w:val="24"/>
        </w:rPr>
        <w:t xml:space="preserve">к моменту</w:t>
      </w:r>
      <w:r>
        <w:rPr>
          <w:rFonts w:ascii="Times New Roman" w:hAnsi="Times New Roman" w:cs="Times New Roman"/>
          <w:sz w:val="24"/>
          <w:szCs w:val="24"/>
        </w:rPr>
        <w:t xml:space="preserve"> заключения Контракта предоставляет Заказчику </w:t>
      </w:r>
      <w:r>
        <w:rPr>
          <w:rFonts w:ascii="Times New Roman" w:hAnsi="Times New Roman" w:cs="Times New Roman"/>
          <w:sz w:val="24"/>
          <w:szCs w:val="24"/>
        </w:rPr>
        <w:t xml:space="preserve">по форме приложения № 1 к настоящему техническому заданию</w:t>
      </w:r>
      <w:r>
        <w:rPr>
          <w:rFonts w:ascii="Times New Roman" w:hAnsi="Times New Roman" w:cs="Times New Roman"/>
          <w:sz w:val="24"/>
          <w:szCs w:val="24"/>
        </w:rPr>
        <w:t xml:space="preserve"> перечень АЗС (собственных и (или) сторонних) в соответствии с требованиями настоящего раздела, на которых обслуживаются Топливные карты, выданные Поставщиком.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keepNext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Требования к Топливным картам и сервисным службам.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right="5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861"/>
          <w:sz w:val="24"/>
          <w:szCs w:val="24"/>
          <w:lang w:eastAsia="ar-SA"/>
        </w:rPr>
        <w:t xml:space="preserve">6</w:t>
      </w:r>
      <w:r>
        <w:rPr>
          <w:rStyle w:val="861"/>
          <w:sz w:val="24"/>
          <w:szCs w:val="24"/>
          <w:lang w:eastAsia="ar-SA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Поставщик в срок не более 3 (трех) рабочих дней с даты заключения Контракта</w:t>
      </w:r>
      <w:r>
        <w:rPr>
          <w:color w:val="000000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за свой счет изготавливает, оформляет и передает Заказчику Топливные карты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акту приема-передачи Топливных карт (приложение № 2 к настоящему техническому заданию, далее – Акт приема-передачи Топливных карт), содержащий перечень, передаваемых </w:t>
      </w:r>
      <w:r>
        <w:rPr>
          <w:rFonts w:ascii="Times New Roman" w:hAnsi="Times New Roman" w:cs="Times New Roman"/>
          <w:sz w:val="24"/>
          <w:szCs w:val="24"/>
        </w:rPr>
        <w:t xml:space="preserve">Топливных карт на Товар в следующем количестве: ориентировочное количество -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 шт., количество карт может быть изменено по заявке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6.2. Доставка Топливных карт Заказчику производится за свой счет Поставщиком, по адресу: г. </w:t>
      </w:r>
      <w:r>
        <w:rPr>
          <w:rFonts w:ascii="Times New Roman" w:hAnsi="Times New Roman" w:cs="Times New Roman"/>
          <w:sz w:val="24"/>
          <w:szCs w:val="24"/>
        </w:rPr>
        <w:t xml:space="preserve">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 xml:space="preserve">Малая Ямская, д.78А, пом. П5.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Возврат Заказчиком Топливных карт Поставщику осуществляется по Акту приема-передачи Топливных карт – в течение 20 (Двадцати) дней с даты окончания срока поставки Товара, указанного в п. 1.3 Технического задания.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6.4. За обслуживание Топливных карт абонентская плата не взимается.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Каждая Топливная карта должна иметь персональный идентификационный номер (</w:t>
      </w:r>
      <w:r>
        <w:rPr>
          <w:rFonts w:ascii="Times New Roman" w:hAnsi="Times New Roman"/>
          <w:sz w:val="24"/>
          <w:szCs w:val="24"/>
        </w:rPr>
        <w:t xml:space="preserve">пин</w:t>
      </w:r>
      <w:r>
        <w:rPr>
          <w:rFonts w:ascii="Times New Roman" w:hAnsi="Times New Roman"/>
          <w:sz w:val="24"/>
          <w:szCs w:val="24"/>
        </w:rPr>
        <w:t xml:space="preserve"> - код).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Поставщик обеспечивает возможность установки </w:t>
      </w:r>
      <w:r>
        <w:rPr>
          <w:rFonts w:ascii="Times New Roman" w:hAnsi="Times New Roman"/>
          <w:sz w:val="24"/>
          <w:szCs w:val="24"/>
        </w:rPr>
        <w:t xml:space="preserve">установленного </w:t>
      </w:r>
      <w:r>
        <w:rPr>
          <w:rFonts w:ascii="Times New Roman" w:hAnsi="Times New Roman"/>
          <w:sz w:val="24"/>
          <w:szCs w:val="24"/>
        </w:rPr>
        <w:t xml:space="preserve">лимита топлива на Топливной карте в литрах, превысить который невозможно.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ержателю Топливной карты разрешено заправиться конкретным видом топлива в пределах установленного лимита, вне зависимости от того, заправляется он каждый день или несколько раз в месяц.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При утере Топливной карты по обращению Заказчика Поставщик производит блокировку утерянной топливной карты не позднее 24 часов, а также выдает в течение 1 (Одного) рабочего дня новую Топливную карту на безвозмездной основе.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Поставщик обеспечивает работу круглосуточного телефона «горячей линии» поддержки клиентов, держателей топливных карт, предоставление услуги личный </w:t>
      </w:r>
      <w:r>
        <w:rPr>
          <w:rFonts w:ascii="Times New Roman" w:hAnsi="Times New Roman" w:cs="Times New Roman"/>
          <w:sz w:val="24"/>
          <w:szCs w:val="24"/>
        </w:rPr>
        <w:br/>
        <w:t xml:space="preserve">сервис – менеджер.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Поставщик должен вести учет отпущенного топлива путем составления базы данных с сохранением инфо</w:t>
      </w:r>
      <w:r>
        <w:rPr>
          <w:rFonts w:ascii="Times New Roman" w:hAnsi="Times New Roman" w:cs="Times New Roman"/>
          <w:sz w:val="24"/>
          <w:szCs w:val="24"/>
        </w:rPr>
        <w:t xml:space="preserve">рмации о датах, количестве и виде отпущенного топлива, подтверждать передачу топлива выдачей чека представителю Заказчика (водителю) и предоставлять Заказчику ежемесячные отчеты (в электронной форме) по заправке топлива по каждой Топливной карте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Поставщик обеспечивает возможность Заказчика самостоятельно на постоянной основе управлять, контролирова</w:t>
      </w:r>
      <w:r>
        <w:rPr>
          <w:rFonts w:ascii="Times New Roman" w:hAnsi="Times New Roman" w:cs="Times New Roman"/>
          <w:sz w:val="24"/>
          <w:szCs w:val="24"/>
        </w:rPr>
        <w:t xml:space="preserve">ть, получать информацию по Топливным картам в режиме «онлайн» (через сеть «Интернет», «личный кабинет», «электронная почта»), получать информацию об остатке суточного лимита по Топливной карте в режиме «онлайн» или на любой АЗС из перечня АЗС, получив чек.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6.11. Поставщик обеспечивает возможность Заказчика просматривать, распечатывать информацию о всех транзакциях, совершенных по каждой Топливной карте </w:t>
      </w:r>
      <w:r>
        <w:rPr>
          <w:rFonts w:ascii="Times New Roman" w:hAnsi="Times New Roman" w:cs="Times New Roman"/>
          <w:sz w:val="24"/>
          <w:szCs w:val="24"/>
        </w:rPr>
        <w:t xml:space="preserve">за определенные промежутки времени, которая должна включать дату и время операции, номер топливной карты, номер АЗС, адрес АЗС, вид топлива, количество отпущенного топлива (в литрах), цену Товара за единицу, общую стоимость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57" w:firstLine="709"/>
        <w:jc w:val="both"/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4"/>
          <w:szCs w:val="24"/>
        </w:rPr>
        <w:t xml:space="preserve">6.12. В срок не позднее 2 (двух) рабочих дней с даты заключения Контракта</w:t>
      </w:r>
      <w:r>
        <w:rPr>
          <w:rFonts w:ascii="Times New Roman" w:hAnsi="Times New Roman" w:cs="Times New Roman"/>
          <w:sz w:val="24"/>
          <w:szCs w:val="24"/>
        </w:rPr>
        <w:t xml:space="preserve"> Поставщик назначает и направляет Заказчику информацию об ответственном сотруднике за исполнение Контракта, а именно: фамилия, имя, отчество, адрес электронной почты и номер мобильного телефона для организации оперативного взаимодействия в рамках Контракта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Theme="minorHAnsi" w:hAnsiTheme="minorHAnsi" w:cstheme="minorBidi"/>
        </w:rPr>
      </w:r>
      <w:r>
        <w:rPr>
          <w:rFonts w:asciiTheme="minorHAnsi" w:hAnsiTheme="minorHAnsi" w:cstheme="minorBidi"/>
        </w:rPr>
      </w:r>
    </w:p>
    <w:p>
      <w:pPr>
        <w:pStyle w:val="862"/>
        <w:numPr>
          <w:ilvl w:val="0"/>
          <w:numId w:val="0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Поставщик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 моменту заключения государственного контракта предоставляет Заказчику сведения о номерах АЗС/заправочных пунктов, наименованиях районов города Нижнего Новго</w:t>
      </w:r>
      <w:r>
        <w:rPr>
          <w:rFonts w:ascii="Times New Roman" w:hAnsi="Times New Roman" w:cs="Times New Roman"/>
          <w:sz w:val="24"/>
          <w:szCs w:val="24"/>
        </w:rPr>
        <w:t xml:space="preserve">рода и Нижегородской области, где расположены данные АЗС/заправочные пункты, наименованиях населенных пунктов или наименованиях участков автомобильных трасс, номерах строений, служащих ориентиром для описания точного местоположения АЗС/заправочных пунктов.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276"/>
        <w:gridCol w:w="2356"/>
        <w:gridCol w:w="1602"/>
        <w:gridCol w:w="1602"/>
        <w:gridCol w:w="1602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Наименование товара, работы, услуги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Код позиции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95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Характеристики товара, работы, услуги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Единица измерения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Инструкция по заполнению характеристик в заявке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Наименование характеристики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Значение характеристики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350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Топливо дизельное (розничная реализация)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19.20.21.300-00000009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</w:tr>
      <w:tr>
        <w:tblPrEx/>
        <w:trPr>
          <w:trHeight w:val="15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Сорт/класс топлива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Не ниже F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restart"/>
            <w:textDirection w:val="lrTb"/>
            <w:noWrap w:val="false"/>
          </w:tcPr>
          <w:p>
            <w:pPr>
              <w:pStyle w:val="854"/>
              <w:jc w:val="center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Литр; кубический дециметр (Л; ДМ3)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Тип топлива дизельного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Межсезонное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5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Экологический класс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Не ниже К5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</w:tc>
      </w:tr>
    </w:tbl>
    <w:p>
      <w:pPr>
        <w:pStyle w:val="854"/>
        <w:spacing w:before="0" w:after="0"/>
        <w:widowControl w:val="off"/>
        <w:rPr>
          <w:rFonts w:ascii="Times New Roman" w:hAnsi="Times New Roman" w:cs="Times New Roman"/>
          <w:b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4"/>
        <w:spacing w:before="0" w:after="0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4"/>
        <w:ind w:firstLine="709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1 к Техническому заданию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spacing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4"/>
        <w:spacing w:before="0" w:after="0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54"/>
        <w:jc w:val="center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Перечень АЗС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4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963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42"/>
        <w:gridCol w:w="4106"/>
        <w:gridCol w:w="4686"/>
      </w:tblGrid>
      <w:tr>
        <w:tblPrEx/>
        <w:trPr/>
        <w:tc>
          <w:tcPr>
            <w:tcW w:w="842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left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6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Наименование/Бренд АЗС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86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b/>
                <w:bCs w:val="0"/>
                <w:i w:val="0"/>
                <w:iCs w:val="0"/>
                <w:caps w:val="0"/>
                <w:smallCaps w:val="0"/>
                <w:strike w:val="0"/>
                <w:vanish w:val="0"/>
                <w:color w:val="auto"/>
                <w:spacing w:val="0"/>
                <w:position w:val="0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Адрес АЗС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42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6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86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42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6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86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842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6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86" w:type="dxa"/>
            <w:textDirection w:val="lrTb"/>
            <w:noWrap w:val="false"/>
          </w:tcPr>
          <w:p>
            <w:pPr>
              <w:pStyle w:val="85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54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4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4"/>
        <w:ind w:firstLine="0"/>
        <w:jc w:val="right"/>
        <w:spacing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4"/>
        <w:ind w:firstLine="0"/>
        <w:jc w:val="righ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2 к Техническому заданию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numPr>
          <w:ilvl w:val="0"/>
          <w:numId w:val="0"/>
        </w:numPr>
        <w:ind w:left="0" w:right="2" w:firstLine="0"/>
        <w:jc w:val="center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АКТА приема-передачи Топливных карт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78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091"/>
        <w:gridCol w:w="224"/>
        <w:gridCol w:w="4466"/>
      </w:tblGrid>
      <w:tr>
        <w:tblPrEx/>
        <w:trPr/>
        <w:tc>
          <w:tcPr>
            <w:tcW w:w="5091" w:type="dxa"/>
            <w:textDirection w:val="lrTb"/>
            <w:noWrap w:val="false"/>
          </w:tcPr>
          <w:p>
            <w:pPr>
              <w:pStyle w:val="854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" w:type="dxa"/>
            <w:textDirection w:val="lrTb"/>
            <w:noWrap w:val="false"/>
          </w:tcPr>
          <w:p>
            <w:pPr>
              <w:pStyle w:val="854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466" w:type="dxa"/>
            <w:textDirection w:val="lrTb"/>
            <w:noWrap w:val="false"/>
          </w:tcPr>
          <w:p>
            <w:pPr>
              <w:pStyle w:val="854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215"/>
        </w:trPr>
        <w:tc>
          <w:tcPr>
            <w:tcW w:w="5091" w:type="dxa"/>
            <w:vAlign w:val="center"/>
            <w:textDirection w:val="lrTb"/>
            <w:noWrap w:val="false"/>
          </w:tcPr>
          <w:p>
            <w:pPr>
              <w:pStyle w:val="854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Нижегородской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" w:type="dxa"/>
            <w:vAlign w:val="center"/>
            <w:textDirection w:val="lrTb"/>
            <w:noWrap w:val="false"/>
          </w:tcPr>
          <w:p>
            <w:pPr>
              <w:pStyle w:val="854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466" w:type="dxa"/>
            <w:vAlign w:val="center"/>
            <w:textDirection w:val="lrTb"/>
            <w:noWrap w:val="false"/>
          </w:tcPr>
          <w:p>
            <w:pPr>
              <w:pStyle w:val="854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28"/>
        </w:trPr>
        <w:tc>
          <w:tcPr>
            <w:tcW w:w="5091" w:type="dxa"/>
            <w:textDirection w:val="lrTb"/>
            <w:noWrap w:val="false"/>
          </w:tcPr>
          <w:p>
            <w:pPr>
              <w:pStyle w:val="854"/>
              <w:spacing w:before="0" w:after="0" w:line="240" w:lineRule="auto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603950, г. Нижний Новгород, ул. Малая Ямская, д. 78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" w:type="dxa"/>
            <w:textDirection w:val="lrTb"/>
            <w:noWrap w:val="false"/>
          </w:tcPr>
          <w:p>
            <w:pPr>
              <w:pStyle w:val="854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466" w:type="dxa"/>
            <w:textDirection w:val="lrTb"/>
            <w:noWrap w:val="false"/>
          </w:tcPr>
          <w:p>
            <w:pPr>
              <w:pStyle w:val="854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91" w:type="dxa"/>
            <w:textDirection w:val="lrTb"/>
            <w:noWrap w:val="false"/>
          </w:tcPr>
          <w:p>
            <w:pPr>
              <w:pStyle w:val="854"/>
              <w:ind w:right="-5"/>
              <w:spacing w:before="0" w:after="0"/>
              <w:shd w:val="clear" w:color="auto" w:fill="ffffff"/>
              <w:tabs>
                <w:tab w:val="clear" w:pos="708" w:leader="none"/>
                <w:tab w:val="left" w:pos="9355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603950, г. Нижний Новгород, ул. Малая Ямская, д. 78А, пом.5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" w:type="dxa"/>
            <w:textDirection w:val="lrTb"/>
            <w:noWrap w:val="false"/>
          </w:tcPr>
          <w:p>
            <w:pPr>
              <w:pStyle w:val="854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4466" w:type="dxa"/>
            <w:textDirection w:val="lrTb"/>
            <w:noWrap w:val="false"/>
          </w:tcPr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Р/сч  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К/сч 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ОКТМО 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54"/>
        <w:numPr>
          <w:ilvl w:val="0"/>
          <w:numId w:val="0"/>
        </w:numPr>
        <w:ind w:left="0" w:right="2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 К 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numPr>
          <w:ilvl w:val="0"/>
          <w:numId w:val="0"/>
        </w:numPr>
        <w:ind w:left="0" w:right="2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приема-передачи Топливных карт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numPr>
          <w:ilvl w:val="0"/>
          <w:numId w:val="0"/>
        </w:numPr>
        <w:ind w:left="0" w:right="2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Cs/>
          <w:sz w:val="24"/>
          <w:szCs w:val="24"/>
        </w:rPr>
        <w:t xml:space="preserve">по Государственному контракту от «___» ___________202__ г. №_____________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numPr>
          <w:ilvl w:val="0"/>
          <w:numId w:val="0"/>
        </w:numPr>
        <w:ind w:left="0" w:right="2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 w:cs="Times New Roman"/>
          <w:bCs/>
          <w:sz w:val="24"/>
          <w:szCs w:val="24"/>
        </w:rPr>
        <w:outlineLvl w:val="0"/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54"/>
        <w:numPr>
          <w:ilvl w:val="0"/>
          <w:numId w:val="0"/>
        </w:numPr>
        <w:ind w:left="0" w:firstLine="0"/>
        <w:jc w:val="center"/>
        <w:spacing w:before="0" w:after="0" w:line="240" w:lineRule="auto"/>
        <w:widowControl w:val="off"/>
        <w:tabs>
          <w:tab w:val="left" w:pos="708" w:leader="none"/>
        </w:tabs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bCs/>
          <w:sz w:val="24"/>
          <w:szCs w:val="24"/>
        </w:rPr>
        <w:t xml:space="preserve">Составлен «___» __________ 202___ 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4"/>
        <w:ind w:firstLine="709"/>
        <w:jc w:val="both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Нижегородской области (Управление Росреестра по Нижегородской области), именуемая в дальнейшем «Заказчик</w:t>
      </w:r>
      <w:r>
        <w:rPr>
          <w:rFonts w:ascii="Times New Roman" w:hAnsi="Times New Roman" w:cs="Times New Roman"/>
          <w:sz w:val="24"/>
          <w:szCs w:val="24"/>
        </w:rPr>
        <w:t xml:space="preserve">», в лице ________________________________________________________________, действующего </w:t>
        <w:br/>
        <w:t xml:space="preserve">на основании доверенности от _______________ № __________________, с одной стороны и ________________________________________________________,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Поставщик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_______________________________________________, действующего на основании _________________________, с другой стороны, составили настоящий Акт о том, что __________________ передал, а _______________ принял Топливные карты, а именно: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pPr w:horzAnchor="margin" w:tblpXSpec="left" w:vertAnchor="text" w:tblpY="75" w:leftFromText="180" w:topFromText="0" w:rightFromText="180" w:bottomFromText="0"/>
        <w:tblW w:w="9634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78"/>
        <w:gridCol w:w="2528"/>
        <w:gridCol w:w="1709"/>
        <w:gridCol w:w="2397"/>
        <w:gridCol w:w="2422"/>
      </w:tblGrid>
      <w:tr>
        <w:tblPrEx/>
        <w:trPr>
          <w:trHeight w:val="2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vAlign w:val="center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center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Номер Топливной карты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vAlign w:val="center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лимита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vAlign w:val="center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Значение лимита, литр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center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Категория автотранспорта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bottom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bottom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bottom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8" w:type="dxa"/>
            <w:vAlign w:val="bottom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9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54"/>
        <w:ind w:firstLine="709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Топливных карт: ___ (____________) штук.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ind w:firstLine="709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Топливные карты являются собственностью Поставщика и подлежат возврату по окончании действия Государственного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ind w:firstLine="709"/>
        <w:spacing w:before="0"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Продажа и передача пластиковых карт третьим лицам запрещена.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35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7"/>
        <w:gridCol w:w="4676"/>
      </w:tblGrid>
      <w:tr>
        <w:tblPrEx/>
        <w:trPr/>
        <w:tc>
          <w:tcPr>
            <w:shd w:val="clear" w:color="ffffff" w:fill="ffffff"/>
            <w:tcW w:w="4677" w:type="dxa"/>
            <w:textDirection w:val="lrTb"/>
            <w:noWrap w:val="false"/>
          </w:tcPr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Заказчика: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_____________ 2026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676" w:type="dxa"/>
            <w:textDirection w:val="lrTb"/>
            <w:noWrap w:val="false"/>
          </w:tcPr>
          <w:p>
            <w:pPr>
              <w:pStyle w:val="854"/>
              <w:jc w:val="center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Поставщика: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jc w:val="center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54"/>
              <w:jc w:val="center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jc w:val="center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_____________ 2026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Style w:val="8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pStyle w:val="854"/>
        <w:jc w:val="right"/>
        <w:spacing w:before="0"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к Государственному контракту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jc w:val="right"/>
        <w:spacing w:before="0"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____________ 2026 г. № 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jc w:val="right"/>
        <w:spacing w:before="0"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jc w:val="center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Спецификация</w:t>
      </w:r>
      <w:r>
        <w:rPr>
          <w:rStyle w:val="839"/>
          <w:rFonts w:ascii="Times New Roman" w:hAnsi="Times New Roman" w:cs="Times New Roman"/>
          <w:b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jc w:val="center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автомобильного бензина для нужд Управления Росреестра по Нижегородской области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2"/>
        <w:gridCol w:w="2245"/>
        <w:gridCol w:w="1506"/>
        <w:gridCol w:w="1840"/>
        <w:gridCol w:w="1339"/>
        <w:gridCol w:w="1832"/>
      </w:tblGrid>
      <w:tr>
        <w:tblPrEx/>
        <w:trPr/>
        <w:tc>
          <w:tcPr>
            <w:tcW w:w="592" w:type="dxa"/>
            <w:vAlign w:val="center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vAlign w:val="center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Наименование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6" w:type="dxa"/>
            <w:vAlign w:val="center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Наименование товара в соответствии с КТРУ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0" w:type="dxa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t xml:space="preserve">Единица измерения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39" w:type="dxa"/>
            <w:vAlign w:val="center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t xml:space="preserve">Страна происхождения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t xml:space="preserve">Максимальная цена за одну единицу товара, с НДС (22%)</w:t>
            </w:r>
            <w:r>
              <w:rPr>
                <w:rStyle w:val="839"/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footnoteReference w:id="3"/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en-US" w:bidi="ar-SA"/>
              </w:rPr>
              <w:t xml:space="preserve">, руб.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38"/>
        </w:trPr>
        <w:tc>
          <w:tcPr>
            <w:tcW w:w="592" w:type="dxa"/>
            <w:vAlign w:val="center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45" w:type="dxa"/>
            <w:vAlign w:val="center"/>
            <w:textDirection w:val="lrTb"/>
            <w:noWrap w:val="false"/>
          </w:tcPr>
          <w:p>
            <w:pPr>
              <w:pStyle w:val="854"/>
              <w:ind w:hanging="68"/>
              <w:jc w:val="center"/>
              <w:spacing w:before="0" w:after="0" w:line="240" w:lineRule="auto"/>
              <w:shd w:val="clear" w:color="auto" w:fill="ffffff"/>
              <w:widowControl/>
              <w:tabs>
                <w:tab w:val="left" w:pos="-180" w:leader="none"/>
                <w:tab w:val="clear" w:pos="708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Топливо дизельное (розничная реализация)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19.20.21.300-00000009</w:t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2"/>
                <w:szCs w:val="12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en-US" w:bidi="ar-SA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0" w:type="dxa"/>
            <w:vAlign w:val="center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en-US" w:bidi="ar-SA"/>
              </w:rPr>
              <w:t xml:space="preserve">Литр; кубический дециметр (Л; ДМ3)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39" w:type="dxa"/>
            <w:vAlign w:val="center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pStyle w:val="854"/>
              <w:ind w:firstLine="709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5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4"/>
        <w:numPr>
          <w:ilvl w:val="0"/>
          <w:numId w:val="0"/>
        </w:numPr>
        <w:ind w:left="0" w:right="0" w:firstLine="0"/>
        <w:jc w:val="both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Максимальное значение цены Контракта составляет 50 000 (Пятьдесят тысяч) рублей 00 копеек,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 том числе НДС ___ % _______ рублей___ копеек,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4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>
        <w:tblPrEx/>
        <w:trPr>
          <w:trHeight w:val="1957"/>
        </w:trPr>
        <w:tc>
          <w:tcPr>
            <w:tcW w:w="4677" w:type="dxa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ЗАКАЗЧИК: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Управление Федеральной службы государственной регистрации, кадастра и картографии по Нижегородской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«___» ____________ 202__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ПОСТАВЩИК: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«___» ____________ 202__ г.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54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4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4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4"/>
        <w:ind w:firstLine="567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37"/>
        <w:spacing w:before="0" w:after="160"/>
      </w:pPr>
      <w:r>
        <w:rPr>
          <w:rStyle w:val="860"/>
        </w:rPr>
        <w:footnoteRef/>
      </w:r>
      <w:r>
        <w:t xml:space="preserve"> </w:t>
      </w:r>
      <w:r>
        <w:t xml:space="preserve">Заполняется при заключении государственного контракта.</w:t>
      </w:r>
      <w:r/>
    </w:p>
  </w:footnote>
  <w:footnote w:id="3">
    <w:p>
      <w:pPr>
        <w:pStyle w:val="837"/>
        <w:spacing w:before="0" w:after="0"/>
      </w:pPr>
      <w:r>
        <w:rPr>
          <w:rStyle w:val="860"/>
        </w:rPr>
        <w:footnoteRef/>
      </w:r>
      <w:r>
        <w:t xml:space="preserve"> </w:t>
      </w:r>
      <w:r>
        <w:t xml:space="preserve">Если Поставщик не является плательщиком налога на добавленную стоимость (в том числе находится</w:t>
        <w:br/>
        <w:t xml:space="preserve">на упрощённой системе налогообложения), то при указании цены контракта вместо указания суммы налога на добавленную стоимость ставится «НДС не облагается».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138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character" w:styleId="860" w:customStyle="1">
    <w:name w:val="Символ сноски"/>
    <w:qFormat/>
    <w:rPr>
      <w:rFonts w:ascii="Times New Roman" w:hAnsi="Times New Roman"/>
      <w:vertAlign w:val="superscript"/>
    </w:rPr>
  </w:style>
  <w:style w:type="character" w:styleId="861" w:customStyle="1">
    <w:name w:val="Font Style70"/>
    <w:uiPriority w:val="99"/>
    <w:qFormat/>
    <w:rPr>
      <w:rFonts w:ascii="Times New Roman" w:hAnsi="Times New Roman" w:cs="Times New Roman"/>
      <w:sz w:val="22"/>
      <w:szCs w:val="22"/>
    </w:rPr>
  </w:style>
  <w:style w:type="paragraph" w:styleId="862" w:customStyle="1">
    <w:name w:val="List Number"/>
    <w:uiPriority w:val="99"/>
    <w:semiHidden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2026-07-30T09:49:41Z</dcterms:modified>
</cp:coreProperties>
</file>