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Обоснование начальной (максимальной) цены контракта,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цены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контракта,заключаемого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Style w:val="621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>
        <w:tblPrEx/>
        <w:trPr/>
        <w:tc>
          <w:tcPr>
            <w:tcW w:w="305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Характеристики</w:t>
            </w:r>
            <w:r>
              <w:rPr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sz w:val="18"/>
                <w:szCs w:val="18"/>
                <w:lang w:val="en-US" w:eastAsia="zh-CN"/>
              </w:rPr>
              <w:t xml:space="preserve">объекта</w:t>
            </w:r>
            <w:r>
              <w:rPr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sz w:val="18"/>
                <w:szCs w:val="18"/>
                <w:lang w:val="en-US" w:eastAsia="zh-CN"/>
              </w:rPr>
              <w:t xml:space="preserve">закупки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Характеристики объекта закупки указаны в описании объекта закупки</w:t>
            </w:r>
            <w:r>
              <w:rPr>
                <w:sz w:val="18"/>
                <w:szCs w:val="18"/>
                <w:lang w:eastAsia="zh-CN"/>
              </w:rPr>
            </w:r>
          </w:p>
        </w:tc>
      </w:tr>
      <w:tr>
        <w:tblPrEx/>
        <w:trPr/>
        <w:tc>
          <w:tcPr>
            <w:tcW w:w="305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Используемый метод определения НМЦК</w:t>
              <w:br/>
              <w:t xml:space="preserve">с обоснованием: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</w:t>
            </w:r>
            <w:r>
              <w:rPr>
                <w:sz w:val="18"/>
                <w:szCs w:val="18"/>
                <w:lang w:eastAsia="zh-CN"/>
              </w:rPr>
              <w:t xml:space="preserve">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  <w:r>
              <w:rPr>
                <w:sz w:val="18"/>
                <w:szCs w:val="18"/>
                <w:lang w:eastAsia="zh-CN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/>
      <w:sdt>
        <w:sdtPr>
          <w:alias w:val="calc-name"/>
          <w15:appearance w15:val="boundingBox"/>
          <w:id w:val="-1778556588"/>
          <w:placeholder>
            <w:docPart w:val="EB3CC122DC90480BAA917F70BAF74C92"/>
          </w:placeholder>
          <w:tag w:val="calc-name"/>
          <w:rPr>
            <w:rFonts w:ascii="Times New Roman" w:hAnsi="Times New Roman" w:eastAsia="SimSun" w:cs="Times New Roman"/>
            <w:sz w:val="24"/>
            <w:szCs w:val="24"/>
            <w:lang w:eastAsia="zh-CN"/>
          </w:rPr>
        </w:sdtPr>
        <w:sdtContent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  <w:t xml:space="preserve">Оказание услуг по техническому обслуживанию систем охранно-пожарной, тревожной сигнализаций и видеонаблюдения в помещениях Управления</w:t>
          </w:r>
        </w:sdtContent>
      </w:sdt>
      <w:r/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Расчет НМЦК (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рын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) произведен по формуле: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Calibri" w:hAnsi="Calibri" w:eastAsia="SimSun" w:cs="Times New Roman"/>
          <w:sz w:val="18"/>
          <w:szCs w:val="1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2900" cy="619760"/>
                <wp:effectExtent l="0" t="0" r="0" b="0"/>
                <wp:docPr id="1" name="Изображение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Изображение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1290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7.00pt;height:48.8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V - количество (объем) закупаемого товара;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n - количество значений, используемых в расчете;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i - номер источника ценовой информации;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Цi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 - цена единицы товара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tbl>
      <w:tblPr>
        <w:tblStyle w:val="621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>
        <w:tblPrEx/>
        <w:trPr>
          <w:cantSplit/>
        </w:trPr>
        <w:tc>
          <w:tcPr>
            <w:tcW w:w="407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№</w:t>
            </w:r>
            <w:r>
              <w:rPr>
                <w:lang w:val="en-US" w:eastAsia="zh-CN"/>
              </w:rPr>
            </w:r>
          </w:p>
        </w:tc>
        <w:tc>
          <w:tcPr>
            <w:tcW w:w="1534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Наименование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товара</w:t>
            </w:r>
            <w:r>
              <w:rPr>
                <w:lang w:val="en-US" w:eastAsia="zh-CN" w:bidi="ar"/>
              </w:rPr>
              <w:t xml:space="preserve">, </w:t>
            </w:r>
            <w:r>
              <w:rPr>
                <w:lang w:val="en-US" w:eastAsia="zh-CN" w:bidi="ar"/>
              </w:rPr>
              <w:t xml:space="preserve">услуги</w:t>
            </w:r>
            <w:r>
              <w:rPr>
                <w:lang w:val="en-US" w:eastAsia="zh-CN" w:bidi="ar"/>
              </w:rPr>
              <w:t xml:space="preserve"> (</w:t>
            </w:r>
            <w:r>
              <w:rPr>
                <w:lang w:val="en-US" w:eastAsia="zh-CN" w:bidi="ar"/>
              </w:rPr>
              <w:t xml:space="preserve">работы</w:t>
            </w:r>
            <w:r>
              <w:rPr>
                <w:lang w:val="en-US" w:eastAsia="zh-CN" w:bidi="ar"/>
              </w:rPr>
              <w:t xml:space="preserve">)</w:t>
            </w:r>
            <w:r>
              <w:rPr>
                <w:lang w:val="en-US" w:eastAsia="zh-CN"/>
              </w:rPr>
            </w:r>
          </w:p>
        </w:tc>
        <w:tc>
          <w:tcPr>
            <w:tcW w:w="194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ОКПД2/КТРУ</w:t>
            </w:r>
            <w:r>
              <w:rPr>
                <w:lang w:val="en-US" w:eastAsia="zh-CN"/>
              </w:rPr>
            </w:r>
          </w:p>
        </w:tc>
        <w:tc>
          <w:tcPr>
            <w:tcW w:w="79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Кол-во</w:t>
            </w:r>
            <w:r>
              <w:rPr>
                <w:lang w:val="en-US" w:eastAsia="zh-CN"/>
              </w:rPr>
            </w:r>
          </w:p>
        </w:tc>
        <w:tc>
          <w:tcPr>
            <w:tcW w:w="604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Ед</w:t>
            </w:r>
            <w:r>
              <w:rPr>
                <w:lang w:val="en-US" w:eastAsia="zh-CN" w:bidi="ar"/>
              </w:rPr>
              <w:t xml:space="preserve">. </w:t>
            </w:r>
            <w:r>
              <w:rPr>
                <w:lang w:val="en-US" w:eastAsia="zh-CN" w:bidi="ar"/>
              </w:rPr>
              <w:t xml:space="preserve">изм</w:t>
            </w:r>
            <w:r>
              <w:rPr>
                <w:lang w:val="en-US" w:eastAsia="zh-CN" w:bidi="ar"/>
              </w:rPr>
              <w:t xml:space="preserve">.</w:t>
            </w:r>
            <w:r>
              <w:rPr>
                <w:lang w:val="en-US" w:eastAsia="zh-CN"/>
              </w:rPr>
            </w:r>
          </w:p>
        </w:tc>
        <w:tc>
          <w:tcP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Источники</w:t>
            </w:r>
            <w:r>
              <w:rPr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Цена</w:t>
            </w:r>
            <w:r>
              <w:rPr>
                <w:lang w:val="en-US" w:eastAsia="zh-CN" w:bidi="ar"/>
              </w:rPr>
              <w:t xml:space="preserve">, </w:t>
            </w:r>
            <w:r>
              <w:rPr>
                <w:lang w:val="en-US" w:eastAsia="zh-CN" w:bidi="ar"/>
              </w:rPr>
              <w:t xml:space="preserve">руб</w:t>
            </w:r>
            <w:r>
              <w:rPr>
                <w:lang w:val="en-US" w:eastAsia="zh-CN"/>
              </w:rPr>
            </w:r>
          </w:p>
        </w:tc>
        <w:tc>
          <w:tcPr>
            <w:tcW w:w="120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/>
            <w:sdt>
              <w:sdtPr>
                <w:alias w:val="price-type"/>
                <w15:appearance w15:val="boundingBox"/>
                <w:id w:val="-1340460000"/>
                <w:placeholder>
                  <w:docPart w:val="EB3CC122DC90480BAA917F70BAF74C92"/>
                </w:placeholder>
                <w:tag w:val="price-type"/>
                <w:rPr>
                  <w:lang w:val="en-US" w:eastAsia="zh-CN" w:bidi="ar"/>
                </w:rPr>
              </w:sdtPr>
              <w:sdtContent>
                <w:r>
                  <w:rPr>
                    <w:lang w:val="en-US" w:eastAsia="zh-CN" w:bidi="ar"/>
                  </w:rPr>
                  <w:t xml:space="preserve">Средняя цена</w:t>
                </w:r>
              </w:sdtContent>
            </w:sdt>
            <w:r>
              <w:rPr>
                <w:lang w:val="en-US" w:eastAsia="zh-CN" w:bidi="ar"/>
              </w:rPr>
              <w:t xml:space="preserve"> (</w:t>
            </w:r>
            <w:r>
              <w:rPr>
                <w:lang w:val="en-US" w:eastAsia="zh-CN" w:bidi="ar"/>
              </w:rPr>
              <w:t xml:space="preserve">руб</w:t>
            </w:r>
            <w:r>
              <w:rPr>
                <w:lang w:val="en-US" w:eastAsia="zh-CN" w:bidi="ar"/>
              </w:rPr>
              <w:t xml:space="preserve">.)</w:t>
            </w:r>
            <w:r>
              <w:rPr>
                <w:lang w:val="en-US" w:eastAsia="zh-CN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Среднее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квадратичное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отклонение</w:t>
            </w: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5035" cy="440055"/>
                      <wp:effectExtent l="0" t="0" r="18415" b="17145"/>
                      <wp:docPr id="2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2"/>
                              <pic:cNvPicPr/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035" cy="4400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2.05pt;height:34.6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en-US" w:eastAsia="zh-CN"/>
              </w:rPr>
            </w:r>
          </w:p>
        </w:tc>
        <w:tc>
          <w:tcPr>
            <w:tcW w:w="191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zh-CN"/>
              </w:rPr>
            </w:pPr>
            <w:r>
              <w:rPr>
                <w:lang w:val="en-US" w:eastAsia="zh-CN" w:bidi="ar"/>
              </w:rPr>
              <w:t xml:space="preserve">Коэффициент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вариации</w:t>
            </w:r>
            <w:r>
              <w:rPr>
                <w:lang w:val="en-US" w:eastAsia="zh-CN" w:bidi="ar"/>
              </w:rPr>
              <w:t xml:space="preserve"> (%)</w:t>
            </w: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389890"/>
                      <wp:effectExtent l="0" t="0" r="0" b="11430"/>
                      <wp:docPr id="3" name="Pictur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/>
                              <pic:cNvPicPr/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5" cy="3898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4.75pt;height:30.7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zh-CN"/>
              </w:rPr>
            </w:r>
          </w:p>
        </w:tc>
        <w:tc>
          <w:tcPr>
            <w:tcW w:w="2018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 w:bidi="ar"/>
              </w:rPr>
            </w:pPr>
            <w:r>
              <w:rPr>
                <w:lang w:val="en-US" w:eastAsia="zh-CN" w:bidi="ar"/>
              </w:rPr>
              <w:t xml:space="preserve">НМЦК (</w:t>
            </w:r>
            <w:r>
              <w:rPr>
                <w:lang w:val="en-US" w:eastAsia="zh-CN" w:bidi="ar"/>
              </w:rPr>
              <w:t xml:space="preserve">рын</w:t>
            </w:r>
            <w:r>
              <w:rPr>
                <w:lang w:val="en-US" w:eastAsia="zh-CN" w:bidi="ar"/>
              </w:rPr>
              <w:t xml:space="preserve">)</w:t>
            </w:r>
            <w:r>
              <w:rPr>
                <w:lang w:val="en-US" w:eastAsia="zh-CN" w:bidi="ar"/>
              </w:rPr>
            </w:r>
          </w:p>
          <w:p>
            <w:pPr>
              <w:jc w:val="center"/>
              <w:rPr>
                <w:lang w:val="en-US" w:eastAsia="zh-CN" w:bidi="ar"/>
              </w:rPr>
            </w:pP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4270" cy="461645"/>
                      <wp:effectExtent l="0" t="0" r="0" b="15240"/>
                      <wp:docPr id="4" name="Изображение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Изображение 2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4270" cy="4616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0.10pt;height:36.35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en-US" w:eastAsia="zh-CN" w:bidi="ar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Оказание услуг по техническому обслуживанию систем охранной, пожарной и тревожной сигнализации, системы видеонаблюдения (г. Мурманск, пр. Кап. Тарана, д.24,  ул. Полярные Зори, д.22  ул. Полярные Зори, д.44)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80.20.10.000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4,00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кварт.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12 200,00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12 186,67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630,11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5,17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48 746,68</w:t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11 550,00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12 810,00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Оказание услуг по техническому обслуживанию системы пожарной сигнализации (г.Кировск, ул.Юбилейная, д.13)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80.20.10.000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4,00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кварт.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11 956,00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11 517,00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979,31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8,50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46 068,00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10 395,00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12 200,00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Оказание услуг по техническому обслуживанию систем охранно-пожарной, тревожной сигнализации (г. Кандалакша, ул. Горького, д.17)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80.20.10.000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4,00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кварт.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11 956,00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11 517,00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979,31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8,50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46 068,00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10 395,00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12 200,00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Оказание услуг по техническому обслуживанию систем охранно-пожарной, тревожной сигнализации (г. Мончегорск, пр. Металлургов, д.2а)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80.20.10.000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4,00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кварт.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11 956,00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11 517,00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979,31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8,50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46 068,00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10 395,00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  <w:trHeight w:val="236"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Mar>
              <w:left w:w="0" w:type="dxa"/>
              <w:right w:w="0" w:type="dxa"/>
            </w:tcMa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12 200,00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blPrEx/>
        <w:trPr>
          <w:cantSplit/>
        </w:trPr>
        <w:tc>
          <w:tcPr>
            <w:tcW w:w="40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21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0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2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1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Итого</w:t>
            </w:r>
            <w:r>
              <w:rPr>
                <w:lang w:val="en-US" w:eastAsia="zh-CN" w:bidi="ar"/>
              </w:rPr>
              <w:t xml:space="preserve">:</w:t>
            </w:r>
            <w:r>
              <w:rPr>
                <w:lang w:val="en-US" w:eastAsia="zh-CN"/>
              </w:rPr>
            </w:r>
          </w:p>
        </w:tc>
        <w:tc>
          <w:tcPr>
            <w:tcW w:w="2018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186950,68</w:t>
            </w:r>
            <w:r>
              <w:rPr>
                <w:lang w:val="en-US" w:eastAsia="zh-CN"/>
              </w:rPr>
            </w:r>
          </w:p>
        </w:tc>
      </w:tr>
      <w:tr>
        <w:tblPrEx/>
        <w:trPr>
          <w:cantSplit/>
        </w:trPr>
        <w:tc>
          <w:tcPr>
            <w:gridSpan w:val="11"/>
            <w:tcW w:w="15388" w:type="dxa"/>
            <w:vAlign w:val="center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Во исполнение требований Федерального закона от 05.04.2013 г. №44-ФЗ «О контрактной системе в сфере закупок това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ров, работ, услуг для обеспечения государственных и 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униципальных нужд» в отношении обоснования начальной (максимальной) цены контракта, Заказчиком в соотве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тствии с ч. 9 ст. 22 Федерального закона № 44-ФЗ начальная (максимальная) цен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а контракта определена методом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анализа рынка и расчетов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 w:bidi="ar"/>
              </w:rPr>
              <w:t xml:space="preserve">186950,68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(сто восемьдесят шесть тысяч девятьсот пятьде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сят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) рублей 68 копеек.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lang w:eastAsia="en-US"/>
                <w14:ligatures w14:val="none"/>
              </w:rPr>
              <w:outlineLvl w:val="0"/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Установить НМЦК в 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змере доведенных ЛБО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в сумме 170 940,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00 (сто семьдесят тысяч сорок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) рублей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00 копеек.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lang w:eastAsia="en-US"/>
                <w14:ligatures w14:val="none"/>
              </w:rPr>
              <w:outlineLvl w:val="0"/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(пункт 2 статьи 72 и пункт 3 статьи 219 Бюджетного кодекса РФ, а также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письма Минфина России от 10.01.2020 № 24-01-08/326 «О соответствии НМЦК сумме доведенных до заказчика лимитов бюджетных обязательств»)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На основании проведенного анализа рынка и расчетов, НМЦК составляет: 170 940,00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 рублей.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  <w14:ligatures w14:val="none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zh-CN"/>
        </w:rPr>
      </w:r>
      <w:r>
        <w:rPr>
          <w:rFonts w:ascii="Times New Roman" w:hAnsi="Times New Roman" w:cs="Times New Roman"/>
          <w:sz w:val="18"/>
          <w:szCs w:val="18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/>
      <w:bookmarkStart w:id="0" w:name="_GoBack"/>
      <w:r/>
      <w:bookmarkEnd w:id="0"/>
      <w:r/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>
        <w:tblPrEx/>
        <w:trPr>
          <w:jc w:val="right"/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Руководитель контрактной службы  Сочнева Л.В.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  <w:r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r>
      <w:r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r>
    </w:p>
    <w:p>
      <w:r/>
      <w:r/>
    </w:p>
    <w:sectPr>
      <w:footnotePr/>
      <w:endnotePr/>
      <w:type w:val="nextPage"/>
      <w:pgSz w:w="16838" w:h="11906" w:orient="landscape"/>
      <w:pgMar w:top="720" w:right="720" w:bottom="720" w:left="720" w:header="851" w:footer="992" w:gutter="0"/>
      <w:cols w:num="1" w:sep="0" w:space="425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0050600000002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pPr>
      <w:jc w:val="both"/>
      <w:spacing w:after="0" w:line="240" w:lineRule="auto"/>
      <w:widowControl w:val="off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wmf"/><Relationship Id="rId11" Type="http://schemas.openxmlformats.org/officeDocument/2006/relationships/image" Target="media/media1.svg"/><Relationship Id="rId12" Type="http://schemas.openxmlformats.org/officeDocument/2006/relationships/image" Target="media/image3.wmf"/><Relationship Id="rId13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>
          <w:pPr>
            <w:pStyle w:val="1058"/>
          </w:pPr>
          <w:r>
            <w:rPr>
              <w:rStyle w:val="1057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0">
    <w:name w:val="Heading 1"/>
    <w:basedOn w:val="1053"/>
    <w:next w:val="1053"/>
    <w:link w:val="2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251">
    <w:name w:val="Heading 1 Char"/>
    <w:basedOn w:val="1054"/>
    <w:link w:val="250"/>
    <w:uiPriority w:val="9"/>
    <w:rPr>
      <w:rFonts w:ascii="Arial" w:hAnsi="Arial" w:eastAsia="Arial" w:cs="Arial"/>
      <w:sz w:val="40"/>
      <w:szCs w:val="40"/>
    </w:rPr>
  </w:style>
  <w:style w:type="paragraph" w:styleId="252">
    <w:name w:val="Heading 2"/>
    <w:basedOn w:val="1053"/>
    <w:next w:val="1053"/>
    <w:link w:val="2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253">
    <w:name w:val="Heading 2 Char"/>
    <w:basedOn w:val="1054"/>
    <w:link w:val="252"/>
    <w:uiPriority w:val="9"/>
    <w:rPr>
      <w:rFonts w:ascii="Arial" w:hAnsi="Arial" w:eastAsia="Arial" w:cs="Arial"/>
      <w:sz w:val="34"/>
    </w:rPr>
  </w:style>
  <w:style w:type="paragraph" w:styleId="254">
    <w:name w:val="Heading 3"/>
    <w:basedOn w:val="1053"/>
    <w:next w:val="1053"/>
    <w:link w:val="2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255">
    <w:name w:val="Heading 3 Char"/>
    <w:basedOn w:val="1054"/>
    <w:link w:val="254"/>
    <w:uiPriority w:val="9"/>
    <w:rPr>
      <w:rFonts w:ascii="Arial" w:hAnsi="Arial" w:eastAsia="Arial" w:cs="Arial"/>
      <w:sz w:val="30"/>
      <w:szCs w:val="30"/>
    </w:rPr>
  </w:style>
  <w:style w:type="paragraph" w:styleId="256">
    <w:name w:val="Heading 4"/>
    <w:basedOn w:val="1053"/>
    <w:next w:val="1053"/>
    <w:link w:val="2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57">
    <w:name w:val="Heading 4 Char"/>
    <w:basedOn w:val="1054"/>
    <w:link w:val="256"/>
    <w:uiPriority w:val="9"/>
    <w:rPr>
      <w:rFonts w:ascii="Arial" w:hAnsi="Arial" w:eastAsia="Arial" w:cs="Arial"/>
      <w:b/>
      <w:bCs/>
      <w:sz w:val="26"/>
      <w:szCs w:val="26"/>
    </w:rPr>
  </w:style>
  <w:style w:type="paragraph" w:styleId="258">
    <w:name w:val="Heading 5"/>
    <w:basedOn w:val="1053"/>
    <w:next w:val="1053"/>
    <w:link w:val="2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59">
    <w:name w:val="Heading 5 Char"/>
    <w:basedOn w:val="1054"/>
    <w:link w:val="258"/>
    <w:uiPriority w:val="9"/>
    <w:rPr>
      <w:rFonts w:ascii="Arial" w:hAnsi="Arial" w:eastAsia="Arial" w:cs="Arial"/>
      <w:b/>
      <w:bCs/>
      <w:sz w:val="24"/>
      <w:szCs w:val="24"/>
    </w:rPr>
  </w:style>
  <w:style w:type="paragraph" w:styleId="260">
    <w:name w:val="Heading 6"/>
    <w:basedOn w:val="1053"/>
    <w:next w:val="1053"/>
    <w:link w:val="2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61">
    <w:name w:val="Heading 6 Char"/>
    <w:basedOn w:val="1054"/>
    <w:link w:val="260"/>
    <w:uiPriority w:val="9"/>
    <w:rPr>
      <w:rFonts w:ascii="Arial" w:hAnsi="Arial" w:eastAsia="Arial" w:cs="Arial"/>
      <w:b/>
      <w:bCs/>
      <w:sz w:val="22"/>
      <w:szCs w:val="22"/>
    </w:rPr>
  </w:style>
  <w:style w:type="paragraph" w:styleId="262">
    <w:name w:val="Heading 7"/>
    <w:basedOn w:val="1053"/>
    <w:next w:val="1053"/>
    <w:link w:val="2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3">
    <w:name w:val="Heading 7 Char"/>
    <w:basedOn w:val="1054"/>
    <w:link w:val="2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4">
    <w:name w:val="Heading 8"/>
    <w:basedOn w:val="1053"/>
    <w:next w:val="1053"/>
    <w:link w:val="2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65">
    <w:name w:val="Heading 8 Char"/>
    <w:basedOn w:val="1054"/>
    <w:link w:val="264"/>
    <w:uiPriority w:val="9"/>
    <w:rPr>
      <w:rFonts w:ascii="Arial" w:hAnsi="Arial" w:eastAsia="Arial" w:cs="Arial"/>
      <w:i/>
      <w:iCs/>
      <w:sz w:val="22"/>
      <w:szCs w:val="22"/>
    </w:rPr>
  </w:style>
  <w:style w:type="paragraph" w:styleId="266">
    <w:name w:val="Heading 9"/>
    <w:basedOn w:val="1053"/>
    <w:next w:val="1053"/>
    <w:link w:val="2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67">
    <w:name w:val="Heading 9 Char"/>
    <w:basedOn w:val="1054"/>
    <w:link w:val="266"/>
    <w:uiPriority w:val="9"/>
    <w:rPr>
      <w:rFonts w:ascii="Arial" w:hAnsi="Arial" w:eastAsia="Arial" w:cs="Arial"/>
      <w:i/>
      <w:iCs/>
      <w:sz w:val="21"/>
      <w:szCs w:val="21"/>
    </w:rPr>
  </w:style>
  <w:style w:type="paragraph" w:styleId="268">
    <w:name w:val="List Paragraph"/>
    <w:basedOn w:val="1053"/>
    <w:uiPriority w:val="34"/>
    <w:qFormat/>
    <w:pPr>
      <w:contextualSpacing/>
      <w:ind w:left="720"/>
    </w:pPr>
  </w:style>
  <w:style w:type="paragraph" w:styleId="270">
    <w:name w:val="No Spacing"/>
    <w:uiPriority w:val="1"/>
    <w:qFormat/>
    <w:pPr>
      <w:spacing w:before="0" w:after="0" w:line="240" w:lineRule="auto"/>
    </w:pPr>
  </w:style>
  <w:style w:type="paragraph" w:styleId="271">
    <w:name w:val="Title"/>
    <w:basedOn w:val="1053"/>
    <w:next w:val="1053"/>
    <w:link w:val="2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2">
    <w:name w:val="Title Char"/>
    <w:basedOn w:val="1054"/>
    <w:link w:val="271"/>
    <w:uiPriority w:val="10"/>
    <w:rPr>
      <w:sz w:val="48"/>
      <w:szCs w:val="48"/>
    </w:rPr>
  </w:style>
  <w:style w:type="paragraph" w:styleId="273">
    <w:name w:val="Subtitle"/>
    <w:basedOn w:val="1053"/>
    <w:next w:val="1053"/>
    <w:link w:val="274"/>
    <w:uiPriority w:val="11"/>
    <w:qFormat/>
    <w:pPr>
      <w:spacing w:before="200" w:after="200"/>
    </w:pPr>
    <w:rPr>
      <w:sz w:val="24"/>
      <w:szCs w:val="24"/>
    </w:rPr>
  </w:style>
  <w:style w:type="character" w:styleId="274">
    <w:name w:val="Subtitle Char"/>
    <w:basedOn w:val="1054"/>
    <w:link w:val="273"/>
    <w:uiPriority w:val="11"/>
    <w:rPr>
      <w:sz w:val="24"/>
      <w:szCs w:val="24"/>
    </w:rPr>
  </w:style>
  <w:style w:type="paragraph" w:styleId="275">
    <w:name w:val="Quote"/>
    <w:basedOn w:val="1053"/>
    <w:next w:val="1053"/>
    <w:link w:val="276"/>
    <w:uiPriority w:val="29"/>
    <w:qFormat/>
    <w:pPr>
      <w:ind w:left="720" w:right="720"/>
    </w:pPr>
    <w:rPr>
      <w:i/>
    </w:rPr>
  </w:style>
  <w:style w:type="character" w:styleId="276">
    <w:name w:val="Quote Char"/>
    <w:link w:val="275"/>
    <w:uiPriority w:val="29"/>
    <w:rPr>
      <w:i/>
    </w:rPr>
  </w:style>
  <w:style w:type="paragraph" w:styleId="277">
    <w:name w:val="Intense Quote"/>
    <w:basedOn w:val="1053"/>
    <w:next w:val="1053"/>
    <w:link w:val="2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8">
    <w:name w:val="Intense Quote Char"/>
    <w:link w:val="277"/>
    <w:uiPriority w:val="30"/>
    <w:rPr>
      <w:i/>
    </w:rPr>
  </w:style>
  <w:style w:type="paragraph" w:styleId="279">
    <w:name w:val="Header"/>
    <w:basedOn w:val="1053"/>
    <w:link w:val="2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0">
    <w:name w:val="Header Char"/>
    <w:basedOn w:val="1054"/>
    <w:link w:val="279"/>
    <w:uiPriority w:val="99"/>
  </w:style>
  <w:style w:type="paragraph" w:styleId="281">
    <w:name w:val="Footer"/>
    <w:basedOn w:val="1053"/>
    <w:link w:val="2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2">
    <w:name w:val="Footer Char"/>
    <w:basedOn w:val="1054"/>
    <w:link w:val="281"/>
    <w:uiPriority w:val="99"/>
  </w:style>
  <w:style w:type="paragraph" w:styleId="283">
    <w:name w:val="Caption"/>
    <w:basedOn w:val="1053"/>
    <w:next w:val="1053"/>
    <w:link w:val="2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1054"/>
    <w:link w:val="283"/>
    <w:uiPriority w:val="35"/>
    <w:rPr>
      <w:b/>
      <w:bCs/>
      <w:color w:val="4f81bd" w:themeColor="accent1"/>
      <w:sz w:val="18"/>
      <w:szCs w:val="18"/>
    </w:rPr>
  </w:style>
  <w:style w:type="table" w:styleId="285">
    <w:name w:val="Table Grid"/>
    <w:basedOn w:val="10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6">
    <w:name w:val="Table Grid Light"/>
    <w:basedOn w:val="10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Plain Table 1"/>
    <w:basedOn w:val="10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8">
    <w:name w:val="Plain Table 2"/>
    <w:basedOn w:val="10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9">
    <w:name w:val="Plain Table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0">
    <w:name w:val="Plain Table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1">
    <w:name w:val="Plain Table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2">
    <w:name w:val="Grid Table 1 Light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3">
    <w:name w:val="Grid Table 1 Light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0">
    <w:name w:val="Grid Table 2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4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4">
    <w:name w:val="Grid Table 4 - Accent 1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5">
    <w:name w:val="Grid Table 4 - Accent 2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6">
    <w:name w:val="Grid Table 4 - Accent 3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7">
    <w:name w:val="Grid Table 4 - Accent 4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8">
    <w:name w:val="Grid Table 4 - Accent 5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19">
    <w:name w:val="Grid Table 4 - Accent 6"/>
    <w:basedOn w:val="10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0">
    <w:name w:val="Grid Table 5 Dark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1">
    <w:name w:val="Grid Table 5 Dark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322">
    <w:name w:val="Grid Table 5 Dark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324">
    <w:name w:val="Grid Table 5 Dark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325">
    <w:name w:val="Grid Table 5 Dark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327">
    <w:name w:val="Grid Table 6 Colorful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28">
    <w:name w:val="Grid Table 6 Colorful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29">
    <w:name w:val="Grid Table 6 Colorful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30">
    <w:name w:val="Grid Table 6 Colorful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31">
    <w:name w:val="Grid Table 6 Colorful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32">
    <w:name w:val="Grid Table 6 Colorful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3">
    <w:name w:val="Grid Table 6 Colorful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4">
    <w:name w:val="Grid Table 7 Colorful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5">
    <w:name w:val="Grid Table 7 Colorful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1">
    <w:name w:val="List Table 1 Light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2">
    <w:name w:val="List Table 1 Light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49">
    <w:name w:val="List Table 2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0">
    <w:name w:val="List Table 2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1">
    <w:name w:val="List Table 2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2">
    <w:name w:val="List Table 2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3">
    <w:name w:val="List Table 2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4">
    <w:name w:val="List Table 2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5">
    <w:name w:val="List Table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6">
    <w:name w:val="List Table 3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5 Dark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0">
    <w:name w:val="List Table 5 Dark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1">
    <w:name w:val="List Table 5 Dark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2">
    <w:name w:val="List Table 5 Dark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3">
    <w:name w:val="List Table 5 Dark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4">
    <w:name w:val="List Table 5 Dark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5">
    <w:name w:val="List Table 5 Dark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6">
    <w:name w:val="List Table 6 Colorful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7">
    <w:name w:val="List Table 6 Colorful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8">
    <w:name w:val="List Table 6 Colorful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79">
    <w:name w:val="List Table 6 Colorful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0">
    <w:name w:val="List Table 6 Colorful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1">
    <w:name w:val="List Table 6 Colorful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2">
    <w:name w:val="List Table 6 Colorful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3">
    <w:name w:val="List Table 7 Colorful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84">
    <w:name w:val="List Table 7 Colorful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385">
    <w:name w:val="List Table 7 Colorful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386">
    <w:name w:val="List Table 7 Colorful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387">
    <w:name w:val="List Table 7 Colorful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388">
    <w:name w:val="List Table 7 Colorful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389">
    <w:name w:val="List Table 7 Colorful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390">
    <w:name w:val="Lined - Accent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1">
    <w:name w:val="Lined - Accent 1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2">
    <w:name w:val="Lined - Accent 2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393">
    <w:name w:val="Lined - Accent 3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394">
    <w:name w:val="Lined - Accent 4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395">
    <w:name w:val="Lined - Accent 5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396">
    <w:name w:val="Lined - Accent 6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397">
    <w:name w:val="Bordered &amp; Lined - Accent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8">
    <w:name w:val="Bordered &amp; Lined - Accent 1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9">
    <w:name w:val="Bordered &amp; Lined - Accent 2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400">
    <w:name w:val="Bordered &amp; Lined - Accent 3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401">
    <w:name w:val="Bordered &amp; Lined - Accent 4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402">
    <w:name w:val="Bordered &amp; Lined - Accent 5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403">
    <w:name w:val="Bordered &amp; Lined - Accent 6"/>
    <w:basedOn w:val="10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404">
    <w:name w:val="Bordered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5">
    <w:name w:val="Bordered - Accent 1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6">
    <w:name w:val="Bordered - Accent 2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7">
    <w:name w:val="Bordered - Accent 3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8">
    <w:name w:val="Bordered - Accent 4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09">
    <w:name w:val="Bordered - Accent 5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0">
    <w:name w:val="Bordered - Accent 6"/>
    <w:basedOn w:val="10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1">
    <w:name w:val="Hyperlink"/>
    <w:uiPriority w:val="99"/>
    <w:unhideWhenUsed/>
    <w:rPr>
      <w:color w:val="0000ff" w:themeColor="hyperlink"/>
      <w:u w:val="single"/>
    </w:rPr>
  </w:style>
  <w:style w:type="paragraph" w:styleId="412">
    <w:name w:val="footnote text"/>
    <w:basedOn w:val="1053"/>
    <w:link w:val="413"/>
    <w:uiPriority w:val="99"/>
    <w:semiHidden/>
    <w:unhideWhenUsed/>
    <w:pPr>
      <w:spacing w:after="40" w:line="240" w:lineRule="auto"/>
    </w:pPr>
    <w:rPr>
      <w:sz w:val="18"/>
    </w:rPr>
  </w:style>
  <w:style w:type="character" w:styleId="413">
    <w:name w:val="Footnote Text Char"/>
    <w:link w:val="412"/>
    <w:uiPriority w:val="99"/>
    <w:rPr>
      <w:sz w:val="18"/>
    </w:rPr>
  </w:style>
  <w:style w:type="character" w:styleId="414">
    <w:name w:val="footnote reference"/>
    <w:basedOn w:val="1054"/>
    <w:uiPriority w:val="99"/>
    <w:unhideWhenUsed/>
    <w:rPr>
      <w:vertAlign w:val="superscript"/>
    </w:rPr>
  </w:style>
  <w:style w:type="paragraph" w:styleId="415">
    <w:name w:val="endnote text"/>
    <w:basedOn w:val="1053"/>
    <w:link w:val="416"/>
    <w:uiPriority w:val="99"/>
    <w:semiHidden/>
    <w:unhideWhenUsed/>
    <w:pPr>
      <w:spacing w:after="0" w:line="240" w:lineRule="auto"/>
    </w:pPr>
    <w:rPr>
      <w:sz w:val="20"/>
    </w:rPr>
  </w:style>
  <w:style w:type="character" w:styleId="416">
    <w:name w:val="Endnote Text Char"/>
    <w:link w:val="415"/>
    <w:uiPriority w:val="99"/>
    <w:rPr>
      <w:sz w:val="20"/>
    </w:rPr>
  </w:style>
  <w:style w:type="character" w:styleId="417">
    <w:name w:val="endnote reference"/>
    <w:basedOn w:val="1054"/>
    <w:uiPriority w:val="99"/>
    <w:semiHidden/>
    <w:unhideWhenUsed/>
    <w:rPr>
      <w:vertAlign w:val="superscript"/>
    </w:rPr>
  </w:style>
  <w:style w:type="paragraph" w:styleId="418">
    <w:name w:val="toc 1"/>
    <w:basedOn w:val="1053"/>
    <w:next w:val="1053"/>
    <w:uiPriority w:val="39"/>
    <w:unhideWhenUsed/>
    <w:pPr>
      <w:ind w:left="0" w:right="0" w:firstLine="0"/>
      <w:spacing w:after="57"/>
    </w:pPr>
  </w:style>
  <w:style w:type="paragraph" w:styleId="419">
    <w:name w:val="toc 2"/>
    <w:basedOn w:val="1053"/>
    <w:next w:val="1053"/>
    <w:uiPriority w:val="39"/>
    <w:unhideWhenUsed/>
    <w:pPr>
      <w:ind w:left="283" w:right="0" w:firstLine="0"/>
      <w:spacing w:after="57"/>
    </w:pPr>
  </w:style>
  <w:style w:type="paragraph" w:styleId="420">
    <w:name w:val="toc 3"/>
    <w:basedOn w:val="1053"/>
    <w:next w:val="1053"/>
    <w:uiPriority w:val="39"/>
    <w:unhideWhenUsed/>
    <w:pPr>
      <w:ind w:left="567" w:right="0" w:firstLine="0"/>
      <w:spacing w:after="57"/>
    </w:pPr>
  </w:style>
  <w:style w:type="paragraph" w:styleId="421">
    <w:name w:val="toc 4"/>
    <w:basedOn w:val="1053"/>
    <w:next w:val="1053"/>
    <w:uiPriority w:val="39"/>
    <w:unhideWhenUsed/>
    <w:pPr>
      <w:ind w:left="850" w:right="0" w:firstLine="0"/>
      <w:spacing w:after="57"/>
    </w:pPr>
  </w:style>
  <w:style w:type="paragraph" w:styleId="422">
    <w:name w:val="toc 5"/>
    <w:basedOn w:val="1053"/>
    <w:next w:val="1053"/>
    <w:uiPriority w:val="39"/>
    <w:unhideWhenUsed/>
    <w:pPr>
      <w:ind w:left="1134" w:right="0" w:firstLine="0"/>
      <w:spacing w:after="57"/>
    </w:pPr>
  </w:style>
  <w:style w:type="paragraph" w:styleId="423">
    <w:name w:val="toc 6"/>
    <w:basedOn w:val="1053"/>
    <w:next w:val="1053"/>
    <w:uiPriority w:val="39"/>
    <w:unhideWhenUsed/>
    <w:pPr>
      <w:ind w:left="1417" w:right="0" w:firstLine="0"/>
      <w:spacing w:after="57"/>
    </w:pPr>
  </w:style>
  <w:style w:type="paragraph" w:styleId="424">
    <w:name w:val="toc 7"/>
    <w:basedOn w:val="1053"/>
    <w:next w:val="1053"/>
    <w:uiPriority w:val="39"/>
    <w:unhideWhenUsed/>
    <w:pPr>
      <w:ind w:left="1701" w:right="0" w:firstLine="0"/>
      <w:spacing w:after="57"/>
    </w:pPr>
  </w:style>
  <w:style w:type="paragraph" w:styleId="425">
    <w:name w:val="toc 8"/>
    <w:basedOn w:val="1053"/>
    <w:next w:val="1053"/>
    <w:uiPriority w:val="39"/>
    <w:unhideWhenUsed/>
    <w:pPr>
      <w:ind w:left="1984" w:right="0" w:firstLine="0"/>
      <w:spacing w:after="57"/>
    </w:pPr>
  </w:style>
  <w:style w:type="paragraph" w:styleId="426">
    <w:name w:val="toc 9"/>
    <w:basedOn w:val="1053"/>
    <w:next w:val="1053"/>
    <w:uiPriority w:val="39"/>
    <w:unhideWhenUsed/>
    <w:pPr>
      <w:ind w:left="2268" w:right="0" w:firstLine="0"/>
      <w:spacing w:after="57"/>
    </w:pPr>
  </w:style>
  <w:style w:type="paragraph" w:styleId="427">
    <w:name w:val="TOC Heading"/>
    <w:uiPriority w:val="39"/>
    <w:unhideWhenUsed/>
  </w:style>
  <w:style w:type="paragraph" w:styleId="428">
    <w:name w:val="table of figures"/>
    <w:basedOn w:val="1053"/>
    <w:next w:val="1053"/>
    <w:uiPriority w:val="99"/>
    <w:unhideWhenUsed/>
    <w:pPr>
      <w:spacing w:after="0" w:afterAutospacing="0"/>
    </w:pPr>
  </w:style>
  <w:style w:type="paragraph" w:styleId="1053" w:default="1">
    <w:name w:val="Normal"/>
    <w:qFormat/>
  </w:style>
  <w:style w:type="character" w:styleId="1054" w:default="1">
    <w:name w:val="Default Paragraph Font"/>
    <w:uiPriority w:val="1"/>
    <w:semiHidden/>
    <w:unhideWhenUsed/>
  </w:style>
  <w:style w:type="table" w:styleId="10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56" w:default="1">
    <w:name w:val="No List"/>
    <w:uiPriority w:val="99"/>
    <w:semiHidden/>
    <w:unhideWhenUsed/>
  </w:style>
  <w:style w:type="character" w:styleId="1057">
    <w:name w:val="Placeholder Text"/>
    <w:basedOn w:val="1054"/>
    <w:uiPriority w:val="99"/>
    <w:semiHidden/>
    <w:rPr>
      <w:color w:val="808080"/>
    </w:rPr>
  </w:style>
  <w:style w:type="paragraph" w:styleId="1058" w:customStyle="1">
    <w:name w:val="EB3CC122DC90480BAA917F70BAF74C92"/>
  </w:style>
  <w:style w:type="paragraph" w:styleId="1059" w:customStyle="1">
    <w:name w:val="2F86957B7B0F4305A3AC837449CBDC65"/>
  </w:style>
  <w:style w:type="paragraph" w:styleId="1060" w:customStyle="1">
    <w:name w:val="17E5B824549F4A32A8F546BFF091D168"/>
  </w:style>
  <w:style w:type="paragraph" w:styleId="1061" w:customStyle="1">
    <w:name w:val="95DABD41011D486491182C8B952EA018"/>
  </w:style>
  <w:style w:type="paragraph" w:styleId="1062" w:customStyle="1">
    <w:name w:val="BBE64C64E4694AD69699993B4F979BC3"/>
  </w:style>
  <w:style w:type="paragraph" w:styleId="1063" w:customStyle="1">
    <w:name w:val="07EE77093C9744C490879948C4AFCD3C"/>
  </w:style>
  <w:style w:type="paragraph" w:styleId="1064" w:customStyle="1">
    <w:name w:val="BB47678C68454D61A03290DBF9F2B229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kuvakinav</cp:lastModifiedBy>
  <cp:revision>9</cp:revision>
  <dcterms:created xsi:type="dcterms:W3CDTF">2024-05-21T07:43:00Z</dcterms:created>
  <dcterms:modified xsi:type="dcterms:W3CDTF">2026-07-14T06:55:54Z</dcterms:modified>
</cp:coreProperties>
</file>