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1"/>
        <w:jc w:val="right"/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1"/>
        <w:jc w:val="right"/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1"/>
        <w:jc w:val="center"/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Описание объекта закупки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1"/>
        <w:jc w:val="center"/>
        <w:rPr>
          <w:b/>
        </w:rPr>
      </w:pPr>
      <w:r>
        <w:rPr>
          <w:b/>
        </w:rPr>
        <w:t xml:space="preserve">на поставку лекарственн</w:t>
      </w:r>
      <w:r>
        <w:rPr>
          <w:b/>
        </w:rPr>
        <w:t xml:space="preserve">ого</w:t>
      </w:r>
      <w:r>
        <w:rPr>
          <w:b/>
        </w:rPr>
        <w:t xml:space="preserve"> препарат</w:t>
      </w:r>
      <w:r>
        <w:rPr>
          <w:b/>
        </w:rPr>
        <w:t xml:space="preserve">а</w:t>
      </w:r>
      <w:r>
        <w:rPr>
          <w:b/>
        </w:rPr>
        <w:t xml:space="preserve"> для медицинского применени</w:t>
      </w:r>
      <w:r>
        <w:rPr>
          <w:b/>
        </w:rPr>
        <w:t xml:space="preserve">я </w:t>
      </w:r>
      <w:r>
        <w:rPr>
          <w:b/>
        </w:rPr>
      </w:r>
      <w:r>
        <w:rPr>
          <w:b/>
        </w:rPr>
      </w:r>
    </w:p>
    <w:p>
      <w:pPr>
        <w:pStyle w:val="8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ТИАМАЗОЛ</w:t>
      </w:r>
      <w:r>
        <w:rPr>
          <w:rFonts w:cs="Times New Roman"/>
          <w:b/>
        </w:rPr>
        <w:t xml:space="preserve">А</w:t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Style w:val="860"/>
        <w:jc w:val="center"/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  <w:r>
        <w:rPr>
          <w:b/>
          <w:color w:val="ff0000"/>
        </w:rPr>
      </w:r>
    </w:p>
    <w:p>
      <w:pPr>
        <w:pStyle w:val="851"/>
        <w:ind w:left="-993" w:firstLine="993"/>
        <w:rPr>
          <w:rFonts w:eastAsia="Calibri"/>
          <w:sz w:val="22"/>
          <w:szCs w:val="24"/>
          <w:lang w:eastAsia="en-US"/>
        </w:rPr>
      </w:pPr>
      <w:r>
        <w:rPr>
          <w:rFonts w:eastAsia="Calibri"/>
          <w:sz w:val="22"/>
          <w:szCs w:val="24"/>
          <w:lang w:eastAsia="en-US"/>
        </w:rPr>
        <w:t xml:space="preserve">Код по БК: 056090101421900592443</w:t>
      </w:r>
      <w:r>
        <w:rPr>
          <w:rFonts w:eastAsia="Calibri"/>
          <w:sz w:val="22"/>
          <w:szCs w:val="24"/>
          <w:lang w:eastAsia="en-US"/>
        </w:rPr>
        <w:t xml:space="preserve">4</w:t>
      </w:r>
      <w:r>
        <w:rPr>
          <w:rFonts w:eastAsia="Calibri"/>
          <w:sz w:val="22"/>
          <w:szCs w:val="24"/>
          <w:lang w:eastAsia="en-US"/>
        </w:rPr>
        <w:t xml:space="preserve">0</w:t>
      </w:r>
      <w:r>
        <w:rPr>
          <w:rFonts w:eastAsia="Calibri"/>
          <w:sz w:val="22"/>
          <w:szCs w:val="24"/>
          <w:lang w:eastAsia="en-US"/>
        </w:rPr>
        <w:t xml:space="preserve"> </w:t>
      </w:r>
      <w:r>
        <w:rPr>
          <w:rFonts w:eastAsia="Calibri"/>
          <w:sz w:val="22"/>
          <w:szCs w:val="24"/>
          <w:lang w:eastAsia="en-US"/>
        </w:rPr>
      </w:r>
      <w:r>
        <w:rPr>
          <w:rFonts w:eastAsia="Calibri"/>
          <w:sz w:val="22"/>
          <w:szCs w:val="24"/>
          <w:lang w:eastAsia="en-US"/>
        </w:rPr>
      </w:r>
    </w:p>
    <w:p>
      <w:pPr>
        <w:pStyle w:val="851"/>
        <w:ind w:left="-993" w:firstLine="993"/>
        <w:rPr>
          <w:rFonts w:eastAsia="Calibri"/>
          <w:sz w:val="22"/>
          <w:szCs w:val="24"/>
          <w:lang w:eastAsia="en-US"/>
        </w:rPr>
      </w:pPr>
      <w:r>
        <w:rPr>
          <w:rFonts w:eastAsia="Calibri"/>
          <w:sz w:val="22"/>
          <w:szCs w:val="24"/>
          <w:lang w:eastAsia="en-US"/>
        </w:rPr>
        <w:t xml:space="preserve">Способ определения исполнителя:</w:t>
      </w:r>
      <w:r>
        <w:rPr>
          <w:rFonts w:eastAsia="Calibri"/>
          <w:sz w:val="22"/>
          <w:szCs w:val="24"/>
          <w:lang w:eastAsia="en-US"/>
        </w:rPr>
        <w:t xml:space="preserve"> </w:t>
      </w:r>
      <w:r>
        <w:rPr>
          <w:rFonts w:eastAsia="Calibri"/>
          <w:sz w:val="22"/>
          <w:szCs w:val="24"/>
          <w:lang w:eastAsia="en-US"/>
        </w:rPr>
        <w:t xml:space="preserve">единственный поставщик </w:t>
      </w:r>
      <w:r>
        <w:rPr>
          <w:sz w:val="24"/>
          <w:szCs w:val="24"/>
        </w:rPr>
        <w:t xml:space="preserve">(на основании п.4 ч.1 ст.93 Федерального закона от 05.04.2013 № 44-ФЗ)  </w:t>
      </w:r>
      <w:r>
        <w:rPr>
          <w:rFonts w:eastAsia="Calibri"/>
          <w:sz w:val="22"/>
          <w:szCs w:val="24"/>
          <w:lang w:eastAsia="en-US"/>
        </w:rPr>
      </w:r>
      <w:r>
        <w:rPr>
          <w:rFonts w:eastAsia="Calibri"/>
          <w:sz w:val="22"/>
          <w:szCs w:val="24"/>
          <w:lang w:eastAsia="en-US"/>
        </w:rPr>
      </w:r>
    </w:p>
    <w:p>
      <w:pPr>
        <w:pStyle w:val="851"/>
        <w:ind w:left="-993" w:firstLine="993"/>
        <w:rPr>
          <w:rFonts w:eastAsia="Calibri"/>
          <w:sz w:val="22"/>
          <w:szCs w:val="24"/>
          <w:lang w:eastAsia="en-US"/>
        </w:rPr>
      </w:pPr>
      <w:r>
        <w:rPr>
          <w:rFonts w:eastAsia="Calibri"/>
          <w:sz w:val="22"/>
          <w:szCs w:val="24"/>
          <w:lang w:eastAsia="en-US"/>
        </w:rPr>
        <w:t xml:space="preserve">Планируемый срок начала осуществления закупки: август</w:t>
      </w:r>
      <w:r>
        <w:rPr>
          <w:rFonts w:eastAsia="Calibri"/>
          <w:sz w:val="22"/>
          <w:szCs w:val="24"/>
          <w:lang w:eastAsia="en-US"/>
        </w:rPr>
        <w:t xml:space="preserve"> 2</w:t>
      </w:r>
      <w:r>
        <w:rPr>
          <w:rFonts w:eastAsia="Calibri"/>
          <w:sz w:val="22"/>
          <w:szCs w:val="24"/>
          <w:lang w:eastAsia="en-US"/>
        </w:rPr>
        <w:t xml:space="preserve">026</w:t>
      </w:r>
      <w:r>
        <w:rPr>
          <w:rFonts w:eastAsia="Calibri"/>
          <w:sz w:val="22"/>
          <w:szCs w:val="24"/>
          <w:lang w:eastAsia="en-US"/>
        </w:rPr>
        <w:t xml:space="preserve"> г.</w:t>
      </w:r>
      <w:r>
        <w:rPr>
          <w:rFonts w:eastAsia="Calibri"/>
          <w:sz w:val="22"/>
          <w:szCs w:val="24"/>
          <w:lang w:eastAsia="en-US"/>
        </w:rPr>
      </w:r>
      <w:r>
        <w:rPr>
          <w:rFonts w:eastAsia="Calibri"/>
          <w:sz w:val="22"/>
          <w:szCs w:val="24"/>
          <w:lang w:eastAsia="en-US"/>
        </w:rPr>
      </w:r>
    </w:p>
    <w:p>
      <w:pPr>
        <w:pStyle w:val="860"/>
        <w:jc w:val="both"/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  <w:r>
        <w:rPr>
          <w:b/>
          <w:color w:val="ff0000"/>
        </w:rPr>
      </w:r>
    </w:p>
    <w:tbl>
      <w:tblPr>
        <w:tblW w:w="1543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108" w:type="dxa"/>
          <w:right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97"/>
        <w:gridCol w:w="3289"/>
        <w:gridCol w:w="1514"/>
        <w:gridCol w:w="2201"/>
        <w:gridCol w:w="1165"/>
        <w:gridCol w:w="836"/>
        <w:gridCol w:w="841"/>
        <w:gridCol w:w="943"/>
        <w:gridCol w:w="1127"/>
        <w:gridCol w:w="1197"/>
        <w:gridCol w:w="18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76"/>
        </w:trPr>
        <w:tc>
          <w:tcPr>
            <w:shd w:val="clear" w:color="auto" w:fill="ffffff"/>
            <w:tcW w:w="497" w:type="dxa"/>
            <w:vAlign w:val="center"/>
            <w:textDirection w:val="lrTb"/>
            <w:noWrap w:val="false"/>
          </w:tcPr>
          <w:p>
            <w:pPr>
              <w:pStyle w:val="851"/>
              <w:jc w:val="center"/>
            </w:pPr>
            <w:r>
              <w:t xml:space="preserve">№ п/п</w:t>
            </w:r>
            <w:r/>
          </w:p>
        </w:tc>
        <w:tc>
          <w:tcPr>
            <w:shd w:val="clear" w:color="auto" w:fill="ffffff"/>
            <w:tcW w:w="3289" w:type="dxa"/>
            <w:vAlign w:val="center"/>
            <w:textDirection w:val="lrTb"/>
            <w:noWrap w:val="false"/>
          </w:tcPr>
          <w:p>
            <w:pPr>
              <w:pStyle w:val="851"/>
              <w:jc w:val="center"/>
            </w:pPr>
            <w:r>
              <w:t xml:space="preserve">Наименование продукции М.Н.Н. (международное непатентованное наименование) / Рекомендуемое торговое наименование или эквивалент. </w:t>
            </w:r>
            <w:r/>
          </w:p>
          <w:p>
            <w:pPr>
              <w:pStyle w:val="851"/>
              <w:jc w:val="center"/>
            </w:pPr>
            <w:r>
              <w:t xml:space="preserve">ОКДП2</w:t>
            </w:r>
            <w:r/>
          </w:p>
        </w:tc>
        <w:tc>
          <w:tcPr>
            <w:shd w:val="clear" w:color="auto" w:fill="ffffff"/>
            <w:tcW w:w="1514" w:type="dxa"/>
            <w:vAlign w:val="center"/>
            <w:textDirection w:val="lrTb"/>
            <w:noWrap w:val="false"/>
          </w:tcPr>
          <w:p>
            <w:pPr>
              <w:pStyle w:val="851"/>
              <w:jc w:val="center"/>
            </w:pPr>
            <w:r>
              <w:t xml:space="preserve">Реестровая запись согласно каталогу товаров работ и услуг</w:t>
            </w:r>
            <w:r/>
          </w:p>
        </w:tc>
        <w:tc>
          <w:tcPr>
            <w:shd w:val="clear" w:color="auto" w:fill="ffffff"/>
            <w:tcW w:w="2201" w:type="dxa"/>
            <w:vAlign w:val="center"/>
            <w:textDirection w:val="lrTb"/>
            <w:noWrap w:val="false"/>
          </w:tcPr>
          <w:p>
            <w:pPr>
              <w:pStyle w:val="851"/>
              <w:jc w:val="center"/>
            </w:pPr>
            <w:r>
              <w:t xml:space="preserve">Требования к</w:t>
            </w:r>
            <w:r>
              <w:t xml:space="preserve"> лекарственной форме</w:t>
            </w:r>
            <w:r>
              <w:t xml:space="preserve">, дозировке</w:t>
            </w:r>
            <w:r/>
          </w:p>
        </w:tc>
        <w:tc>
          <w:tcPr>
            <w:shd w:val="clear" w:color="auto" w:fill="ffffff"/>
            <w:tcW w:w="1165" w:type="dxa"/>
            <w:vAlign w:val="center"/>
            <w:textDirection w:val="lrTb"/>
            <w:noWrap w:val="false"/>
          </w:tcPr>
          <w:p>
            <w:pPr>
              <w:pStyle w:val="851"/>
              <w:jc w:val="center"/>
            </w:pPr>
            <w:r>
              <w:t xml:space="preserve">Признак включения в перечень ЖНВЛП</w:t>
            </w:r>
            <w:r>
              <w:t xml:space="preserve">/</w:t>
            </w:r>
            <w:r/>
          </w:p>
          <w:p>
            <w:pPr>
              <w:pStyle w:val="851"/>
              <w:jc w:val="center"/>
            </w:pPr>
            <w:r>
              <w:t xml:space="preserve">СЗЛС</w:t>
            </w:r>
            <w:r/>
          </w:p>
        </w:tc>
        <w:tc>
          <w:tcPr>
            <w:shd w:val="clear" w:color="auto" w:fill="ffffff"/>
            <w:tcW w:w="836" w:type="dxa"/>
            <w:vAlign w:val="center"/>
            <w:textDirection w:val="lrTb"/>
            <w:noWrap w:val="false"/>
          </w:tcPr>
          <w:p>
            <w:pPr>
              <w:pStyle w:val="851"/>
              <w:jc w:val="center"/>
            </w:pPr>
            <w:r>
              <w:t xml:space="preserve">Ед. изм.</w:t>
            </w:r>
            <w:r/>
          </w:p>
        </w:tc>
        <w:tc>
          <w:tcPr>
            <w:shd w:val="clear" w:color="auto" w:fill="ffffff"/>
            <w:tcW w:w="841" w:type="dxa"/>
            <w:vAlign w:val="center"/>
            <w:textDirection w:val="lrTb"/>
            <w:noWrap w:val="false"/>
          </w:tcPr>
          <w:p>
            <w:pPr>
              <w:pStyle w:val="851"/>
              <w:jc w:val="center"/>
            </w:pPr>
            <w:r>
              <w:t xml:space="preserve">Кол-во</w:t>
            </w:r>
            <w:r/>
          </w:p>
        </w:tc>
        <w:tc>
          <w:tcPr>
            <w:shd w:val="clear" w:color="auto" w:fill="ffffff"/>
            <w:tcW w:w="943" w:type="dxa"/>
            <w:vAlign w:val="center"/>
            <w:textDirection w:val="lrTb"/>
            <w:noWrap w:val="false"/>
          </w:tcPr>
          <w:p>
            <w:pPr>
              <w:pStyle w:val="851"/>
              <w:jc w:val="center"/>
            </w:pPr>
            <w:r>
              <w:t xml:space="preserve">Цена за ед. изм. (руб.)</w:t>
            </w:r>
            <w:r/>
          </w:p>
        </w:tc>
        <w:tc>
          <w:tcPr>
            <w:shd w:val="clear" w:color="auto" w:fill="ffffff"/>
            <w:tcW w:w="1127" w:type="dxa"/>
            <w:vAlign w:val="center"/>
            <w:textDirection w:val="lrTb"/>
            <w:noWrap w:val="false"/>
          </w:tcPr>
          <w:p>
            <w:pPr>
              <w:pStyle w:val="851"/>
              <w:jc w:val="center"/>
            </w:pPr>
            <w:r>
              <w:t xml:space="preserve">Сумма (руб.)</w:t>
            </w:r>
            <w:r/>
          </w:p>
        </w:tc>
        <w:tc>
          <w:tcPr>
            <w:shd w:val="clear" w:color="auto" w:fill="ffffff"/>
            <w:tcW w:w="1197" w:type="dxa"/>
            <w:vAlign w:val="center"/>
            <w:textDirection w:val="lrTb"/>
            <w:noWrap w:val="false"/>
          </w:tcPr>
          <w:p>
            <w:pPr>
              <w:pStyle w:val="851"/>
              <w:ind w:left="-114" w:right="-78"/>
              <w:jc w:val="center"/>
            </w:pPr>
            <w:r>
              <w:t xml:space="preserve">Остаточный с</w:t>
            </w:r>
            <w:r>
              <w:t xml:space="preserve">рок годности на момент поставки, не менее</w:t>
            </w:r>
            <w:r/>
          </w:p>
        </w:tc>
        <w:tc>
          <w:tcPr>
            <w:shd w:val="clear" w:color="auto" w:fill="ffffff"/>
            <w:tcW w:w="1828" w:type="dxa"/>
            <w:vAlign w:val="center"/>
            <w:textDirection w:val="lrTb"/>
            <w:noWrap w:val="false"/>
          </w:tcPr>
          <w:p>
            <w:pPr>
              <w:pStyle w:val="851"/>
              <w:ind w:left="-114" w:right="-78"/>
              <w:jc w:val="center"/>
            </w:pPr>
            <w:r>
              <w:t xml:space="preserve">Эквивалентные формы и дозиров</w:t>
            </w:r>
            <w:r>
              <w:t xml:space="preserve">к</w:t>
            </w:r>
            <w:r>
              <w:t xml:space="preserve">и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0"/>
        </w:trPr>
        <w:tc>
          <w:tcPr>
            <w:shd w:val="clear" w:color="auto" w:fill="ffffff"/>
            <w:tcW w:w="497" w:type="dxa"/>
            <w:vAlign w:val="center"/>
            <w:textDirection w:val="lrTb"/>
            <w:noWrap w:val="false"/>
          </w:tcPr>
          <w:p>
            <w:pPr>
              <w:pStyle w:val="851"/>
              <w:jc w:val="center"/>
            </w:pPr>
            <w:r>
              <w:t xml:space="preserve">1</w:t>
            </w:r>
            <w:r/>
          </w:p>
        </w:tc>
        <w:tc>
          <w:tcPr>
            <w:shd w:val="clear" w:color="auto" w:fill="ffffff"/>
            <w:tcW w:w="3289" w:type="dxa"/>
            <w:vAlign w:val="center"/>
            <w:textDirection w:val="lrTb"/>
            <w:noWrap w:val="false"/>
          </w:tcPr>
          <w:p>
            <w:pPr>
              <w:pStyle w:val="85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ТИАМАЗОЛ</w:t>
            </w:r>
            <w:r>
              <w:rPr>
                <w:color w:val="000000"/>
                <w:sz w:val="18"/>
                <w:szCs w:val="18"/>
              </w:rPr>
              <w:t xml:space="preserve">,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85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21.20.10.182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W w:w="1514" w:type="dxa"/>
            <w:vAlign w:val="center"/>
            <w:textDirection w:val="lrTb"/>
            <w:noWrap w:val="false"/>
          </w:tcPr>
          <w:p>
            <w:pPr>
              <w:pStyle w:val="851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 xml:space="preserve">21.20.10.182-000006-1-00008-0000000000000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W w:w="2201" w:type="dxa"/>
            <w:vAlign w:val="center"/>
            <w:textDirection w:val="lrTb"/>
            <w:noWrap w:val="false"/>
          </w:tcPr>
          <w:p>
            <w:pPr>
              <w:pStyle w:val="851"/>
            </w:pPr>
            <w:r>
              <w:t xml:space="preserve">ТАБЛЕТКИ, ПОКРЫТЫЕ ОБОЛОЧКОЙ, 5 мг</w:t>
            </w:r>
            <w:r/>
          </w:p>
        </w:tc>
        <w:tc>
          <w:tcPr>
            <w:shd w:val="clear" w:color="auto" w:fill="ffffff"/>
            <w:tcW w:w="1165" w:type="dxa"/>
            <w:vAlign w:val="center"/>
            <w:textDirection w:val="lrTb"/>
            <w:noWrap w:val="false"/>
          </w:tcPr>
          <w:p>
            <w:pPr>
              <w:pStyle w:val="851"/>
              <w:jc w:val="center"/>
            </w:pPr>
            <w:r>
              <w:t xml:space="preserve">Да</w:t>
            </w:r>
            <w:r/>
          </w:p>
          <w:p>
            <w:pPr>
              <w:pStyle w:val="851"/>
              <w:jc w:val="center"/>
            </w:pPr>
            <w:r>
              <w:t xml:space="preserve">/</w:t>
            </w:r>
            <w:r/>
          </w:p>
          <w:p>
            <w:pPr>
              <w:pStyle w:val="851"/>
              <w:jc w:val="center"/>
            </w:pPr>
            <w:r>
              <w:t xml:space="preserve">Нет</w:t>
            </w:r>
            <w:r/>
          </w:p>
        </w:tc>
        <w:tc>
          <w:tcPr>
            <w:shd w:val="clear" w:color="auto" w:fill="ffffff"/>
            <w:tcW w:w="836" w:type="dxa"/>
            <w:vAlign w:val="center"/>
            <w:textDirection w:val="lrTb"/>
            <w:noWrap w:val="false"/>
          </w:tcPr>
          <w:p>
            <w:pPr>
              <w:pStyle w:val="851"/>
              <w:jc w:val="center"/>
            </w:pPr>
            <w:r>
              <w:t xml:space="preserve">шт</w:t>
            </w:r>
            <w:r/>
          </w:p>
        </w:tc>
        <w:tc>
          <w:tcPr>
            <w:shd w:val="clear" w:color="auto" w:fill="ffffff"/>
            <w:tcW w:w="841" w:type="dxa"/>
            <w:vAlign w:val="center"/>
            <w:textDirection w:val="lrTb"/>
            <w:noWrap w:val="false"/>
          </w:tcPr>
          <w:p>
            <w:pPr>
              <w:pStyle w:val="851"/>
              <w:jc w:val="center"/>
            </w:pPr>
            <w:r>
              <w:t xml:space="preserve">600</w:t>
            </w:r>
            <w:r/>
          </w:p>
        </w:tc>
        <w:tc>
          <w:tcPr>
            <w:shd w:val="clear" w:color="auto" w:fill="ffffff"/>
            <w:tcW w:w="943" w:type="dxa"/>
            <w:vAlign w:val="center"/>
            <w:textDirection w:val="lrTb"/>
            <w:noWrap w:val="false"/>
          </w:tcPr>
          <w:p>
            <w:pPr>
              <w:pStyle w:val="851"/>
              <w:jc w:val="center"/>
            </w:pPr>
            <w:r>
              <w:t xml:space="preserve">1,</w:t>
            </w:r>
            <w:r>
              <w:t xml:space="preserve">52</w:t>
            </w:r>
            <w:r/>
          </w:p>
        </w:tc>
        <w:tc>
          <w:tcPr>
            <w:shd w:val="clear" w:color="auto" w:fill="ffffff"/>
            <w:tcW w:w="1127" w:type="dxa"/>
            <w:vAlign w:val="center"/>
            <w:textDirection w:val="lrTb"/>
            <w:noWrap w:val="false"/>
          </w:tcPr>
          <w:p>
            <w:pPr>
              <w:pStyle w:val="851"/>
              <w:jc w:val="center"/>
            </w:pPr>
            <w:r>
              <w:t xml:space="preserve">912,00</w:t>
            </w:r>
            <w:r/>
          </w:p>
        </w:tc>
        <w:tc>
          <w:tcPr>
            <w:shd w:val="clear" w:color="auto" w:fill="ffffff"/>
            <w:tcW w:w="1197" w:type="dxa"/>
            <w:vAlign w:val="center"/>
            <w:textDirection w:val="lrTb"/>
            <w:noWrap w:val="false"/>
          </w:tcPr>
          <w:p>
            <w:pPr>
              <w:pStyle w:val="851"/>
              <w:jc w:val="center"/>
            </w:pPr>
            <w:r>
              <w:t xml:space="preserve">12 мес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28" w:type="dxa"/>
            <w:vAlign w:val="center"/>
            <w:textDirection w:val="lrTb"/>
            <w:noWrap w:val="false"/>
          </w:tcPr>
          <w:p>
            <w:pPr>
              <w:pStyle w:val="851"/>
              <w:jc w:val="center"/>
            </w:pPr>
            <w:r>
              <w:t xml:space="preserve">1 x ТАБЛЕТКИ</w:t>
            </w:r>
            <w:r>
              <w:t xml:space="preserve">,</w:t>
            </w:r>
            <w:r>
              <w:t xml:space="preserve"> 5 мг</w:t>
            </w:r>
            <w:r/>
          </w:p>
        </w:tc>
      </w:tr>
    </w:tbl>
    <w:p>
      <w:pPr>
        <w:pStyle w:val="851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Начальная (максимальная) цена контракта: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912 </w:t>
      </w:r>
      <w:r>
        <w:rPr>
          <w:spacing w:val="-4"/>
          <w:sz w:val="24"/>
          <w:szCs w:val="24"/>
        </w:rPr>
        <w:t xml:space="preserve">(</w:t>
      </w:r>
      <w:r>
        <w:rPr>
          <w:spacing w:val="-4"/>
          <w:sz w:val="24"/>
          <w:szCs w:val="24"/>
        </w:rPr>
        <w:t xml:space="preserve">девятьсот двенадцать</w:t>
      </w:r>
      <w:r>
        <w:rPr>
          <w:spacing w:val="-4"/>
          <w:sz w:val="24"/>
          <w:szCs w:val="24"/>
        </w:rPr>
        <w:t xml:space="preserve">) рублей </w:t>
      </w:r>
      <w:r>
        <w:rPr>
          <w:spacing w:val="-4"/>
          <w:sz w:val="24"/>
          <w:szCs w:val="24"/>
        </w:rPr>
        <w:t xml:space="preserve">00</w:t>
      </w:r>
      <w:r>
        <w:rPr>
          <w:spacing w:val="-4"/>
          <w:sz w:val="24"/>
          <w:szCs w:val="24"/>
        </w:rPr>
        <w:t xml:space="preserve"> копеек</w:t>
      </w:r>
      <w:r>
        <w:rPr>
          <w:spacing w:val="-4"/>
          <w:sz w:val="24"/>
          <w:szCs w:val="24"/>
        </w:rPr>
        <w:t xml:space="preserve">.</w:t>
      </w:r>
      <w:r>
        <w:rPr>
          <w:spacing w:val="-4"/>
          <w:sz w:val="24"/>
          <w:szCs w:val="24"/>
        </w:rPr>
      </w:r>
      <w:r>
        <w:rPr>
          <w:spacing w:val="-4"/>
          <w:sz w:val="24"/>
          <w:szCs w:val="24"/>
        </w:rPr>
      </w:r>
    </w:p>
    <w:p>
      <w:pPr>
        <w:pStyle w:val="851"/>
        <w:jc w:val="both"/>
        <w:rPr>
          <w:i/>
          <w:spacing w:val="-4"/>
          <w:sz w:val="24"/>
          <w:szCs w:val="24"/>
        </w:rPr>
      </w:pPr>
      <w:r>
        <w:rPr>
          <w:spacing w:val="-4"/>
        </w:rPr>
        <w:tab/>
      </w:r>
      <w:r>
        <w:rPr>
          <w:i/>
          <w:spacing w:val="-4"/>
          <w:sz w:val="24"/>
          <w:szCs w:val="24"/>
        </w:rPr>
        <w:t xml:space="preserve">В соответствии с Постановлением Правительства РФ от 15.11.2017 г. № 1380 «Об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нужд»</w:t>
      </w:r>
      <w:r>
        <w:rPr>
          <w:spacing w:val="-4"/>
          <w:sz w:val="24"/>
          <w:szCs w:val="24"/>
        </w:rPr>
        <w:t xml:space="preserve">:</w:t>
      </w:r>
      <w:r>
        <w:rPr>
          <w:i/>
          <w:spacing w:val="-4"/>
          <w:sz w:val="24"/>
          <w:szCs w:val="24"/>
        </w:rPr>
      </w:r>
      <w:r>
        <w:rPr>
          <w:i/>
          <w:spacing w:val="-4"/>
          <w:sz w:val="24"/>
          <w:szCs w:val="24"/>
        </w:rPr>
      </w:r>
    </w:p>
    <w:p>
      <w:pPr>
        <w:pStyle w:val="862"/>
        <w:numPr>
          <w:ilvl w:val="0"/>
          <w:numId w:val="9"/>
        </w:numPr>
        <w:ind w:left="0" w:firstLine="567"/>
        <w:jc w:val="both"/>
        <w:tabs>
          <w:tab w:val="left" w:pos="851" w:leader="none"/>
        </w:tabs>
        <w:rPr>
          <w:rFonts w:cs="Times New Roman"/>
          <w:i/>
          <w:spacing w:val="-4"/>
        </w:rPr>
      </w:pPr>
      <w:r>
        <w:rPr>
          <w:rFonts w:cs="Times New Roman"/>
          <w:i/>
          <w:spacing w:val="-4"/>
        </w:rPr>
        <w:t xml:space="preserve">Лекарственная форма препарата указана с возможностью поставки эквивалентной лекарственные формы. </w:t>
      </w:r>
      <w:r>
        <w:rPr>
          <w:rFonts w:cs="Times New Roman"/>
          <w:i/>
          <w:spacing w:val="-4"/>
        </w:rPr>
      </w:r>
      <w:r>
        <w:rPr>
          <w:rFonts w:cs="Times New Roman"/>
          <w:i/>
          <w:spacing w:val="-4"/>
        </w:rPr>
      </w:r>
    </w:p>
    <w:p>
      <w:pPr>
        <w:pStyle w:val="851"/>
        <w:numPr>
          <w:ilvl w:val="0"/>
          <w:numId w:val="9"/>
        </w:numPr>
        <w:ind w:left="0" w:firstLine="567"/>
        <w:jc w:val="both"/>
        <w:tabs>
          <w:tab w:val="left" w:pos="851" w:leader="none"/>
        </w:tabs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Дозировка лекарственного препарата указана с возможностью поставки лекарственного препарата в кратной дозировке и двойном количестве, а также с возможно</w:t>
      </w:r>
      <w:r>
        <w:rPr>
          <w:i/>
          <w:spacing w:val="-4"/>
          <w:sz w:val="24"/>
          <w:szCs w:val="24"/>
        </w:rPr>
        <w:t xml:space="preserve">стью поставки лекарственного препарата в некратных эквивалентных дозировках, позволяющих достичь одинакового терапевтического эффекта. Участник аукциона в случае предложения эквивалентных дозировок обязан пересчитать количество единиц поставляемого товара.</w:t>
      </w:r>
      <w:r>
        <w:rPr>
          <w:i/>
          <w:spacing w:val="-4"/>
          <w:sz w:val="24"/>
          <w:szCs w:val="24"/>
        </w:rPr>
      </w:r>
      <w:r>
        <w:rPr>
          <w:i/>
          <w:spacing w:val="-4"/>
          <w:sz w:val="24"/>
          <w:szCs w:val="24"/>
        </w:rPr>
      </w:r>
    </w:p>
    <w:p>
      <w:pPr>
        <w:pStyle w:val="851"/>
        <w:numPr>
          <w:ilvl w:val="0"/>
          <w:numId w:val="9"/>
        </w:numPr>
        <w:ind w:left="0" w:firstLine="567"/>
        <w:jc w:val="both"/>
        <w:tabs>
          <w:tab w:val="left" w:pos="851" w:leader="none"/>
        </w:tabs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Не допускаются эквивалентные дозировки лекарственного препарата, предусматривающие необходимость деления твердой лекарственной формы препарата. </w:t>
      </w:r>
      <w:r>
        <w:rPr>
          <w:i/>
          <w:spacing w:val="-4"/>
          <w:sz w:val="24"/>
          <w:szCs w:val="24"/>
        </w:rPr>
      </w:r>
      <w:r>
        <w:rPr>
          <w:i/>
          <w:spacing w:val="-4"/>
          <w:sz w:val="24"/>
          <w:szCs w:val="24"/>
        </w:rPr>
      </w:r>
    </w:p>
    <w:p>
      <w:pPr>
        <w:pStyle w:val="851"/>
        <w:numPr>
          <w:ilvl w:val="0"/>
          <w:numId w:val="10"/>
        </w:numPr>
        <w:ind w:left="0" w:firstLine="567"/>
        <w:jc w:val="both"/>
        <w:tabs>
          <w:tab w:val="left" w:pos="851" w:leader="none"/>
        </w:tabs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Дозировка лекарственного препарата указана с учетом возможности конвертирования в иные единицы измерения.</w:t>
      </w:r>
      <w:r>
        <w:rPr>
          <w:i/>
          <w:spacing w:val="-4"/>
          <w:sz w:val="24"/>
          <w:szCs w:val="24"/>
        </w:rPr>
      </w:r>
      <w:r>
        <w:rPr>
          <w:i/>
          <w:spacing w:val="-4"/>
          <w:sz w:val="24"/>
          <w:szCs w:val="24"/>
        </w:rPr>
      </w:r>
    </w:p>
    <w:p>
      <w:pPr>
        <w:pStyle w:val="851"/>
        <w:numPr>
          <w:ilvl w:val="0"/>
          <w:numId w:val="10"/>
        </w:numPr>
        <w:ind w:left="0" w:firstLine="567"/>
        <w:jc w:val="both"/>
        <w:tabs>
          <w:tab w:val="left" w:pos="851" w:leader="none"/>
        </w:tabs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Возможна замена многокомпонентных (комбинированных) лекарственных препаратов входящими в состав зарегистрированными однокомпонентными лекарственными препаратами.</w:t>
      </w:r>
      <w:r>
        <w:rPr>
          <w:i/>
          <w:spacing w:val="-4"/>
          <w:sz w:val="24"/>
          <w:szCs w:val="24"/>
        </w:rPr>
      </w:r>
      <w:r>
        <w:rPr>
          <w:i/>
          <w:spacing w:val="-4"/>
          <w:sz w:val="24"/>
          <w:szCs w:val="24"/>
        </w:rPr>
      </w:r>
    </w:p>
    <w:p>
      <w:pPr>
        <w:pStyle w:val="851"/>
        <w:numPr>
          <w:ilvl w:val="0"/>
          <w:numId w:val="10"/>
        </w:numPr>
        <w:ind w:left="0" w:firstLine="567"/>
        <w:jc w:val="both"/>
        <w:tabs>
          <w:tab w:val="left" w:pos="851" w:leader="none"/>
        </w:tabs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Взаимозаменяемость лекарственных препаратов содержится в перечне взаимозаменяемых лекарственных препаратов, размещенном на официальном сайте Министерства здравоохранения Российской Федерации в информационно-телекоммуникационной сети "Интернет".</w:t>
      </w:r>
      <w:r>
        <w:rPr>
          <w:i/>
          <w:spacing w:val="-4"/>
          <w:sz w:val="24"/>
          <w:szCs w:val="24"/>
        </w:rPr>
      </w:r>
      <w:r>
        <w:rPr>
          <w:i/>
          <w:spacing w:val="-4"/>
          <w:sz w:val="24"/>
          <w:szCs w:val="24"/>
        </w:rPr>
      </w:r>
    </w:p>
    <w:p>
      <w:pPr>
        <w:pStyle w:val="851"/>
        <w:ind w:firstLine="567"/>
        <w:jc w:val="both"/>
        <w:tabs>
          <w:tab w:val="left" w:pos="851" w:leader="none"/>
        </w:tabs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или</w:t>
      </w:r>
      <w:r>
        <w:rPr>
          <w:i/>
          <w:spacing w:val="-4"/>
          <w:sz w:val="24"/>
          <w:szCs w:val="24"/>
        </w:rPr>
      </w:r>
      <w:r>
        <w:rPr>
          <w:i/>
          <w:spacing w:val="-4"/>
          <w:sz w:val="24"/>
          <w:szCs w:val="24"/>
        </w:rPr>
      </w:r>
    </w:p>
    <w:p>
      <w:pPr>
        <w:pStyle w:val="851"/>
        <w:ind w:firstLine="567"/>
        <w:jc w:val="both"/>
        <w:tabs>
          <w:tab w:val="left" w:pos="851" w:leader="none"/>
        </w:tabs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6) взаимозаменяемые лекарственные препараты для данного лекарственного препарата для медицинского применения отсутствуют.</w:t>
      </w:r>
      <w:r>
        <w:rPr>
          <w:i/>
          <w:spacing w:val="-4"/>
          <w:sz w:val="24"/>
          <w:szCs w:val="24"/>
        </w:rPr>
      </w:r>
      <w:r>
        <w:rPr>
          <w:i/>
          <w:spacing w:val="-4"/>
          <w:sz w:val="24"/>
          <w:szCs w:val="24"/>
        </w:rPr>
      </w:r>
    </w:p>
    <w:p>
      <w:pPr>
        <w:pStyle w:val="851"/>
        <w:jc w:val="center"/>
        <w:shd w:val="clear" w:color="auto" w:fill="ffffff"/>
        <w:rPr>
          <w:spacing w:val="-4"/>
        </w:rPr>
      </w:pPr>
      <w:r>
        <w:rPr>
          <w:spacing w:val="-4"/>
        </w:rPr>
      </w:r>
      <w:r>
        <w:rPr>
          <w:spacing w:val="-4"/>
        </w:rPr>
      </w:r>
      <w:r>
        <w:rPr>
          <w:spacing w:val="-4"/>
        </w:rPr>
      </w:r>
    </w:p>
    <w:p>
      <w:pPr>
        <w:pStyle w:val="851"/>
        <w:jc w:val="center"/>
        <w:shd w:val="clear" w:color="auto" w:fill="ffffff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Дополнительные условия:</w:t>
      </w:r>
      <w:r>
        <w:rPr>
          <w:spacing w:val="-4"/>
          <w:sz w:val="22"/>
          <w:szCs w:val="22"/>
        </w:rPr>
      </w:r>
      <w:r>
        <w:rPr>
          <w:spacing w:val="-4"/>
          <w:sz w:val="22"/>
          <w:szCs w:val="22"/>
        </w:rPr>
      </w:r>
    </w:p>
    <w:p>
      <w:pPr>
        <w:pStyle w:val="851"/>
        <w:jc w:val="center"/>
        <w:shd w:val="clear" w:color="auto" w:fill="ffffff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</w:r>
      <w:r>
        <w:rPr>
          <w:spacing w:val="-4"/>
          <w:sz w:val="22"/>
          <w:szCs w:val="22"/>
        </w:rPr>
      </w:r>
      <w:r>
        <w:rPr>
          <w:spacing w:val="-4"/>
          <w:sz w:val="22"/>
          <w:szCs w:val="22"/>
        </w:rPr>
      </w:r>
    </w:p>
    <w:p>
      <w:pPr>
        <w:pStyle w:val="861"/>
        <w:numPr>
          <w:ilvl w:val="0"/>
          <w:numId w:val="4"/>
        </w:numPr>
        <w:ind w:left="0" w:firstLine="0"/>
        <w:jc w:val="both"/>
        <w:spacing w:after="0" w:line="100" w:lineRule="atLeast"/>
        <w:tabs>
          <w:tab w:val="num" w:pos="-1560" w:leader="none"/>
          <w:tab w:val="clear" w:pos="0" w:leader="none"/>
          <w:tab w:val="num" w:pos="284" w:leader="none"/>
        </w:tabs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Место поставки: 420045, РФ, РТ, г. Казань, ул. Николая Ершова, д. 49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а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.</w:t>
      </w:r>
      <w:r>
        <w:rPr>
          <w:rFonts w:ascii="Times New Roman" w:hAnsi="Times New Roman" w:cs="Times New Roman"/>
          <w:spacing w:val="-4"/>
          <w:sz w:val="22"/>
          <w:szCs w:val="22"/>
        </w:rPr>
      </w:r>
      <w:r>
        <w:rPr>
          <w:rFonts w:ascii="Times New Roman" w:hAnsi="Times New Roman" w:cs="Times New Roman"/>
          <w:spacing w:val="-4"/>
          <w:sz w:val="22"/>
          <w:szCs w:val="22"/>
        </w:rPr>
      </w:r>
    </w:p>
    <w:p>
      <w:pPr>
        <w:pStyle w:val="861"/>
        <w:numPr>
          <w:ilvl w:val="0"/>
          <w:numId w:val="4"/>
        </w:numPr>
        <w:ind w:left="0" w:firstLine="0"/>
        <w:jc w:val="both"/>
        <w:spacing w:after="0" w:line="100" w:lineRule="atLeast"/>
        <w:tabs>
          <w:tab w:val="num" w:pos="-1560" w:leader="none"/>
          <w:tab w:val="clear" w:pos="0" w:leader="none"/>
          <w:tab w:val="num" w:pos="284" w:leader="none"/>
        </w:tabs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К закупке применяется </w:t>
      </w:r>
      <w:r>
        <w:rPr>
          <w:rFonts w:ascii="Times New Roman" w:hAnsi="Times New Roman" w:cs="Times New Roman"/>
          <w:b/>
          <w:color w:val="000000"/>
          <w:spacing w:val="-4"/>
          <w:sz w:val="22"/>
          <w:szCs w:val="22"/>
        </w:rPr>
        <w:t xml:space="preserve">ограничение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закупок товаров, происходящих из иностранных государств, и </w:t>
      </w:r>
      <w:r>
        <w:rPr>
          <w:rFonts w:ascii="Times New Roman" w:hAnsi="Times New Roman" w:cs="Times New Roman"/>
          <w:b/>
          <w:color w:val="22272f"/>
          <w:spacing w:val="-4"/>
          <w:sz w:val="22"/>
          <w:szCs w:val="22"/>
          <w:shd w:val="clear" w:color="auto" w:fill="ffffff"/>
        </w:rPr>
        <w:t xml:space="preserve">преимущество</w:t>
      </w:r>
      <w:r>
        <w:rPr>
          <w:rFonts w:ascii="Times New Roman" w:hAnsi="Times New Roman" w:cs="Times New Roman"/>
          <w:color w:val="22272f"/>
          <w:spacing w:val="-4"/>
          <w:sz w:val="22"/>
          <w:szCs w:val="22"/>
          <w:shd w:val="clear" w:color="auto" w:fill="ffffff"/>
        </w:rPr>
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предусмотренные Постановлением Правительства Российск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>
        <w:rPr>
          <w:rFonts w:ascii="Times New Roman" w:hAnsi="Times New Roman" w:cs="Times New Roman"/>
          <w:spacing w:val="-4"/>
          <w:sz w:val="22"/>
          <w:szCs w:val="22"/>
        </w:rPr>
      </w:r>
      <w:r>
        <w:rPr>
          <w:rFonts w:ascii="Times New Roman" w:hAnsi="Times New Roman" w:cs="Times New Roman"/>
          <w:spacing w:val="-4"/>
          <w:sz w:val="22"/>
          <w:szCs w:val="22"/>
        </w:rPr>
      </w:r>
    </w:p>
    <w:p>
      <w:pPr>
        <w:pStyle w:val="851"/>
        <w:numPr>
          <w:ilvl w:val="0"/>
          <w:numId w:val="4"/>
        </w:numPr>
        <w:ind w:left="0" w:firstLine="0"/>
        <w:jc w:val="both"/>
        <w:tabs>
          <w:tab w:val="clear" w:pos="0" w:leader="none"/>
          <w:tab w:val="num" w:pos="284" w:leader="none"/>
        </w:tabs>
        <w:rPr>
          <w:bCs/>
          <w:spacing w:val="-4"/>
          <w:sz w:val="22"/>
          <w:szCs w:val="22"/>
          <w:lang w:eastAsia="en-US"/>
        </w:rPr>
      </w:pPr>
      <w:r>
        <w:rPr>
          <w:bCs/>
          <w:spacing w:val="-4"/>
          <w:sz w:val="22"/>
          <w:szCs w:val="22"/>
          <w:lang w:eastAsia="en-US"/>
        </w:rPr>
        <w:t xml:space="preserve">В соответствии с пунктом 1 части 1 статьи 31 Закона Заказчик устанавливает требование</w:t>
      </w:r>
      <w:r>
        <w:rPr>
          <w:spacing w:val="-4"/>
          <w:sz w:val="22"/>
          <w:szCs w:val="22"/>
        </w:rPr>
        <w:t xml:space="preserve"> </w:t>
      </w:r>
      <w:r>
        <w:rPr>
          <w:bCs/>
          <w:spacing w:val="-4"/>
          <w:sz w:val="22"/>
          <w:szCs w:val="22"/>
          <w:lang w:eastAsia="en-US"/>
        </w:rPr>
        <w:t xml:space="preserve">к н</w:t>
      </w:r>
      <w:r>
        <w:rPr>
          <w:spacing w:val="-4"/>
          <w:sz w:val="22"/>
          <w:szCs w:val="22"/>
        </w:rPr>
        <w:t xml:space="preserve">аличию у Поставщика лицензии на осуществление </w:t>
      </w:r>
      <w:r>
        <w:rPr>
          <w:bCs/>
          <w:spacing w:val="-4"/>
          <w:sz w:val="22"/>
          <w:szCs w:val="22"/>
          <w:lang w:eastAsia="en-US"/>
        </w:rPr>
        <w:t xml:space="preserve">фармацевтической деятельности с указанием «оптовая торговля лекарственными средствами» (для участников, которые не являются производител</w:t>
      </w:r>
      <w:r>
        <w:rPr>
          <w:bCs/>
          <w:spacing w:val="-4"/>
          <w:sz w:val="22"/>
          <w:szCs w:val="22"/>
          <w:lang w:eastAsia="en-US"/>
        </w:rPr>
        <w:t xml:space="preserve">я</w:t>
      </w:r>
      <w:r>
        <w:rPr>
          <w:bCs/>
          <w:spacing w:val="-4"/>
          <w:sz w:val="22"/>
          <w:szCs w:val="22"/>
          <w:lang w:eastAsia="en-US"/>
        </w:rPr>
        <w:t xml:space="preserve">ми лекарственных средств) либо на осуществление деятельности </w:t>
      </w:r>
      <w:r>
        <w:rPr>
          <w:bCs/>
          <w:spacing w:val="-4"/>
          <w:sz w:val="22"/>
          <w:szCs w:val="22"/>
          <w:lang w:eastAsia="en-US"/>
        </w:rPr>
        <w:t xml:space="preserve">по производству лекарственных средств (для производителей лекарственных средств) (</w:t>
      </w:r>
      <w:r>
        <w:rPr>
          <w:bCs/>
          <w:spacing w:val="-4"/>
          <w:sz w:val="22"/>
          <w:szCs w:val="22"/>
          <w:lang w:eastAsia="en-US"/>
        </w:rPr>
        <w:fldChar w:fldCharType="begin"/>
      </w:r>
      <w:r>
        <w:rPr>
          <w:bCs/>
          <w:spacing w:val="-4"/>
          <w:sz w:val="22"/>
          <w:szCs w:val="22"/>
          <w:lang w:eastAsia="en-US"/>
        </w:rPr>
        <w:instrText xml:space="preserve">HYPERLINK "garantF1://12085475.120117"</w:instrText>
      </w:r>
      <w:r>
        <w:rPr>
          <w:bCs/>
          <w:spacing w:val="-4"/>
          <w:sz w:val="22"/>
          <w:szCs w:val="22"/>
          <w:lang w:eastAsia="en-US"/>
        </w:rPr>
        <w:fldChar w:fldCharType="separate"/>
      </w:r>
      <w:r>
        <w:rPr>
          <w:bCs/>
          <w:spacing w:val="-4"/>
          <w:sz w:val="22"/>
          <w:szCs w:val="22"/>
          <w:lang w:eastAsia="en-US"/>
        </w:rPr>
        <w:t xml:space="preserve">пп. 47 п. 1 ст. 12</w:t>
      </w:r>
      <w:r>
        <w:rPr>
          <w:bCs/>
          <w:spacing w:val="-4"/>
          <w:sz w:val="22"/>
          <w:szCs w:val="22"/>
          <w:lang w:eastAsia="en-US"/>
        </w:rPr>
        <w:fldChar w:fldCharType="end"/>
      </w:r>
      <w:r>
        <w:rPr>
          <w:bCs/>
          <w:spacing w:val="-4"/>
          <w:sz w:val="22"/>
          <w:szCs w:val="22"/>
          <w:lang w:eastAsia="en-US"/>
        </w:rPr>
        <w:t xml:space="preserve"> Федерального закона от 04.05.2011 г. № 99-ФЗ «О лицензировании отдельных видов деятельности».</w:t>
      </w:r>
      <w:r>
        <w:rPr>
          <w:bCs/>
          <w:spacing w:val="-4"/>
          <w:sz w:val="22"/>
          <w:szCs w:val="22"/>
          <w:lang w:eastAsia="en-US"/>
        </w:rPr>
      </w:r>
      <w:r>
        <w:rPr>
          <w:bCs/>
          <w:spacing w:val="-4"/>
          <w:sz w:val="22"/>
          <w:szCs w:val="22"/>
          <w:lang w:eastAsia="en-US"/>
        </w:rPr>
      </w:r>
    </w:p>
    <w:p>
      <w:pPr>
        <w:pStyle w:val="861"/>
        <w:ind w:left="0"/>
        <w:jc w:val="both"/>
        <w:spacing w:after="0" w:line="100" w:lineRule="atLeast"/>
        <w:tabs>
          <w:tab w:val="num" w:pos="426" w:leader="none"/>
        </w:tabs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5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. Срок поставки: в течение 10 календарных дней с момента подачи заявки Заказчиком (согласно календарного плана). </w:t>
      </w:r>
      <w:r>
        <w:rPr>
          <w:rFonts w:ascii="Times New Roman" w:hAnsi="Times New Roman" w:cs="Times New Roman"/>
          <w:spacing w:val="-4"/>
          <w:sz w:val="22"/>
          <w:szCs w:val="22"/>
        </w:rPr>
      </w:r>
      <w:r>
        <w:rPr>
          <w:rFonts w:ascii="Times New Roman" w:hAnsi="Times New Roman" w:cs="Times New Roman"/>
          <w:spacing w:val="-4"/>
          <w:sz w:val="22"/>
          <w:szCs w:val="22"/>
        </w:rPr>
      </w:r>
    </w:p>
    <w:p>
      <w:pPr>
        <w:pStyle w:val="861"/>
        <w:ind w:left="0"/>
        <w:jc w:val="both"/>
        <w:spacing w:after="0" w:line="100" w:lineRule="atLeast"/>
        <w:tabs>
          <w:tab w:val="num" w:pos="426" w:leader="none"/>
        </w:tabs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6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. Срок действия контракта: с даты заключения контракта до 31.12.202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6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г. включительно.</w:t>
      </w:r>
      <w:r>
        <w:rPr>
          <w:rFonts w:ascii="Times New Roman" w:hAnsi="Times New Roman" w:cs="Times New Roman"/>
          <w:spacing w:val="-4"/>
          <w:sz w:val="22"/>
          <w:szCs w:val="22"/>
        </w:rPr>
      </w:r>
      <w:r>
        <w:rPr>
          <w:rFonts w:ascii="Times New Roman" w:hAnsi="Times New Roman" w:cs="Times New Roman"/>
          <w:spacing w:val="-4"/>
          <w:sz w:val="22"/>
          <w:szCs w:val="22"/>
        </w:rPr>
      </w:r>
    </w:p>
    <w:p>
      <w:pPr>
        <w:pStyle w:val="861"/>
        <w:ind w:left="0"/>
        <w:jc w:val="both"/>
        <w:spacing w:after="0" w:line="100" w:lineRule="atLeast"/>
        <w:tabs>
          <w:tab w:val="num" w:pos="426" w:leader="none"/>
        </w:tabs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7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. Условия поставки товаров: поставка и разгрузка товара производится за счет Поставщика, с использованием транспорта,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г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арантирующего качес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т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во лекарственного средства, в том числе соблюдение температурного режима.</w:t>
      </w:r>
      <w:r>
        <w:rPr>
          <w:rFonts w:ascii="Times New Roman" w:hAnsi="Times New Roman" w:cs="Times New Roman"/>
          <w:spacing w:val="-4"/>
          <w:sz w:val="22"/>
          <w:szCs w:val="22"/>
        </w:rPr>
      </w:r>
      <w:r>
        <w:rPr>
          <w:rFonts w:ascii="Times New Roman" w:hAnsi="Times New Roman" w:cs="Times New Roman"/>
          <w:spacing w:val="-4"/>
          <w:sz w:val="22"/>
          <w:szCs w:val="22"/>
        </w:rPr>
      </w:r>
    </w:p>
    <w:p>
      <w:pPr>
        <w:pStyle w:val="861"/>
        <w:ind w:left="0"/>
        <w:jc w:val="both"/>
        <w:spacing w:after="0" w:line="100" w:lineRule="atLeast"/>
        <w:tabs>
          <w:tab w:val="num" w:pos="426" w:leader="none"/>
        </w:tabs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8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. Заезд автотранспорта – возможность задержки в связи с тем, что учреждение закрытое. Доступ в учреждение осуществляется только при наличии документа, удостоверяющего личность.</w:t>
      </w:r>
      <w:r>
        <w:rPr>
          <w:rFonts w:ascii="Times New Roman" w:hAnsi="Times New Roman" w:cs="Times New Roman"/>
          <w:spacing w:val="-4"/>
          <w:sz w:val="22"/>
          <w:szCs w:val="22"/>
        </w:rPr>
      </w:r>
      <w:r>
        <w:rPr>
          <w:rFonts w:ascii="Times New Roman" w:hAnsi="Times New Roman" w:cs="Times New Roman"/>
          <w:spacing w:val="-4"/>
          <w:sz w:val="22"/>
          <w:szCs w:val="22"/>
        </w:rPr>
      </w:r>
    </w:p>
    <w:p>
      <w:pPr>
        <w:pStyle w:val="861"/>
        <w:ind w:left="0"/>
        <w:jc w:val="both"/>
        <w:spacing w:after="0" w:line="100" w:lineRule="atLeast"/>
        <w:tabs>
          <w:tab w:val="num" w:pos="426" w:leader="none"/>
        </w:tabs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9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. Общие требования к товарам: товар зарегистрирован в качестве лекарственного средства на территории Российской Федерации в установленном порядке.</w:t>
      </w:r>
      <w:r>
        <w:rPr>
          <w:rFonts w:ascii="Times New Roman" w:hAnsi="Times New Roman" w:cs="Times New Roman"/>
          <w:spacing w:val="-4"/>
          <w:sz w:val="22"/>
          <w:szCs w:val="22"/>
        </w:rPr>
      </w:r>
      <w:r>
        <w:rPr>
          <w:rFonts w:ascii="Times New Roman" w:hAnsi="Times New Roman" w:cs="Times New Roman"/>
          <w:spacing w:val="-4"/>
          <w:sz w:val="22"/>
          <w:szCs w:val="22"/>
        </w:rPr>
      </w:r>
    </w:p>
    <w:p>
      <w:pPr>
        <w:pStyle w:val="861"/>
        <w:ind w:left="0"/>
        <w:jc w:val="both"/>
        <w:spacing w:after="0" w:line="100" w:lineRule="atLeast"/>
        <w:tabs>
          <w:tab w:val="num" w:pos="426" w:leader="none"/>
        </w:tabs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10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. Требования к качеству товаров, качественным (потребительским) свойствам товаров: товар должен соответствовать требованиям, установленным действующей нормативно-технической документацией. </w:t>
      </w:r>
      <w:r>
        <w:rPr>
          <w:rFonts w:ascii="Times New Roman" w:hAnsi="Times New Roman" w:cs="Times New Roman"/>
          <w:spacing w:val="-4"/>
          <w:sz w:val="22"/>
          <w:szCs w:val="22"/>
        </w:rPr>
      </w:r>
      <w:r>
        <w:rPr>
          <w:rFonts w:ascii="Times New Roman" w:hAnsi="Times New Roman" w:cs="Times New Roman"/>
          <w:spacing w:val="-4"/>
          <w:sz w:val="22"/>
          <w:szCs w:val="22"/>
        </w:rPr>
      </w:r>
    </w:p>
    <w:p>
      <w:pPr>
        <w:pStyle w:val="861"/>
        <w:ind w:left="0"/>
        <w:jc w:val="both"/>
        <w:spacing w:after="0" w:line="100" w:lineRule="atLeast"/>
        <w:tabs>
          <w:tab w:val="num" w:pos="426" w:leader="none"/>
        </w:tabs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11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. Поставляемый товар должен быть новым товаром (товаром, который не был в употреблении, в ремонте, в том числе, который не был восст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а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новлен, у которого не была осуществлена замена составных частей, не были восстановлены потребительские свойства).</w:t>
      </w:r>
      <w:r>
        <w:rPr>
          <w:rFonts w:ascii="Times New Roman" w:hAnsi="Times New Roman" w:cs="Times New Roman"/>
          <w:spacing w:val="-4"/>
          <w:sz w:val="22"/>
          <w:szCs w:val="22"/>
        </w:rPr>
      </w:r>
      <w:r>
        <w:rPr>
          <w:rFonts w:ascii="Times New Roman" w:hAnsi="Times New Roman" w:cs="Times New Roman"/>
          <w:spacing w:val="-4"/>
          <w:sz w:val="22"/>
          <w:szCs w:val="22"/>
        </w:rPr>
      </w:r>
    </w:p>
    <w:p>
      <w:pPr>
        <w:pStyle w:val="861"/>
        <w:ind w:left="0"/>
        <w:jc w:val="both"/>
        <w:spacing w:after="0" w:line="100" w:lineRule="atLeast"/>
        <w:tabs>
          <w:tab w:val="left" w:pos="284" w:leader="none"/>
        </w:tabs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1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2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. Требования по передаче Заказчику технических и иных документов при поставке товар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ов: поставка товара сопровождается документами установленной формы, подтверждающими страну происхождения, качество и безопасность товара, оформленными в соответствии с законодательством Российской Федерации (копии регистрационных удостоверений, паспорта за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вода – изготовителя, сертификатов соответствия, деклараций о соответствии, протокол согласования цен поставки лекарственных препаратов, включенных в перечень жизненно необходимых и важнейших лекарственных препаратов), обязательными для данного вида товара.</w:t>
      </w:r>
      <w:r>
        <w:rPr>
          <w:rFonts w:ascii="Times New Roman" w:hAnsi="Times New Roman" w:cs="Times New Roman"/>
          <w:spacing w:val="-4"/>
          <w:sz w:val="22"/>
          <w:szCs w:val="22"/>
        </w:rPr>
      </w:r>
      <w:r>
        <w:rPr>
          <w:rFonts w:ascii="Times New Roman" w:hAnsi="Times New Roman" w:cs="Times New Roman"/>
          <w:spacing w:val="-4"/>
          <w:sz w:val="22"/>
          <w:szCs w:val="22"/>
        </w:rPr>
      </w:r>
    </w:p>
    <w:p>
      <w:pPr>
        <w:pStyle w:val="858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1</w:t>
      </w:r>
      <w:r>
        <w:rPr>
          <w:spacing w:val="-4"/>
          <w:sz w:val="22"/>
          <w:szCs w:val="22"/>
          <w:lang w:val="ru-RU"/>
        </w:rPr>
        <w:t xml:space="preserve">3</w:t>
      </w:r>
      <w:r>
        <w:rPr>
          <w:spacing w:val="-4"/>
          <w:sz w:val="22"/>
          <w:szCs w:val="22"/>
        </w:rPr>
        <w:t xml:space="preserve">. Цена контракта включает в себя стоимость товара, а также все расходы на перевозку, погрузо-разгрузочные работы (в случае поставки това</w:t>
      </w:r>
      <w:r>
        <w:rPr>
          <w:spacing w:val="-4"/>
          <w:sz w:val="22"/>
          <w:szCs w:val="22"/>
        </w:rPr>
        <w:t xml:space="preserve">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  <w:r>
        <w:rPr>
          <w:spacing w:val="-4"/>
          <w:sz w:val="22"/>
          <w:szCs w:val="22"/>
        </w:rPr>
      </w:r>
      <w:r>
        <w:rPr>
          <w:spacing w:val="-4"/>
          <w:sz w:val="22"/>
          <w:szCs w:val="22"/>
        </w:rPr>
      </w:r>
    </w:p>
    <w:p>
      <w:pPr>
        <w:pStyle w:val="858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1</w:t>
      </w:r>
      <w:r>
        <w:rPr>
          <w:spacing w:val="-4"/>
          <w:sz w:val="22"/>
          <w:szCs w:val="22"/>
          <w:lang w:val="ru-RU"/>
        </w:rPr>
        <w:t xml:space="preserve">4</w:t>
      </w:r>
      <w:r>
        <w:rPr>
          <w:spacing w:val="-4"/>
          <w:sz w:val="22"/>
          <w:szCs w:val="22"/>
        </w:rPr>
        <w:t xml:space="preserve">.</w:t>
      </w:r>
      <w:r>
        <w:rPr>
          <w:spacing w:val="-4"/>
          <w:sz w:val="22"/>
          <w:szCs w:val="22"/>
        </w:rPr>
        <w:t xml:space="preserve"> Оплата п</w:t>
      </w:r>
      <w:r>
        <w:rPr>
          <w:spacing w:val="-4"/>
          <w:sz w:val="22"/>
          <w:szCs w:val="22"/>
        </w:rPr>
        <w:t xml:space="preserve">о Контракту осуществляется по факту поставки Товара на основании Заявки о получении Товара, в течение 7 (семи) рабочих дней с даты подписания Заказчиком документа о приемке в единой информационной системе и на основании документов, предусмотренных контракт</w:t>
      </w:r>
      <w:r>
        <w:rPr>
          <w:spacing w:val="-4"/>
          <w:sz w:val="22"/>
          <w:szCs w:val="22"/>
          <w:lang w:val="ru-RU"/>
        </w:rPr>
        <w:t xml:space="preserve">ом</w:t>
      </w:r>
      <w:r>
        <w:rPr>
          <w:spacing w:val="-4"/>
          <w:sz w:val="22"/>
          <w:szCs w:val="22"/>
        </w:rPr>
        <w:t xml:space="preserve"> (по факту поступления предельных объемов финансирования).</w:t>
      </w:r>
      <w:r>
        <w:rPr>
          <w:spacing w:val="-4"/>
          <w:sz w:val="22"/>
          <w:szCs w:val="22"/>
        </w:rPr>
      </w:r>
      <w:r>
        <w:rPr>
          <w:spacing w:val="-4"/>
          <w:sz w:val="22"/>
          <w:szCs w:val="22"/>
        </w:rPr>
      </w:r>
    </w:p>
    <w:p>
      <w:pPr>
        <w:pStyle w:val="858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Форма оплаты – безналичная.</w:t>
      </w:r>
      <w:r>
        <w:rPr>
          <w:spacing w:val="-4"/>
          <w:sz w:val="22"/>
          <w:szCs w:val="22"/>
        </w:rPr>
      </w:r>
      <w:r>
        <w:rPr>
          <w:spacing w:val="-4"/>
          <w:sz w:val="22"/>
          <w:szCs w:val="22"/>
        </w:rPr>
      </w:r>
    </w:p>
    <w:p>
      <w:pPr>
        <w:pStyle w:val="851"/>
        <w:ind w:left="284" w:firstLine="283"/>
        <w:jc w:val="both"/>
        <w:spacing w:after="200" w:line="100" w:lineRule="atLeast"/>
        <w:tabs>
          <w:tab w:val="num" w:pos="-142" w:leader="none"/>
          <w:tab w:val="num" w:pos="284" w:leader="none"/>
        </w:tabs>
        <w:rPr>
          <w:rFonts w:eastAsia="Calibri"/>
          <w:i/>
          <w:spacing w:val="-4"/>
          <w:sz w:val="22"/>
          <w:szCs w:val="22"/>
          <w:lang w:eastAsia="ar-SA"/>
        </w:rPr>
      </w:pPr>
      <w:r>
        <w:rPr>
          <w:rFonts w:eastAsia="Calibri"/>
          <w:i/>
          <w:spacing w:val="-4"/>
          <w:sz w:val="22"/>
          <w:szCs w:val="22"/>
          <w:lang w:eastAsia="ar-SA"/>
        </w:rPr>
        <w:t xml:space="preserve">В Описании объекта закупки указаны характеристики товара, потребность в котором имеется у заказчика и который отсутствует в реестре российской промышленной продукции.</w:t>
      </w:r>
      <w:r>
        <w:rPr>
          <w:rFonts w:eastAsia="Calibri"/>
          <w:i/>
          <w:spacing w:val="-4"/>
          <w:sz w:val="22"/>
          <w:szCs w:val="22"/>
          <w:lang w:eastAsia="ar-SA"/>
        </w:rPr>
      </w:r>
      <w:r>
        <w:rPr>
          <w:rFonts w:eastAsia="Calibri"/>
          <w:i/>
          <w:spacing w:val="-4"/>
          <w:sz w:val="22"/>
          <w:szCs w:val="22"/>
          <w:lang w:eastAsia="ar-SA"/>
        </w:rPr>
      </w:r>
    </w:p>
    <w:p>
      <w:pPr>
        <w:pStyle w:val="851"/>
        <w:ind w:left="284" w:firstLine="283"/>
        <w:jc w:val="both"/>
        <w:spacing w:after="200" w:line="100" w:lineRule="atLeast"/>
        <w:tabs>
          <w:tab w:val="num" w:pos="-142" w:leader="none"/>
          <w:tab w:val="num" w:pos="284" w:leader="none"/>
        </w:tabs>
        <w:rPr>
          <w:rFonts w:eastAsia="Calibri"/>
          <w:i/>
          <w:spacing w:val="-4"/>
          <w:sz w:val="22"/>
          <w:szCs w:val="22"/>
          <w:lang w:eastAsia="ar-SA"/>
        </w:rPr>
      </w:pPr>
      <w:r>
        <w:rPr>
          <w:rFonts w:eastAsia="Calibri"/>
          <w:i/>
          <w:spacing w:val="-4"/>
          <w:sz w:val="22"/>
          <w:szCs w:val="22"/>
          <w:lang w:eastAsia="ar-SA"/>
        </w:rPr>
        <w:t xml:space="preserve">Декларация факта отсутствия в реестре российской промышленной продукции товара с характеристиками, соответствующими потребности заказчика, приложена отдельным файлом в составе извещения об осуществления закупки.</w:t>
      </w:r>
      <w:r>
        <w:rPr>
          <w:rFonts w:eastAsia="Calibri"/>
          <w:i/>
          <w:spacing w:val="-4"/>
          <w:sz w:val="22"/>
          <w:szCs w:val="22"/>
          <w:lang w:eastAsia="ar-SA"/>
        </w:rPr>
      </w:r>
      <w:r>
        <w:rPr>
          <w:rFonts w:eastAsia="Calibri"/>
          <w:i/>
          <w:spacing w:val="-4"/>
          <w:sz w:val="22"/>
          <w:szCs w:val="22"/>
          <w:lang w:eastAsia="ar-SA"/>
        </w:rPr>
      </w:r>
    </w:p>
    <w:p>
      <w:pPr>
        <w:pStyle w:val="851"/>
        <w:ind w:left="284" w:firstLine="283"/>
        <w:jc w:val="both"/>
        <w:spacing w:line="100" w:lineRule="atLeast"/>
        <w:tabs>
          <w:tab w:val="num" w:pos="-142" w:leader="none"/>
          <w:tab w:val="num" w:pos="284" w:leader="none"/>
        </w:tabs>
        <w:rPr>
          <w:rFonts w:eastAsia="Calibri"/>
          <w:i/>
          <w:spacing w:val="-4"/>
          <w:sz w:val="22"/>
          <w:szCs w:val="22"/>
          <w:lang w:eastAsia="ar-SA"/>
        </w:rPr>
      </w:pPr>
      <w:r>
        <w:rPr>
          <w:rFonts w:eastAsia="Calibri"/>
          <w:i/>
          <w:spacing w:val="-4"/>
          <w:sz w:val="22"/>
          <w:szCs w:val="22"/>
          <w:lang w:eastAsia="ar-SA"/>
        </w:rPr>
        <w:t xml:space="preserve">Приложение к Описанию объект</w:t>
      </w:r>
      <w:r>
        <w:rPr>
          <w:rFonts w:eastAsia="Calibri"/>
          <w:i/>
          <w:spacing w:val="-4"/>
          <w:sz w:val="22"/>
          <w:szCs w:val="22"/>
          <w:lang w:eastAsia="ar-SA"/>
        </w:rPr>
        <w:t xml:space="preserve">а закупки: копия направленного в Министерство промышленности и торговли Российской Федерации уведомления об отсутствии закупаемого товара в реестре российской промышленной продукции (приложено отдельным файлом в составе извещения об осуществления закупки).</w:t>
      </w:r>
      <w:r>
        <w:rPr>
          <w:rFonts w:eastAsia="Calibri"/>
          <w:i/>
          <w:spacing w:val="-4"/>
          <w:sz w:val="22"/>
          <w:szCs w:val="22"/>
          <w:lang w:eastAsia="ar-SA"/>
        </w:rPr>
        <w:t xml:space="preserve"> </w:t>
      </w:r>
      <w:r>
        <w:rPr>
          <w:rFonts w:eastAsia="Calibri"/>
          <w:i/>
          <w:spacing w:val="-4"/>
          <w:sz w:val="22"/>
          <w:szCs w:val="22"/>
          <w:lang w:eastAsia="ar-SA"/>
        </w:rPr>
      </w:r>
      <w:r>
        <w:rPr>
          <w:rFonts w:eastAsia="Calibri"/>
          <w:i/>
          <w:spacing w:val="-4"/>
          <w:sz w:val="22"/>
          <w:szCs w:val="22"/>
          <w:lang w:eastAsia="ar-SA"/>
        </w:rPr>
      </w:r>
    </w:p>
    <w:tbl>
      <w:tblPr>
        <w:tblW w:w="12602" w:type="dxa"/>
        <w:tblInd w:w="14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4805"/>
        <w:gridCol w:w="2835"/>
        <w:gridCol w:w="4962"/>
      </w:tblGrid>
      <w:tr>
        <w:tblPrEx/>
        <w:trPr>
          <w:trHeight w:val="278"/>
        </w:trPr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4805" w:type="dxa"/>
            <w:vAlign w:val="bottom"/>
            <w:textDirection w:val="lrTb"/>
            <w:noWrap w:val="false"/>
          </w:tcPr>
          <w:p>
            <w:pPr>
              <w:pStyle w:val="851"/>
              <w:jc w:val="center"/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И.о. з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аведующ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его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 аптек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ой</w:t>
            </w: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</w:p>
          <w:p>
            <w:pPr>
              <w:pStyle w:val="851"/>
              <w:jc w:val="center"/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Алеева Л.А.</w:t>
            </w: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</w:p>
        </w:tc>
        <w:tc>
          <w:tcPr>
            <w:tcW w:w="2835" w:type="dxa"/>
            <w:vAlign w:val="bottom"/>
            <w:textDirection w:val="lrTb"/>
            <w:noWrap w:val="false"/>
          </w:tcPr>
          <w:p>
            <w:pPr>
              <w:pStyle w:val="851"/>
              <w:jc w:val="center"/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pStyle w:val="851"/>
              <w:jc w:val="center"/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4805" w:type="dxa"/>
            <w:vAlign w:val="bottom"/>
            <w:textDirection w:val="lrTb"/>
            <w:noWrap w:val="false"/>
          </w:tcPr>
          <w:p>
            <w:pPr>
              <w:pStyle w:val="851"/>
              <w:jc w:val="center"/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(Ф.И.О., должность инициатора закупки)</w:t>
            </w: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</w:p>
        </w:tc>
        <w:tc>
          <w:tcPr>
            <w:tcW w:w="2835" w:type="dxa"/>
            <w:vAlign w:val="bottom"/>
            <w:textDirection w:val="lrTb"/>
            <w:noWrap w:val="false"/>
          </w:tcPr>
          <w:p>
            <w:pPr>
              <w:pStyle w:val="851"/>
              <w:jc w:val="center"/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pStyle w:val="851"/>
              <w:jc w:val="center"/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(подпись)</w:t>
            </w: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4805" w:type="dxa"/>
            <w:vAlign w:val="bottom"/>
            <w:textDirection w:val="lrTb"/>
            <w:noWrap w:val="false"/>
          </w:tcPr>
          <w:p>
            <w:pPr>
              <w:pStyle w:val="851"/>
              <w:jc w:val="center"/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Сафронова Н.И.</w:t>
            </w: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</w:p>
        </w:tc>
        <w:tc>
          <w:tcPr>
            <w:tcW w:w="2835" w:type="dxa"/>
            <w:vAlign w:val="bottom"/>
            <w:textDirection w:val="lrTb"/>
            <w:noWrap w:val="false"/>
          </w:tcPr>
          <w:p>
            <w:pPr>
              <w:pStyle w:val="851"/>
              <w:jc w:val="center"/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pStyle w:val="851"/>
              <w:jc w:val="center"/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4805" w:type="dxa"/>
            <w:vAlign w:val="bottom"/>
            <w:textDirection w:val="lrTb"/>
            <w:noWrap w:val="false"/>
          </w:tcPr>
          <w:p>
            <w:pPr>
              <w:pStyle w:val="851"/>
              <w:jc w:val="center"/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(Ф.И.О.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специалиста по закупкам)</w:t>
            </w: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</w:p>
        </w:tc>
        <w:tc>
          <w:tcPr>
            <w:tcW w:w="2835" w:type="dxa"/>
            <w:vAlign w:val="bottom"/>
            <w:textDirection w:val="lrTb"/>
            <w:noWrap w:val="false"/>
          </w:tcPr>
          <w:p>
            <w:pPr>
              <w:pStyle w:val="851"/>
              <w:jc w:val="center"/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pStyle w:val="851"/>
              <w:jc w:val="center"/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(подпись)</w:t>
            </w: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588"/>
        </w:trPr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4805" w:type="dxa"/>
            <w:vAlign w:val="bottom"/>
            <w:textDirection w:val="lrTb"/>
            <w:noWrap w:val="false"/>
          </w:tcPr>
          <w:p>
            <w:pPr>
              <w:pStyle w:val="851"/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Согласовано:</w:t>
            </w: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</w:p>
          <w:p>
            <w:pPr>
              <w:pStyle w:val="851"/>
              <w:jc w:val="center"/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Кошкина Д.А. </w:t>
            </w: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</w:p>
        </w:tc>
        <w:tc>
          <w:tcPr>
            <w:tcW w:w="2835" w:type="dxa"/>
            <w:vAlign w:val="bottom"/>
            <w:textDirection w:val="lrTb"/>
            <w:noWrap w:val="false"/>
          </w:tcPr>
          <w:p>
            <w:pPr>
              <w:pStyle w:val="851"/>
              <w:jc w:val="center"/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pStyle w:val="851"/>
              <w:jc w:val="center"/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4805" w:type="dxa"/>
            <w:vAlign w:val="bottom"/>
            <w:textDirection w:val="lrTb"/>
            <w:noWrap w:val="false"/>
          </w:tcPr>
          <w:p>
            <w:pPr>
              <w:pStyle w:val="851"/>
              <w:jc w:val="center"/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(Ф.И.О. экономиста)</w:t>
            </w: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</w:p>
        </w:tc>
        <w:tc>
          <w:tcPr>
            <w:tcW w:w="2835" w:type="dxa"/>
            <w:vAlign w:val="bottom"/>
            <w:textDirection w:val="lrTb"/>
            <w:noWrap w:val="false"/>
          </w:tcPr>
          <w:p>
            <w:pPr>
              <w:pStyle w:val="851"/>
              <w:jc w:val="center"/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pStyle w:val="851"/>
              <w:jc w:val="center"/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(подпись)</w:t>
            </w:r>
            <w:r>
              <w:rPr>
                <w:spacing w:val="-4"/>
                <w:sz w:val="22"/>
                <w:szCs w:val="22"/>
                <w:lang w:eastAsia="en-US"/>
              </w:rPr>
            </w:r>
            <w:r>
              <w:rPr>
                <w:spacing w:val="-4"/>
                <w:sz w:val="22"/>
                <w:szCs w:val="22"/>
                <w:lang w:eastAsia="en-US"/>
              </w:rPr>
            </w:r>
          </w:p>
        </w:tc>
      </w:tr>
    </w:tbl>
    <w:sectPr>
      <w:footnotePr/>
      <w:endnotePr/>
      <w:type w:val="nextPage"/>
      <w:pgSz w:w="16838" w:h="11906" w:orient="landscape"/>
      <w:pgMar w:top="851" w:right="851" w:bottom="851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SimSun">
    <w:panose1 w:val="02000506000000020000"/>
  </w:font>
  <w:font w:name="Mangal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20" w:hanging="360"/>
        <w:tabs>
          <w:tab w:val="num" w:pos="0" w:leader="none"/>
        </w:tabs>
      </w:pPr>
      <w:rPr>
        <w:rFonts w:ascii="Times New Roman" w:hAnsi="Times New Roman" w:eastAsia="Calibri" w:cs="Times New Roman"/>
        <w:sz w:val="24"/>
        <w:szCs w:val="24"/>
        <w:lang w:val="ru-RU"/>
      </w:rPr>
    </w:lvl>
    <w:lvl w:ilvl="1">
      <w:start w:val="1"/>
      <w:numFmt w:val="decimal"/>
      <w:isLgl w:val="false"/>
      <w:suff w:val="tab"/>
      <w:lvlText w:val="%2."/>
      <w:lvlJc w:val="left"/>
      <w:pPr>
        <w:ind w:left="2716" w:hanging="360"/>
        <w:tabs>
          <w:tab w:val="num" w:pos="2716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3436" w:hanging="360"/>
        <w:tabs>
          <w:tab w:val="num" w:pos="343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156" w:hanging="360"/>
        <w:tabs>
          <w:tab w:val="num" w:pos="4156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4876" w:hanging="360"/>
        <w:tabs>
          <w:tab w:val="num" w:pos="4876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5596" w:hanging="360"/>
        <w:tabs>
          <w:tab w:val="num" w:pos="559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316" w:hanging="360"/>
        <w:tabs>
          <w:tab w:val="num" w:pos="6316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7036" w:hanging="360"/>
        <w:tabs>
          <w:tab w:val="num" w:pos="7036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7756" w:hanging="360"/>
        <w:tabs>
          <w:tab w:val="num" w:pos="7756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)"/>
      <w:lvlJc w:val="left"/>
      <w:pPr>
        <w:ind w:left="502" w:hanging="360"/>
      </w:pPr>
      <w:rPr>
        <w:i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88" w:hanging="504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2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4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6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8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0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2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4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6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83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7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2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9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3">
    <w:name w:val="Heading 1"/>
    <w:basedOn w:val="851"/>
    <w:next w:val="851"/>
    <w:link w:val="67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4">
    <w:name w:val="Heading 1 Char"/>
    <w:link w:val="673"/>
    <w:uiPriority w:val="9"/>
    <w:rPr>
      <w:rFonts w:ascii="Arial" w:hAnsi="Arial" w:eastAsia="Arial" w:cs="Arial"/>
      <w:sz w:val="40"/>
      <w:szCs w:val="40"/>
    </w:rPr>
  </w:style>
  <w:style w:type="paragraph" w:styleId="675">
    <w:name w:val="Heading 2"/>
    <w:basedOn w:val="851"/>
    <w:next w:val="851"/>
    <w:link w:val="67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6">
    <w:name w:val="Heading 2 Char"/>
    <w:link w:val="675"/>
    <w:uiPriority w:val="9"/>
    <w:rPr>
      <w:rFonts w:ascii="Arial" w:hAnsi="Arial" w:eastAsia="Arial" w:cs="Arial"/>
      <w:sz w:val="34"/>
    </w:rPr>
  </w:style>
  <w:style w:type="paragraph" w:styleId="677">
    <w:name w:val="Heading 3"/>
    <w:basedOn w:val="851"/>
    <w:next w:val="851"/>
    <w:link w:val="67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8">
    <w:name w:val="Heading 3 Char"/>
    <w:link w:val="677"/>
    <w:uiPriority w:val="9"/>
    <w:rPr>
      <w:rFonts w:ascii="Arial" w:hAnsi="Arial" w:eastAsia="Arial" w:cs="Arial"/>
      <w:sz w:val="30"/>
      <w:szCs w:val="30"/>
    </w:rPr>
  </w:style>
  <w:style w:type="paragraph" w:styleId="679">
    <w:name w:val="Heading 4"/>
    <w:basedOn w:val="851"/>
    <w:next w:val="851"/>
    <w:link w:val="68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0">
    <w:name w:val="Heading 4 Char"/>
    <w:link w:val="679"/>
    <w:uiPriority w:val="9"/>
    <w:rPr>
      <w:rFonts w:ascii="Arial" w:hAnsi="Arial" w:eastAsia="Arial" w:cs="Arial"/>
      <w:b/>
      <w:bCs/>
      <w:sz w:val="26"/>
      <w:szCs w:val="26"/>
    </w:rPr>
  </w:style>
  <w:style w:type="paragraph" w:styleId="681">
    <w:name w:val="Heading 5"/>
    <w:basedOn w:val="851"/>
    <w:next w:val="851"/>
    <w:link w:val="68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2">
    <w:name w:val="Heading 5 Char"/>
    <w:link w:val="681"/>
    <w:uiPriority w:val="9"/>
    <w:rPr>
      <w:rFonts w:ascii="Arial" w:hAnsi="Arial" w:eastAsia="Arial" w:cs="Arial"/>
      <w:b/>
      <w:bCs/>
      <w:sz w:val="24"/>
      <w:szCs w:val="24"/>
    </w:rPr>
  </w:style>
  <w:style w:type="paragraph" w:styleId="683">
    <w:name w:val="Heading 6"/>
    <w:basedOn w:val="851"/>
    <w:next w:val="851"/>
    <w:link w:val="68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4">
    <w:name w:val="Heading 6 Char"/>
    <w:link w:val="683"/>
    <w:uiPriority w:val="9"/>
    <w:rPr>
      <w:rFonts w:ascii="Arial" w:hAnsi="Arial" w:eastAsia="Arial" w:cs="Arial"/>
      <w:b/>
      <w:bCs/>
      <w:sz w:val="22"/>
      <w:szCs w:val="22"/>
    </w:rPr>
  </w:style>
  <w:style w:type="paragraph" w:styleId="685">
    <w:name w:val="Heading 7"/>
    <w:basedOn w:val="851"/>
    <w:next w:val="851"/>
    <w:link w:val="68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6">
    <w:name w:val="Heading 7 Char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7">
    <w:name w:val="Heading 8"/>
    <w:basedOn w:val="851"/>
    <w:next w:val="851"/>
    <w:link w:val="68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8">
    <w:name w:val="Heading 8 Char"/>
    <w:link w:val="687"/>
    <w:uiPriority w:val="9"/>
    <w:rPr>
      <w:rFonts w:ascii="Arial" w:hAnsi="Arial" w:eastAsia="Arial" w:cs="Arial"/>
      <w:i/>
      <w:iCs/>
      <w:sz w:val="22"/>
      <w:szCs w:val="22"/>
    </w:rPr>
  </w:style>
  <w:style w:type="paragraph" w:styleId="689">
    <w:name w:val="Heading 9"/>
    <w:basedOn w:val="851"/>
    <w:next w:val="851"/>
    <w:link w:val="69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0">
    <w:name w:val="Heading 9 Char"/>
    <w:link w:val="689"/>
    <w:uiPriority w:val="9"/>
    <w:rPr>
      <w:rFonts w:ascii="Arial" w:hAnsi="Arial" w:eastAsia="Arial" w:cs="Arial"/>
      <w:i/>
      <w:iCs/>
      <w:sz w:val="21"/>
      <w:szCs w:val="21"/>
    </w:rPr>
  </w:style>
  <w:style w:type="paragraph" w:styleId="691">
    <w:name w:val="List Paragraph"/>
    <w:basedOn w:val="851"/>
    <w:uiPriority w:val="34"/>
    <w:qFormat/>
    <w:pPr>
      <w:contextualSpacing/>
      <w:ind w:left="720"/>
    </w:pPr>
  </w:style>
  <w:style w:type="paragraph" w:styleId="692">
    <w:name w:val="No Spacing"/>
    <w:uiPriority w:val="1"/>
    <w:qFormat/>
    <w:pPr>
      <w:spacing w:before="0" w:after="0" w:line="240" w:lineRule="auto"/>
    </w:pPr>
  </w:style>
  <w:style w:type="paragraph" w:styleId="693">
    <w:name w:val="Title"/>
    <w:basedOn w:val="851"/>
    <w:next w:val="851"/>
    <w:link w:val="69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4">
    <w:name w:val="Title Char"/>
    <w:link w:val="693"/>
    <w:uiPriority w:val="10"/>
    <w:rPr>
      <w:sz w:val="48"/>
      <w:szCs w:val="48"/>
    </w:rPr>
  </w:style>
  <w:style w:type="paragraph" w:styleId="695">
    <w:name w:val="Subtitle"/>
    <w:basedOn w:val="851"/>
    <w:next w:val="851"/>
    <w:link w:val="696"/>
    <w:uiPriority w:val="11"/>
    <w:qFormat/>
    <w:pPr>
      <w:spacing w:before="200" w:after="200"/>
    </w:pPr>
    <w:rPr>
      <w:sz w:val="24"/>
      <w:szCs w:val="24"/>
    </w:rPr>
  </w:style>
  <w:style w:type="character" w:styleId="696">
    <w:name w:val="Subtitle Char"/>
    <w:link w:val="695"/>
    <w:uiPriority w:val="11"/>
    <w:rPr>
      <w:sz w:val="24"/>
      <w:szCs w:val="24"/>
    </w:rPr>
  </w:style>
  <w:style w:type="paragraph" w:styleId="697">
    <w:name w:val="Quote"/>
    <w:basedOn w:val="851"/>
    <w:next w:val="851"/>
    <w:link w:val="698"/>
    <w:uiPriority w:val="29"/>
    <w:qFormat/>
    <w:pPr>
      <w:ind w:left="720" w:right="720"/>
    </w:pPr>
    <w:rPr>
      <w:i/>
    </w:rPr>
  </w:style>
  <w:style w:type="character" w:styleId="698">
    <w:name w:val="Quote Char"/>
    <w:link w:val="697"/>
    <w:uiPriority w:val="29"/>
    <w:rPr>
      <w:i/>
    </w:rPr>
  </w:style>
  <w:style w:type="paragraph" w:styleId="699">
    <w:name w:val="Intense Quote"/>
    <w:basedOn w:val="851"/>
    <w:next w:val="851"/>
    <w:link w:val="70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>
    <w:name w:val="Intense Quote Char"/>
    <w:link w:val="699"/>
    <w:uiPriority w:val="30"/>
    <w:rPr>
      <w:i/>
    </w:rPr>
  </w:style>
  <w:style w:type="paragraph" w:styleId="701">
    <w:name w:val="Header"/>
    <w:basedOn w:val="851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>
    <w:name w:val="Header Char"/>
    <w:link w:val="701"/>
    <w:uiPriority w:val="99"/>
  </w:style>
  <w:style w:type="paragraph" w:styleId="703">
    <w:name w:val="Footer"/>
    <w:basedOn w:val="851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>
    <w:name w:val="Footer Char"/>
    <w:link w:val="703"/>
    <w:uiPriority w:val="99"/>
  </w:style>
  <w:style w:type="paragraph" w:styleId="705">
    <w:name w:val="Caption"/>
    <w:basedOn w:val="851"/>
    <w:next w:val="851"/>
    <w:link w:val="7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6">
    <w:name w:val="Caption Char"/>
    <w:link w:val="705"/>
    <w:uiPriority w:val="35"/>
    <w:rPr>
      <w:b/>
      <w:bCs/>
      <w:color w:val="4f81bd" w:themeColor="accent1"/>
      <w:sz w:val="18"/>
      <w:szCs w:val="18"/>
    </w:rPr>
  </w:style>
  <w:style w:type="table" w:styleId="70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000ff" w:themeColor="hyperlink"/>
      <w:u w:val="single"/>
    </w:rPr>
  </w:style>
  <w:style w:type="paragraph" w:styleId="834">
    <w:name w:val="footnote text"/>
    <w:basedOn w:val="851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>
    <w:name w:val="Footnote Text Char"/>
    <w:link w:val="834"/>
    <w:uiPriority w:val="99"/>
    <w:rPr>
      <w:sz w:val="18"/>
    </w:rPr>
  </w:style>
  <w:style w:type="character" w:styleId="836">
    <w:name w:val="footnote reference"/>
    <w:uiPriority w:val="99"/>
    <w:unhideWhenUsed/>
    <w:rPr>
      <w:vertAlign w:val="superscript"/>
    </w:rPr>
  </w:style>
  <w:style w:type="paragraph" w:styleId="837">
    <w:name w:val="endnote text"/>
    <w:basedOn w:val="85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>
    <w:name w:val="Endnote Text Char"/>
    <w:link w:val="837"/>
    <w:uiPriority w:val="99"/>
    <w:rPr>
      <w:sz w:val="20"/>
    </w:rPr>
  </w:style>
  <w:style w:type="character" w:styleId="839">
    <w:name w:val="endnote reference"/>
    <w:uiPriority w:val="99"/>
    <w:semiHidden/>
    <w:unhideWhenUsed/>
    <w:rPr>
      <w:vertAlign w:val="superscript"/>
    </w:rPr>
  </w:style>
  <w:style w:type="paragraph" w:styleId="840">
    <w:name w:val="toc 1"/>
    <w:basedOn w:val="851"/>
    <w:next w:val="851"/>
    <w:uiPriority w:val="39"/>
    <w:unhideWhenUsed/>
    <w:pPr>
      <w:ind w:left="0" w:right="0" w:firstLine="0"/>
      <w:spacing w:after="57"/>
    </w:pPr>
  </w:style>
  <w:style w:type="paragraph" w:styleId="841">
    <w:name w:val="toc 2"/>
    <w:basedOn w:val="851"/>
    <w:next w:val="851"/>
    <w:uiPriority w:val="39"/>
    <w:unhideWhenUsed/>
    <w:pPr>
      <w:ind w:left="283" w:right="0" w:firstLine="0"/>
      <w:spacing w:after="57"/>
    </w:pPr>
  </w:style>
  <w:style w:type="paragraph" w:styleId="842">
    <w:name w:val="toc 3"/>
    <w:basedOn w:val="851"/>
    <w:next w:val="851"/>
    <w:uiPriority w:val="39"/>
    <w:unhideWhenUsed/>
    <w:pPr>
      <w:ind w:left="567" w:right="0" w:firstLine="0"/>
      <w:spacing w:after="57"/>
    </w:pPr>
  </w:style>
  <w:style w:type="paragraph" w:styleId="843">
    <w:name w:val="toc 4"/>
    <w:basedOn w:val="851"/>
    <w:next w:val="851"/>
    <w:uiPriority w:val="39"/>
    <w:unhideWhenUsed/>
    <w:pPr>
      <w:ind w:left="850" w:right="0" w:firstLine="0"/>
      <w:spacing w:after="57"/>
    </w:pPr>
  </w:style>
  <w:style w:type="paragraph" w:styleId="844">
    <w:name w:val="toc 5"/>
    <w:basedOn w:val="851"/>
    <w:next w:val="851"/>
    <w:uiPriority w:val="39"/>
    <w:unhideWhenUsed/>
    <w:pPr>
      <w:ind w:left="1134" w:right="0" w:firstLine="0"/>
      <w:spacing w:after="57"/>
    </w:pPr>
  </w:style>
  <w:style w:type="paragraph" w:styleId="845">
    <w:name w:val="toc 6"/>
    <w:basedOn w:val="851"/>
    <w:next w:val="851"/>
    <w:uiPriority w:val="39"/>
    <w:unhideWhenUsed/>
    <w:pPr>
      <w:ind w:left="1417" w:right="0" w:firstLine="0"/>
      <w:spacing w:after="57"/>
    </w:pPr>
  </w:style>
  <w:style w:type="paragraph" w:styleId="846">
    <w:name w:val="toc 7"/>
    <w:basedOn w:val="851"/>
    <w:next w:val="851"/>
    <w:uiPriority w:val="39"/>
    <w:unhideWhenUsed/>
    <w:pPr>
      <w:ind w:left="1701" w:right="0" w:firstLine="0"/>
      <w:spacing w:after="57"/>
    </w:pPr>
  </w:style>
  <w:style w:type="paragraph" w:styleId="847">
    <w:name w:val="toc 8"/>
    <w:basedOn w:val="851"/>
    <w:next w:val="851"/>
    <w:uiPriority w:val="39"/>
    <w:unhideWhenUsed/>
    <w:pPr>
      <w:ind w:left="1984" w:right="0" w:firstLine="0"/>
      <w:spacing w:after="57"/>
    </w:pPr>
  </w:style>
  <w:style w:type="paragraph" w:styleId="848">
    <w:name w:val="toc 9"/>
    <w:basedOn w:val="851"/>
    <w:next w:val="851"/>
    <w:uiPriority w:val="39"/>
    <w:unhideWhenUsed/>
    <w:pPr>
      <w:ind w:left="2268" w:right="0" w:firstLine="0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next w:val="851"/>
    <w:link w:val="851"/>
    <w:qFormat/>
    <w:rPr>
      <w:rFonts w:ascii="Times New Roman" w:hAnsi="Times New Roman" w:eastAsia="Times New Roman"/>
      <w:lang w:val="ru-RU" w:eastAsia="ru-RU" w:bidi="ar-SA"/>
    </w:rPr>
  </w:style>
  <w:style w:type="character" w:styleId="852">
    <w:name w:val="Основной шрифт абзаца"/>
    <w:next w:val="852"/>
    <w:link w:val="851"/>
    <w:uiPriority w:val="1"/>
    <w:unhideWhenUsed/>
  </w:style>
  <w:style w:type="table" w:styleId="853">
    <w:name w:val="Обычная таблица"/>
    <w:next w:val="853"/>
    <w:link w:val="851"/>
    <w:uiPriority w:val="99"/>
    <w:semiHidden/>
    <w:unhideWhenUsed/>
    <w:qFormat/>
    <w:tblPr/>
  </w:style>
  <w:style w:type="numbering" w:styleId="854">
    <w:name w:val="Нет списка"/>
    <w:next w:val="854"/>
    <w:link w:val="851"/>
    <w:uiPriority w:val="99"/>
    <w:semiHidden/>
    <w:unhideWhenUsed/>
  </w:style>
  <w:style w:type="character" w:styleId="855">
    <w:name w:val="Выделение"/>
    <w:next w:val="855"/>
    <w:link w:val="851"/>
    <w:qFormat/>
    <w:rPr>
      <w:i/>
      <w:iCs/>
    </w:rPr>
  </w:style>
  <w:style w:type="table" w:styleId="856">
    <w:name w:val="Сетка таблицы"/>
    <w:basedOn w:val="853"/>
    <w:next w:val="856"/>
    <w:link w:val="851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/>
  </w:style>
  <w:style w:type="paragraph" w:styleId="857">
    <w:name w:val="Абзац списка"/>
    <w:basedOn w:val="851"/>
    <w:next w:val="857"/>
    <w:link w:val="851"/>
    <w:uiPriority w:val="34"/>
    <w:qFormat/>
    <w:pPr>
      <w:contextualSpacing/>
      <w:ind w:left="720"/>
    </w:pPr>
  </w:style>
  <w:style w:type="paragraph" w:styleId="858">
    <w:name w:val="Без интервала"/>
    <w:basedOn w:val="851"/>
    <w:next w:val="858"/>
    <w:link w:val="859"/>
    <w:qFormat/>
    <w:rPr>
      <w:sz w:val="24"/>
      <w:szCs w:val="32"/>
      <w:lang w:val="en-US" w:eastAsia="en-US"/>
    </w:rPr>
  </w:style>
  <w:style w:type="character" w:styleId="859">
    <w:name w:val="Без интервала Знак"/>
    <w:next w:val="859"/>
    <w:link w:val="858"/>
    <w:rPr>
      <w:rFonts w:ascii="Times New Roman" w:hAnsi="Times New Roman" w:eastAsia="Times New Roman" w:cs="Times New Roman"/>
      <w:sz w:val="24"/>
      <w:szCs w:val="32"/>
    </w:rPr>
  </w:style>
  <w:style w:type="paragraph" w:styleId="860">
    <w:name w:val="Без интервала1"/>
    <w:next w:val="860"/>
    <w:link w:val="851"/>
    <w:rPr>
      <w:rFonts w:ascii="Times New Roman" w:hAnsi="Times New Roman" w:eastAsia="SimSun" w:cs="Mangal"/>
      <w:sz w:val="24"/>
      <w:szCs w:val="24"/>
      <w:lang w:val="ru-RU" w:eastAsia="hi-IN" w:bidi="hi-IN"/>
    </w:rPr>
  </w:style>
  <w:style w:type="paragraph" w:styleId="861">
    <w:name w:val="Абзац списка1"/>
    <w:basedOn w:val="851"/>
    <w:next w:val="861"/>
    <w:link w:val="851"/>
    <w:pPr>
      <w:ind w:left="720"/>
      <w:spacing w:after="200" w:line="276" w:lineRule="auto"/>
    </w:pPr>
    <w:rPr>
      <w:rFonts w:ascii="Calibri" w:hAnsi="Calibri" w:eastAsia="Calibri" w:cs="Calibri"/>
      <w:lang w:eastAsia="ar-SA"/>
    </w:rPr>
  </w:style>
  <w:style w:type="paragraph" w:styleId="862">
    <w:name w:val="Без интервала2"/>
    <w:next w:val="862"/>
    <w:link w:val="851"/>
    <w:rPr>
      <w:rFonts w:ascii="Times New Roman" w:hAnsi="Times New Roman" w:eastAsia="SimSun" w:cs="Mangal"/>
      <w:sz w:val="24"/>
      <w:szCs w:val="24"/>
      <w:lang w:val="ru-RU" w:eastAsia="hi-IN" w:bidi="hi-IN"/>
    </w:rPr>
  </w:style>
  <w:style w:type="paragraph" w:styleId="863">
    <w:name w:val="Текст выноски"/>
    <w:basedOn w:val="851"/>
    <w:next w:val="863"/>
    <w:link w:val="864"/>
    <w:uiPriority w:val="99"/>
    <w:semiHidden/>
    <w:unhideWhenUsed/>
    <w:rPr>
      <w:rFonts w:ascii="Segoe UI" w:hAnsi="Segoe UI"/>
      <w:sz w:val="18"/>
      <w:szCs w:val="18"/>
      <w:lang w:val="en-US"/>
    </w:rPr>
  </w:style>
  <w:style w:type="character" w:styleId="864">
    <w:name w:val="Текст выноски Знак"/>
    <w:next w:val="864"/>
    <w:link w:val="863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character" w:styleId="865">
    <w:name w:val="Гиперссылка"/>
    <w:next w:val="865"/>
    <w:link w:val="851"/>
    <w:uiPriority w:val="99"/>
    <w:semiHidden/>
    <w:unhideWhenUsed/>
    <w:rPr>
      <w:color w:val="0000ff"/>
      <w:u w:val="single"/>
    </w:rPr>
  </w:style>
  <w:style w:type="paragraph" w:styleId="866">
    <w:name w:val="Обычный (веб)"/>
    <w:basedOn w:val="851"/>
    <w:next w:val="866"/>
    <w:link w:val="851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867">
    <w:name w:val="color_blue"/>
    <w:next w:val="867"/>
    <w:link w:val="851"/>
  </w:style>
  <w:style w:type="character" w:styleId="868" w:default="1">
    <w:name w:val="Default Paragraph Font"/>
    <w:uiPriority w:val="1"/>
    <w:semiHidden/>
    <w:unhideWhenUsed/>
  </w:style>
  <w:style w:type="numbering" w:styleId="869" w:default="1">
    <w:name w:val="No List"/>
    <w:uiPriority w:val="99"/>
    <w:semiHidden/>
    <w:unhideWhenUsed/>
  </w:style>
  <w:style w:type="table" w:styleId="87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Сафронова Наталья Игоревна</cp:lastModifiedBy>
  <cp:revision>9</cp:revision>
  <dcterms:created xsi:type="dcterms:W3CDTF">2026-06-01T07:00:00Z</dcterms:created>
  <dcterms:modified xsi:type="dcterms:W3CDTF">2026-08-06T11:22:47Z</dcterms:modified>
  <cp:version>983040</cp:version>
</cp:coreProperties>
</file>