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Приложение № 1 </w:t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 контракту № _______________________ </w:t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</w:rPr>
        <w:t>от _______________ 2026</w:t>
      </w:r>
    </w:p>
    <w:p>
      <w:pPr>
        <w:pStyle w:val="Normal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ConsPlusNonformat"/>
        <w:widowControl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Техническое задание</w:t>
      </w:r>
    </w:p>
    <w:p>
      <w:pPr>
        <w:pStyle w:val="Normal"/>
        <w:jc w:val="center"/>
        <w:rPr>
          <w:b/>
        </w:rPr>
      </w:pPr>
      <w:r>
        <w:rPr>
          <w:b/>
        </w:rPr>
        <w:t>на поставку электроматериалов</w:t>
      </w:r>
    </w:p>
    <w:p>
      <w:pPr>
        <w:pStyle w:val="Normal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</w:r>
    </w:p>
    <w:p>
      <w:pPr>
        <w:pStyle w:val="Normal"/>
        <w:shd w:val="clear" w:color="auto" w:fill="FFFFFF"/>
        <w:ind w:right="29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1. Предмет закупки: </w:t>
      </w:r>
      <w:r>
        <w:rPr>
          <w:b/>
          <w:sz w:val="22"/>
          <w:szCs w:val="22"/>
        </w:rPr>
        <w:t>Поставка электроматериалов</w:t>
      </w:r>
    </w:p>
    <w:p>
      <w:pPr>
        <w:pStyle w:val="Normal"/>
        <w:shd w:val="clear" w:color="auto" w:fill="FFFFFF"/>
        <w:ind w:right="29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2.Заказчик: </w:t>
      </w:r>
      <w:r>
        <w:rPr>
          <w:sz w:val="22"/>
          <w:szCs w:val="22"/>
        </w:rPr>
        <w:t xml:space="preserve">Федеральное государственное бюджетное образовательное учреждение высшего образования «Уральский государственный архитектурно-художественный университет имени Н.С.Алфёрова» </w:t>
      </w:r>
    </w:p>
    <w:p>
      <w:pPr>
        <w:pStyle w:val="ListParagraph"/>
        <w:tabs>
          <w:tab w:val="clear" w:pos="708"/>
          <w:tab w:val="left" w:pos="284" w:leader="none"/>
        </w:tabs>
        <w:spacing w:lineRule="auto" w:line="288" w:before="0" w:after="0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 Место поставки и установки:</w:t>
      </w:r>
      <w:r>
        <w:rPr/>
        <w:t xml:space="preserve"> </w:t>
      </w:r>
      <w:r>
        <w:rPr>
          <w:rFonts w:ascii="Times New Roman" w:hAnsi="Times New Roman"/>
        </w:rPr>
        <w:t>г. Екатеринбург, ул. Карла Либкнехта, дом 23.</w:t>
      </w:r>
    </w:p>
    <w:p>
      <w:pPr>
        <w:pStyle w:val="Normal"/>
        <w:widowControl w:val="false"/>
        <w:shd w:val="clear" w:color="auto" w:fill="FFFFFF" w:themeFill="background1"/>
        <w:spacing w:lineRule="auto" w:line="28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4. Срок поставки Товара: </w:t>
      </w:r>
      <w:r>
        <w:rPr>
          <w:sz w:val="22"/>
          <w:szCs w:val="22"/>
        </w:rPr>
        <w:t>в течение 10 календарных  дней со дня заключения Договора</w:t>
      </w:r>
      <w:r>
        <w:rPr>
          <w:bCs/>
          <w:sz w:val="22"/>
          <w:szCs w:val="22"/>
        </w:rPr>
        <w:t>.</w:t>
      </w:r>
    </w:p>
    <w:p>
      <w:pPr>
        <w:pStyle w:val="Normal"/>
        <w:widowControl w:val="false"/>
        <w:shd w:val="clear" w:color="auto" w:fill="FFFFFF" w:themeFill="background1"/>
        <w:spacing w:lineRule="auto" w:line="28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5. Наименование товара, функциональные и качественные характеристики товара: </w:t>
      </w:r>
    </w:p>
    <w:p>
      <w:pPr>
        <w:pStyle w:val="Normal"/>
        <w:widowControl w:val="false"/>
        <w:shd w:val="clear" w:color="auto" w:fill="FFFFFF" w:themeFill="background1"/>
        <w:spacing w:lineRule="auto" w:line="28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</w:r>
    </w:p>
    <w:tbl>
      <w:tblPr>
        <w:tblW w:w="10647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82"/>
        <w:gridCol w:w="709"/>
        <w:gridCol w:w="2408"/>
        <w:gridCol w:w="709"/>
        <w:gridCol w:w="851"/>
        <w:gridCol w:w="5388"/>
      </w:tblGrid>
      <w:tr>
        <w:trPr>
          <w:trHeight w:val="315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rPr>
                <w:sz w:val="10"/>
              </w:rPr>
            </w:pPr>
            <w:r>
              <w:rPr>
                <w:sz w:val="10"/>
                <w:szCs w:val="22"/>
              </w:rPr>
              <w:t>Приоритет (запрос)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</w:t>
            </w:r>
          </w:p>
          <w:p>
            <w:pPr>
              <w:pStyle w:val="Normal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Товара</w:t>
            </w:r>
          </w:p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/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Кол-во</w:t>
            </w:r>
          </w:p>
        </w:tc>
        <w:tc>
          <w:tcPr>
            <w:tcW w:w="5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Функциональные,</w:t>
            </w:r>
          </w:p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качественные характеристики товара</w:t>
            </w:r>
          </w:p>
        </w:tc>
      </w:tr>
      <w:tr>
        <w:trPr>
          <w:trHeight w:val="1771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b/>
                <w:color w:val="FF0000"/>
                <w:sz w:val="10"/>
              </w:rPr>
            </w:pPr>
            <w:r>
              <w:rPr>
                <w:b/>
                <w:color w:val="FF0000"/>
                <w:sz w:val="10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Лампа светодиодная Elementary Gauss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120</w:t>
            </w:r>
          </w:p>
        </w:tc>
        <w:tc>
          <w:tcPr>
            <w:tcW w:w="5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Мощность 20 Вт,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напряжение 150-265 В, цоколь Е27,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колба А60,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световой поток 1520 Лм;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цветовая температура 3000К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класс А+, цветопередача Ra 80-89,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срок службы 25000 час,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защиты  IP 20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Elementary Gauss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b/>
                <w:color w:val="FF0000"/>
                <w:sz w:val="10"/>
              </w:rPr>
            </w:pPr>
            <w:r>
              <w:rPr>
                <w:b/>
                <w:color w:val="FF0000"/>
                <w:sz w:val="10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sz w:val="22"/>
                <w:szCs w:val="22"/>
              </w:rPr>
              <w:t>Выключатель</w:t>
            </w:r>
            <w:r>
              <w:rPr>
                <w:sz w:val="22"/>
                <w:szCs w:val="22"/>
                <w:lang w:val="en-US"/>
              </w:rPr>
              <w:t xml:space="preserve"> 2 </w:t>
            </w:r>
            <w:r>
              <w:rPr>
                <w:sz w:val="22"/>
                <w:szCs w:val="22"/>
              </w:rPr>
              <w:t>клавишный</w:t>
            </w:r>
            <w:r>
              <w:rPr>
                <w:sz w:val="22"/>
                <w:szCs w:val="22"/>
                <w:lang w:val="en-US"/>
              </w:rPr>
              <w:t xml:space="preserve"> AtlasDesignATN000151 Systeme Electric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5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Номинальный ток 10А,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номинальное напряжение 250В,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защиты  IP 20,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скрытой установки,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крепление на лапках и винтами,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цвет белый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b/>
                <w:color w:val="FF0000"/>
                <w:sz w:val="10"/>
              </w:rPr>
            </w:pPr>
            <w:r>
              <w:rPr>
                <w:b/>
                <w:color w:val="FF0000"/>
                <w:sz w:val="10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sz w:val="22"/>
                <w:szCs w:val="22"/>
              </w:rPr>
              <w:t>Розетка</w:t>
            </w:r>
            <w:r>
              <w:rPr>
                <w:sz w:val="22"/>
                <w:szCs w:val="22"/>
                <w:lang w:val="en-US"/>
              </w:rPr>
              <w:t xml:space="preserve"> 2P+E 16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en-US"/>
              </w:rPr>
              <w:t>AtlasDesign ATN000143 Systeme Electric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5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Розетка одноместная для скрытой проводки с защитным контактом стандарта SCHUKO,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без шторок, материал термопласт,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номинальный ток 16А,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номинальное напряжение 250В,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способ присоединения винтовая клемма,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монтаж на лапках и винтами,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защиты  IP 20,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цвет белый,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гарантийный срок </w:t>
            </w:r>
            <w:r>
              <w:rPr>
                <w:b/>
                <w:sz w:val="22"/>
                <w:szCs w:val="22"/>
              </w:rPr>
              <w:t>не менее</w:t>
            </w:r>
            <w:r>
              <w:rPr>
                <w:sz w:val="22"/>
                <w:szCs w:val="22"/>
              </w:rPr>
              <w:t xml:space="preserve"> 5 лет.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b/>
                <w:color w:val="FF0000"/>
                <w:sz w:val="10"/>
              </w:rPr>
            </w:pPr>
            <w:r>
              <w:rPr>
                <w:b/>
                <w:color w:val="FF0000"/>
                <w:sz w:val="10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22</w:t>
            </w:r>
          </w:p>
        </w:tc>
        <w:tc>
          <w:tcPr>
            <w:tcW w:w="2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sz w:val="22"/>
                <w:szCs w:val="22"/>
              </w:rPr>
              <w:t>Розетка</w:t>
            </w:r>
            <w:r>
              <w:rPr>
                <w:sz w:val="22"/>
                <w:szCs w:val="22"/>
                <w:lang w:val="en-US"/>
              </w:rPr>
              <w:t xml:space="preserve"> 2</w:t>
            </w:r>
            <w:r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  <w:lang w:val="en-US"/>
              </w:rPr>
              <w:t>2P+E 16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сборе</w:t>
            </w:r>
            <w:r>
              <w:rPr>
                <w:sz w:val="22"/>
                <w:szCs w:val="22"/>
                <w:lang w:val="en-US"/>
              </w:rPr>
              <w:t xml:space="preserve">  AtlasDesignATN000124 Systeme Electric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5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Розетка двойная с заземлением без шторок ток номинальный 16А, напряжение 250В,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лицевые детали из ABS-пластика, устойчивого к царапинам и УФ-излучению,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защиты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IP20,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цвет белый</w:t>
            </w:r>
          </w:p>
        </w:tc>
      </w:tr>
      <w:tr>
        <w:trPr>
          <w:trHeight w:val="1363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b/>
                <w:color w:val="FF0000"/>
                <w:sz w:val="10"/>
              </w:rPr>
            </w:pPr>
            <w:r>
              <w:rPr>
                <w:b/>
                <w:color w:val="FF0000"/>
                <w:sz w:val="10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sz w:val="22"/>
                <w:szCs w:val="22"/>
              </w:rPr>
              <w:t>Розетка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компьютерная</w:t>
            </w:r>
            <w:r>
              <w:rPr>
                <w:sz w:val="22"/>
                <w:szCs w:val="22"/>
                <w:lang w:val="en-US"/>
              </w:rPr>
              <w:t xml:space="preserve"> 2</w:t>
            </w:r>
            <w:r>
              <w:rPr>
                <w:sz w:val="22"/>
                <w:szCs w:val="22"/>
              </w:rPr>
              <w:t>х</w:t>
            </w:r>
            <w:r>
              <w:rPr>
                <w:sz w:val="22"/>
                <w:szCs w:val="22"/>
                <w:lang w:val="en-US"/>
              </w:rPr>
              <w:t>RJ45   AtlasDesignATN000185 Systeme Electric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Розетка двойная компьютерная разъем RG45,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категория 5е,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защиты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IP 20,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крепление в распор лапками и винтами,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цвет белый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b/>
                <w:color w:val="FF0000"/>
                <w:sz w:val="10"/>
              </w:rPr>
            </w:pPr>
            <w:r>
              <w:rPr>
                <w:b/>
                <w:color w:val="FF0000"/>
                <w:sz w:val="10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Коробка накладного монтажа 1 пост белый AtlasDesign ATN000100 Systeme Electric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35</w:t>
            </w:r>
          </w:p>
        </w:tc>
        <w:tc>
          <w:tcPr>
            <w:tcW w:w="5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Коробка накладного монтажа 1 пост,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соединение коробок между собой,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защиты</w:t>
            </w:r>
            <w:r>
              <w:rPr>
                <w:b/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IP  20,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цвет белый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b/>
                <w:color w:val="FF0000"/>
                <w:sz w:val="10"/>
              </w:rPr>
            </w:pPr>
            <w:r>
              <w:rPr>
                <w:b/>
                <w:color w:val="FF0000"/>
                <w:sz w:val="10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25</w:t>
            </w:r>
          </w:p>
        </w:tc>
        <w:tc>
          <w:tcPr>
            <w:tcW w:w="2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оробка монтажная установочная для полых стен IMT35150 Systeme Electric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5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Коробка монтажная установочная 68х45 мм для полых стен, металлические лапки,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трёхзаходные винты с обжимкой на концах,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защиты  IP20,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огнестойкость – 850 °С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материал: полипропилен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b/>
                <w:color w:val="FF0000"/>
                <w:sz w:val="10"/>
              </w:rPr>
            </w:pPr>
            <w:r>
              <w:rPr>
                <w:b/>
                <w:color w:val="FF0000"/>
                <w:sz w:val="10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 xml:space="preserve">Рамка двухпостовая </w:t>
            </w:r>
            <w:r>
              <w:rPr>
                <w:sz w:val="22"/>
                <w:szCs w:val="22"/>
                <w:lang w:val="en-US"/>
              </w:rPr>
              <w:t>AtlasDesign ATN</w:t>
            </w:r>
            <w:r>
              <w:rPr>
                <w:sz w:val="22"/>
                <w:szCs w:val="22"/>
              </w:rPr>
              <w:t xml:space="preserve">000102 </w:t>
            </w:r>
            <w:r>
              <w:rPr>
                <w:sz w:val="22"/>
                <w:szCs w:val="22"/>
                <w:lang w:val="en-US"/>
              </w:rPr>
              <w:t>Systeme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Electric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5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 термопласт,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крепление введением фиксатора в паз,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расположение при монтаже горизонтальное/вертикальное,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степень защиты  </w:t>
            </w:r>
            <w:r>
              <w:rPr>
                <w:sz w:val="22"/>
                <w:szCs w:val="22"/>
                <w:lang w:val="en-US"/>
              </w:rPr>
              <w:t>IP</w:t>
            </w:r>
            <w:r>
              <w:rPr>
                <w:sz w:val="22"/>
                <w:szCs w:val="22"/>
              </w:rPr>
              <w:t xml:space="preserve"> 20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цвет белый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b/>
                <w:color w:val="FF0000"/>
                <w:sz w:val="10"/>
              </w:rPr>
            </w:pPr>
            <w:r>
              <w:rPr>
                <w:b/>
                <w:color w:val="FF0000"/>
                <w:sz w:val="10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>
                <w:lang w:val="en-US"/>
              </w:rPr>
            </w:pPr>
            <w:r>
              <w:rPr>
                <w:sz w:val="22"/>
                <w:szCs w:val="22"/>
              </w:rPr>
              <w:t>Рамка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</w:rPr>
              <w:t>четырехпостовая</w:t>
            </w:r>
            <w:r>
              <w:rPr>
                <w:sz w:val="22"/>
                <w:szCs w:val="22"/>
                <w:lang w:val="en-US"/>
              </w:rPr>
              <w:t xml:space="preserve"> AtlasDesign ATN000104 Systeme Electric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5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материал термопласт,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крепление введением фиксатора в паз, расположение при монтаже горизонтальное/вертикальное,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степень защиты  </w:t>
            </w:r>
            <w:r>
              <w:rPr>
                <w:sz w:val="22"/>
                <w:szCs w:val="22"/>
                <w:lang w:val="en-US"/>
              </w:rPr>
              <w:t>IP</w:t>
            </w:r>
            <w:r>
              <w:rPr>
                <w:sz w:val="22"/>
                <w:szCs w:val="22"/>
              </w:rPr>
              <w:t xml:space="preserve"> 20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цвет белый</w:t>
            </w:r>
          </w:p>
        </w:tc>
      </w:tr>
      <w:tr>
        <w:trPr>
          <w:trHeight w:val="629" w:hRule="atLeast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>
                <w:b/>
                <w:color w:val="FF0000"/>
                <w:sz w:val="10"/>
              </w:rPr>
            </w:pPr>
            <w:r>
              <w:rPr>
                <w:b/>
                <w:color w:val="FF0000"/>
                <w:sz w:val="10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contextualSpacing/>
              <w:jc w:val="center"/>
              <w:rPr/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4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rPr/>
            </w:pPr>
            <w:r>
              <w:rPr>
                <w:sz w:val="22"/>
                <w:szCs w:val="22"/>
              </w:rPr>
              <w:t>Коробка распределительная для открытой проводки HEGEL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шт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sz w:val="22"/>
                <w:szCs w:val="22"/>
              </w:rPr>
              <w:t>130</w:t>
            </w:r>
          </w:p>
        </w:tc>
        <w:tc>
          <w:tcPr>
            <w:tcW w:w="53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Семь гермовводов,   размер 100*100*50мм,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номинальное напряжение 400В,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фиксация крышки защелкиванием,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температура эксплуатации - 25..+40 градусов,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защиты  IP 55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цвет серый</w:t>
            </w:r>
          </w:p>
        </w:tc>
      </w:tr>
    </w:tbl>
    <w:p>
      <w:pPr>
        <w:pStyle w:val="Normal"/>
        <w:tabs>
          <w:tab w:val="clear" w:pos="708"/>
          <w:tab w:val="left" w:pos="284" w:leader="none"/>
          <w:tab w:val="left" w:pos="426" w:leader="none"/>
          <w:tab w:val="left" w:pos="567" w:leader="none"/>
        </w:tabs>
        <w:jc w:val="both"/>
        <w:rPr>
          <w:b/>
          <w:sz w:val="22"/>
          <w:szCs w:val="22"/>
          <w:highlight w:val="cyan"/>
          <w:lang w:eastAsia="en-US"/>
        </w:rPr>
      </w:pPr>
      <w:r>
        <w:rPr>
          <w:b/>
          <w:sz w:val="22"/>
          <w:szCs w:val="22"/>
          <w:highlight w:val="cyan"/>
          <w:lang w:eastAsia="en-US"/>
        </w:rPr>
      </w:r>
    </w:p>
    <w:p>
      <w:pPr>
        <w:pStyle w:val="Normal"/>
        <w:tabs>
          <w:tab w:val="clear" w:pos="708"/>
          <w:tab w:val="left" w:pos="284" w:leader="none"/>
          <w:tab w:val="left" w:pos="426" w:leader="none"/>
          <w:tab w:val="left" w:pos="567" w:leader="none"/>
        </w:tabs>
        <w:jc w:val="both"/>
        <w:rPr>
          <w:iCs/>
          <w:sz w:val="20"/>
          <w:szCs w:val="20"/>
        </w:rPr>
      </w:pPr>
      <w:r>
        <w:rPr>
          <w:rFonts w:eastAsia="Calibri"/>
          <w:b/>
          <w:sz w:val="20"/>
          <w:szCs w:val="20"/>
          <w:lang w:eastAsia="en-US"/>
        </w:rPr>
        <w:t xml:space="preserve">6. </w:t>
      </w:r>
      <w:r>
        <w:rPr>
          <w:b/>
          <w:iCs/>
          <w:sz w:val="20"/>
          <w:szCs w:val="20"/>
        </w:rPr>
        <w:t xml:space="preserve">Условия поставки Товара: </w:t>
      </w:r>
      <w:r>
        <w:rPr>
          <w:iCs/>
          <w:sz w:val="20"/>
          <w:szCs w:val="20"/>
        </w:rPr>
        <w:t xml:space="preserve">доставка, погрузка, разгрузка Товара Заказчику осуществляется транспортом, силами и за счет средств Поставщика. </w:t>
      </w:r>
    </w:p>
    <w:p>
      <w:pPr>
        <w:pStyle w:val="Normal"/>
        <w:tabs>
          <w:tab w:val="clear" w:pos="708"/>
          <w:tab w:val="left" w:pos="284" w:leader="none"/>
          <w:tab w:val="left" w:pos="426" w:leader="none"/>
          <w:tab w:val="left" w:pos="567" w:leader="none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Товар должен отгружаться в стандартной упаковке с учетом необходимых маркировок в соответствии с требованиями стандартов и технических условий, обеспечивающих сохранность Товара при перевозке и хранении. </w:t>
      </w:r>
    </w:p>
    <w:p>
      <w:pPr>
        <w:pStyle w:val="Normal"/>
        <w:tabs>
          <w:tab w:val="clear" w:pos="708"/>
          <w:tab w:val="left" w:pos="284" w:leader="none"/>
          <w:tab w:val="left" w:pos="426" w:leader="none"/>
          <w:tab w:val="left" w:pos="567" w:leader="none"/>
        </w:tabs>
        <w:jc w:val="both"/>
        <w:rPr>
          <w:sz w:val="20"/>
          <w:szCs w:val="20"/>
        </w:rPr>
      </w:pPr>
      <w:r>
        <w:rPr>
          <w:iCs/>
          <w:sz w:val="20"/>
          <w:szCs w:val="20"/>
        </w:rPr>
        <w:t>В случае несоответствия поставленного Товара требованиям договора, а также в случае обнаружения в упаковках Товара со скрытым браком, Стороны обязаны составить акт с указанием недостатков</w:t>
      </w:r>
      <w:r>
        <w:rPr>
          <w:sz w:val="20"/>
          <w:szCs w:val="20"/>
        </w:rPr>
        <w:t xml:space="preserve"> Товара и/или иных претензий к поставляемому Товару. </w:t>
      </w:r>
    </w:p>
    <w:p>
      <w:pPr>
        <w:pStyle w:val="Normal"/>
        <w:tabs>
          <w:tab w:val="clear" w:pos="708"/>
          <w:tab w:val="left" w:pos="284" w:leader="none"/>
          <w:tab w:val="left" w:pos="426" w:leader="none"/>
          <w:tab w:val="left" w:pos="567" w:leader="none"/>
        </w:tabs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Подписание акта Сторонами является основанием для замены Товара ненадлежащего качества на качественный Товар в ассортименте, согласованном Сторонами. 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7. Общие требования к товарам: 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>- Товар должен быть новым, не бывшим в употреблении, в ремонте, в том числе не был восстановлен, у которого не была осуществлена замена составных частей, не были восстановлены потребительские свойства, неиспользованным, пригодным для его использования по назначению и с распространением полной гарантии производителя. Качество товара должно соответствовать действующим в Российской Федерации стандартам, техническим условиям и иным установленным требованиям к подобному виду товаров и подтверждаться соответствующими документами. Поставляемый товар должен соответствовать требованиям технического задания.</w:t>
      </w:r>
    </w:p>
    <w:p>
      <w:pPr>
        <w:pStyle w:val="Normal"/>
        <w:tabs>
          <w:tab w:val="clear" w:pos="708"/>
          <w:tab w:val="left" w:pos="252" w:leader="none"/>
          <w:tab w:val="left" w:pos="360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>- Товар не должен иметь скрытых и внешних повреждений и дефектов, в том числе не влияющих на возможность использования товара по назначению.</w:t>
      </w:r>
    </w:p>
    <w:p>
      <w:pPr>
        <w:pStyle w:val="Normal"/>
        <w:tabs>
          <w:tab w:val="clear" w:pos="708"/>
          <w:tab w:val="left" w:pos="252" w:leader="none"/>
          <w:tab w:val="left" w:pos="360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– </w:t>
      </w:r>
      <w:r>
        <w:rPr>
          <w:sz w:val="20"/>
          <w:szCs w:val="20"/>
        </w:rPr>
        <w:t>К поставляемым материалам должны быть приложены заверенные копии сертификатов соответствия.</w:t>
      </w:r>
    </w:p>
    <w:p>
      <w:pPr>
        <w:pStyle w:val="Heading5"/>
        <w:tabs>
          <w:tab w:val="clear" w:pos="708"/>
          <w:tab w:val="left" w:pos="360" w:leader="none"/>
        </w:tabs>
        <w:spacing w:before="0" w:after="0"/>
        <w:jc w:val="both"/>
        <w:rPr>
          <w:bCs w:val="false"/>
          <w:i w:val="false"/>
          <w:i w:val="false"/>
          <w:sz w:val="20"/>
          <w:szCs w:val="20"/>
        </w:rPr>
      </w:pPr>
      <w:r>
        <w:rPr>
          <w:bCs w:val="false"/>
          <w:i w:val="false"/>
          <w:sz w:val="20"/>
          <w:szCs w:val="20"/>
        </w:rPr>
      </w:r>
    </w:p>
    <w:p>
      <w:pPr>
        <w:pStyle w:val="Heading5"/>
        <w:tabs>
          <w:tab w:val="clear" w:pos="708"/>
          <w:tab w:val="left" w:pos="360" w:leader="none"/>
        </w:tabs>
        <w:spacing w:before="0" w:after="0"/>
        <w:jc w:val="both"/>
        <w:rPr>
          <w:i w:val="false"/>
          <w:i w:val="false"/>
          <w:sz w:val="20"/>
          <w:szCs w:val="20"/>
        </w:rPr>
      </w:pPr>
      <w:r>
        <w:rPr>
          <w:bCs w:val="false"/>
          <w:i w:val="false"/>
          <w:sz w:val="20"/>
          <w:szCs w:val="20"/>
        </w:rPr>
        <w:t>8.Требования к качеству товаров, качественным (потребительским) свойствам товаров</w:t>
      </w:r>
      <w:r>
        <w:rPr>
          <w:i w:val="false"/>
          <w:sz w:val="20"/>
          <w:szCs w:val="20"/>
        </w:rPr>
        <w:t xml:space="preserve">: </w:t>
      </w:r>
    </w:p>
    <w:p>
      <w:pPr>
        <w:pStyle w:val="Normal"/>
        <w:rPr/>
      </w:pPr>
      <w:r>
        <w:rPr>
          <w:i/>
          <w:sz w:val="20"/>
          <w:szCs w:val="20"/>
        </w:rPr>
        <w:t xml:space="preserve">Качество товара должно соответствовать действующим в Российской Федерации стандартам, техническим условиям и иным установленным требованиям к подобному виду товаров и подтверждаться соответствующими документами, </w:t>
      </w:r>
      <w:r>
        <w:rPr>
          <w:sz w:val="20"/>
          <w:szCs w:val="20"/>
        </w:rPr>
        <w:t>ТР ТС 004/2011,ТР ТС 020/2011, ГОСТ IEC 60598-1-2013;  ГОСТ 31947-2012; ГОСТ 7399-97; ГОСТ Р МЭК 62560-2011; ГОСТ Р МЭК 610084-1-2022</w:t>
      </w:r>
    </w:p>
    <w:p>
      <w:pPr>
        <w:pStyle w:val="Heading5"/>
        <w:tabs>
          <w:tab w:val="clear" w:pos="708"/>
          <w:tab w:val="left" w:pos="360" w:leader="none"/>
        </w:tabs>
        <w:spacing w:before="0" w:after="0"/>
        <w:jc w:val="both"/>
        <w:rPr>
          <w:b w:val="false"/>
          <w:i w:val="false"/>
          <w:i w:val="false"/>
          <w:sz w:val="20"/>
          <w:szCs w:val="20"/>
        </w:rPr>
      </w:pPr>
      <w:r>
        <w:rPr>
          <w:b w:val="false"/>
          <w:i w:val="false"/>
          <w:sz w:val="20"/>
          <w:szCs w:val="20"/>
        </w:rPr>
      </w:r>
    </w:p>
    <w:p>
      <w:pPr>
        <w:pStyle w:val="Heading5"/>
        <w:tabs>
          <w:tab w:val="clear" w:pos="708"/>
          <w:tab w:val="left" w:pos="360" w:leader="none"/>
        </w:tabs>
        <w:spacing w:before="0" w:after="0"/>
        <w:jc w:val="both"/>
        <w:rPr>
          <w:b w:val="false"/>
          <w:i w:val="false"/>
          <w:i w:val="false"/>
          <w:sz w:val="20"/>
          <w:szCs w:val="20"/>
        </w:rPr>
      </w:pPr>
      <w:r>
        <w:rPr>
          <w:bCs w:val="false"/>
          <w:i w:val="false"/>
          <w:sz w:val="20"/>
          <w:szCs w:val="20"/>
        </w:rPr>
        <w:t>9.Требования по передаче заказчику технических и иных документов при поставке товаров</w:t>
      </w:r>
      <w:r>
        <w:rPr>
          <w:b w:val="false"/>
          <w:i w:val="false"/>
          <w:iCs w:val="false"/>
          <w:sz w:val="20"/>
          <w:szCs w:val="20"/>
        </w:rPr>
        <w:t>:</w:t>
      </w:r>
      <w:r>
        <w:rPr>
          <w:b w:val="false"/>
          <w:i w:val="false"/>
          <w:sz w:val="20"/>
          <w:szCs w:val="20"/>
        </w:rPr>
        <w:t xml:space="preserve"> </w:t>
      </w:r>
    </w:p>
    <w:p>
      <w:pPr>
        <w:pStyle w:val="Heading5"/>
        <w:tabs>
          <w:tab w:val="clear" w:pos="708"/>
          <w:tab w:val="left" w:pos="360" w:leader="none"/>
        </w:tabs>
        <w:spacing w:before="0" w:after="0"/>
        <w:jc w:val="both"/>
        <w:rPr>
          <w:b w:val="false"/>
          <w:i w:val="false"/>
          <w:i w:val="false"/>
          <w:sz w:val="20"/>
          <w:szCs w:val="20"/>
        </w:rPr>
      </w:pPr>
      <w:r>
        <w:rPr>
          <w:b w:val="false"/>
          <w:i w:val="false"/>
          <w:iCs w:val="false"/>
          <w:sz w:val="20"/>
          <w:szCs w:val="20"/>
        </w:rPr>
        <w:t xml:space="preserve">При поставке товара Поставщик обязан предъявить товарную накладную (универсальный передаточный документ), счет, счет-фактуру (при наличии НДС в цене договора), документы подтверждающие качество поставляемой продукции (сертификат соответствия/ декларацию соответствия),  гарантийный талон и паспорт на русском языке. </w:t>
      </w:r>
    </w:p>
    <w:p>
      <w:pPr>
        <w:pStyle w:val="Normal"/>
        <w:shd w:val="clear" w:color="auto" w:fill="FFFFFF"/>
        <w:tabs>
          <w:tab w:val="clear" w:pos="708"/>
          <w:tab w:val="left" w:pos="426" w:leader="none"/>
        </w:tabs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hd w:val="clear" w:color="auto" w:fill="FFFFFF"/>
        <w:tabs>
          <w:tab w:val="clear" w:pos="708"/>
          <w:tab w:val="left" w:pos="426" w:leader="none"/>
        </w:tabs>
        <w:jc w:val="both"/>
        <w:textAlignment w:val="baseline"/>
        <w:rPr>
          <w:sz w:val="20"/>
          <w:szCs w:val="20"/>
        </w:rPr>
      </w:pPr>
      <w:r>
        <w:rPr>
          <w:b/>
          <w:sz w:val="20"/>
          <w:szCs w:val="20"/>
        </w:rPr>
        <w:t>10. Требования к сроку службы и гарантийному сроку на товар</w:t>
      </w:r>
      <w:r>
        <w:rPr>
          <w:sz w:val="20"/>
          <w:szCs w:val="20"/>
        </w:rPr>
        <w:t xml:space="preserve">: </w:t>
      </w:r>
    </w:p>
    <w:p>
      <w:pPr>
        <w:pStyle w:val="Normal"/>
        <w:jc w:val="both"/>
        <w:rPr>
          <w:sz w:val="20"/>
          <w:szCs w:val="20"/>
        </w:rPr>
      </w:pPr>
      <w:r>
        <w:rPr>
          <w:bCs/>
          <w:sz w:val="20"/>
          <w:szCs w:val="20"/>
        </w:rPr>
        <w:t>Г</w:t>
      </w:r>
      <w:r>
        <w:rPr>
          <w:sz w:val="20"/>
          <w:szCs w:val="20"/>
        </w:rPr>
        <w:t xml:space="preserve">арантийный срок на поставляемый Товар составляет 24 (двадцать четыре) месяца.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Предоставление гарантии осуществляется вместе с Товаром со дня подписания товарных накладных или универсального передаточного документа.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11. Обязанности сторон:</w:t>
      </w:r>
    </w:p>
    <w:p>
      <w:pPr>
        <w:pStyle w:val="Normal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11.1. Заказчик обязан: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11.1.1. Обеспечить своевременную приемку и оплату поставленного Товара надлежащего качества в порядке и сроки, предусмотренные Договором.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11.1.2. В случае просрочки исполнения Поставщиком обязательств, предусмотренных </w:t>
      </w:r>
      <w:r>
        <w:rPr>
          <w:bCs/>
          <w:sz w:val="20"/>
          <w:szCs w:val="20"/>
        </w:rPr>
        <w:t>договором</w:t>
      </w:r>
      <w:r>
        <w:rPr>
          <w:sz w:val="20"/>
          <w:szCs w:val="20"/>
        </w:rPr>
        <w:t>, а также в иных случаях ненадлежащего исполнения поставщиком обязательств, предусмотренных договором, направлять Поставщику требование об уплате сумм неустойки, предусмотренных договором, за неисполнение (ненадлежащее исполнение) Поставщиком своих обязательств.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11.1.3. Осуществлять контроль за исполнением Поставщиком условий </w:t>
      </w:r>
      <w:r>
        <w:rPr>
          <w:bCs/>
          <w:sz w:val="20"/>
          <w:szCs w:val="20"/>
        </w:rPr>
        <w:t>договора</w:t>
      </w:r>
      <w:r>
        <w:rPr>
          <w:sz w:val="20"/>
          <w:szCs w:val="20"/>
        </w:rPr>
        <w:t xml:space="preserve"> в соответствии с законодательством Российской Федерации. </w:t>
      </w:r>
    </w:p>
    <w:p>
      <w:pPr>
        <w:pStyle w:val="Normal"/>
        <w:jc w:val="both"/>
        <w:rPr>
          <w:bCs/>
          <w:sz w:val="20"/>
          <w:szCs w:val="20"/>
        </w:rPr>
      </w:pPr>
      <w:r>
        <w:rPr>
          <w:sz w:val="20"/>
          <w:szCs w:val="20"/>
        </w:rPr>
        <w:t xml:space="preserve">11.1.4. </w:t>
      </w:r>
      <w:r>
        <w:rPr>
          <w:bCs/>
          <w:sz w:val="20"/>
          <w:szCs w:val="20"/>
        </w:rPr>
        <w:t xml:space="preserve">Назначить в день заключения договора ответственное лицо для оперативного решения текущих вопросов по договору и передать Поставщику информацию об ответственном лице письменно, лично либо заказным письмом с уведомлением о вручении, либо по адресу электронной почты Поставщика. 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bCs/>
          <w:i w:val="false"/>
          <w:iCs w:val="false"/>
          <w:sz w:val="20"/>
          <w:szCs w:val="20"/>
        </w:rPr>
        <w:t xml:space="preserve">Должность, ФИО, телефон, адрес электронной почты ответственного лица:  </w:t>
      </w:r>
    </w:p>
    <w:p>
      <w:pPr>
        <w:pStyle w:val="Normal"/>
        <w:jc w:val="both"/>
        <w:rPr/>
      </w:pPr>
      <w:r>
        <w:rPr>
          <w:rStyle w:val="Emphasis"/>
          <w:rFonts w:eastAsia="Calibri"/>
          <w:i w:val="false"/>
          <w:iCs w:val="false"/>
          <w:sz w:val="20"/>
          <w:szCs w:val="20"/>
        </w:rPr>
        <w:t xml:space="preserve">Главный энергетик УрГАХУ Шорохов Евгений Юрьевич; +7(912)-233-48-11 ; </w:t>
      </w:r>
      <w:hyperlink r:id="rId2">
        <w:r>
          <w:rPr>
            <w:rStyle w:val="Hyperlink"/>
            <w:i w:val="false"/>
            <w:iCs w:val="false"/>
            <w:sz w:val="20"/>
            <w:szCs w:val="20"/>
          </w:rPr>
          <w:t>energy@usaaa.ru</w:t>
        </w:r>
      </w:hyperlink>
      <w:r>
        <w:rPr>
          <w:rStyle w:val="Emphasis"/>
          <w:rFonts w:eastAsia="Calibri"/>
          <w:i w:val="false"/>
          <w:iCs w:val="false"/>
          <w:sz w:val="20"/>
          <w:szCs w:val="20"/>
        </w:rPr>
        <w:t xml:space="preserve"> </w:t>
      </w:r>
    </w:p>
    <w:p>
      <w:pPr>
        <w:pStyle w:val="Normal"/>
        <w:jc w:val="both"/>
        <w:rPr>
          <w:i w:val="false"/>
          <w:i w:val="false"/>
          <w:iCs w:val="false"/>
        </w:rPr>
      </w:pPr>
      <w:r>
        <w:rPr>
          <w:bCs/>
          <w:i w:val="false"/>
          <w:iCs w:val="false"/>
          <w:sz w:val="20"/>
          <w:szCs w:val="20"/>
        </w:rPr>
        <w:t>11.1.5. Надлежаще исполнять иные принятые на себя обязательства.</w:t>
      </w:r>
    </w:p>
    <w:p>
      <w:pPr>
        <w:pStyle w:val="Normal"/>
        <w:jc w:val="both"/>
        <w:rPr>
          <w:bCs/>
          <w:sz w:val="20"/>
          <w:szCs w:val="20"/>
        </w:rPr>
      </w:pPr>
      <w:r>
        <w:rPr>
          <w:bCs/>
          <w:i w:val="false"/>
          <w:iCs w:val="false"/>
          <w:sz w:val="20"/>
          <w:szCs w:val="20"/>
        </w:rPr>
        <w:t>11.1.6. Своевременно предоставлять разъяснения и уточнения по запросам Поставщика в части поставки Товара в</w:t>
      </w:r>
      <w:r>
        <w:rPr>
          <w:bCs/>
          <w:sz w:val="20"/>
          <w:szCs w:val="20"/>
        </w:rPr>
        <w:t xml:space="preserve"> соответствии с условиями договора.</w:t>
      </w:r>
    </w:p>
    <w:p>
      <w:pPr>
        <w:pStyle w:val="Normal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11.2. Поставщик обязан: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11.2.1. Поставить Товар в порядке, количестве, в срок и на условиях, предусмотренных Договором и Спецификацией.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11.2.2. Поставить Товар надлежащего качества в соответствии с требованиями, изложенными в Техническом задании и договоре. Одновременно с товаром предоставить Заказчику документы – товарную накладную либо универсальный передаточный документ, счет-фактуру (при наличии НДС в цене договора), счет.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11.2.3. Доставить Товар с соблюдением требований санитарного законодательства, своим транспортом либо с привлечением специализированной транспортной организации</w:t>
      </w:r>
      <w:r>
        <w:rPr>
          <w:sz w:val="20"/>
          <w:szCs w:val="20"/>
          <w:vertAlign w:val="superscript"/>
        </w:rPr>
        <w:t xml:space="preserve"> </w:t>
      </w:r>
      <w:r>
        <w:rPr>
          <w:sz w:val="20"/>
          <w:szCs w:val="20"/>
        </w:rPr>
        <w:t xml:space="preserve">и за свой счет, а также при поставке представить все документы, относящиеся к Товару. 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По требованию Заказчика за свой счет в срок, согласованный с Заказчиком, произвести замену ненадлежащего Товара надлежащим, в том числе в случаях, указанных в пункте 12 Технического задания.</w:t>
      </w:r>
    </w:p>
    <w:p>
      <w:pPr>
        <w:pStyle w:val="Normal"/>
        <w:jc w:val="both"/>
        <w:rPr>
          <w:rFonts w:eastAsia="Calibri"/>
          <w:sz w:val="20"/>
          <w:szCs w:val="20"/>
          <w:lang w:eastAsia="en-US"/>
        </w:rPr>
      </w:pPr>
      <w:r>
        <w:rPr>
          <w:sz w:val="20"/>
          <w:szCs w:val="20"/>
        </w:rPr>
        <w:t>11.2.4. </w:t>
      </w:r>
      <w:r>
        <w:rPr>
          <w:rFonts w:eastAsia="Calibri"/>
          <w:sz w:val="20"/>
          <w:szCs w:val="20"/>
          <w:lang w:eastAsia="en-US"/>
        </w:rPr>
        <w:t xml:space="preserve">В соответствии с условиями </w:t>
      </w:r>
      <w:r>
        <w:rPr>
          <w:bCs/>
          <w:sz w:val="20"/>
          <w:szCs w:val="20"/>
        </w:rPr>
        <w:t>договора</w:t>
      </w:r>
      <w:r>
        <w:rPr>
          <w:rFonts w:eastAsia="Calibri"/>
          <w:sz w:val="20"/>
          <w:szCs w:val="20"/>
          <w:lang w:eastAsia="en-US"/>
        </w:rPr>
        <w:t xml:space="preserve"> своевременно предоставлять достоверную информацию о ходе исполнения своих обязательств, в том числе о сложностях, возникающих при исполнении </w:t>
      </w:r>
      <w:r>
        <w:rPr>
          <w:bCs/>
          <w:sz w:val="20"/>
          <w:szCs w:val="20"/>
        </w:rPr>
        <w:t>договора</w:t>
      </w:r>
      <w:r>
        <w:rPr>
          <w:rFonts w:eastAsia="Calibri"/>
          <w:sz w:val="20"/>
          <w:szCs w:val="20"/>
          <w:lang w:eastAsia="en-US"/>
        </w:rPr>
        <w:t>. Срок предоставления информации о ходе исполнения обязательств составляет 3 (Три) рабочих дней с момента получения запроса Заказчика.</w:t>
      </w:r>
    </w:p>
    <w:p>
      <w:pPr>
        <w:pStyle w:val="Normal"/>
        <w:spacing w:before="0" w:after="0"/>
        <w:contextualSpacing/>
        <w:rPr>
          <w:sz w:val="20"/>
          <w:szCs w:val="20"/>
        </w:rPr>
      </w:pPr>
      <w:r>
        <w:rPr>
          <w:iCs/>
          <w:sz w:val="20"/>
          <w:szCs w:val="20"/>
        </w:rPr>
        <w:t xml:space="preserve">11.2.5. </w:t>
      </w:r>
      <w:r>
        <w:rPr>
          <w:bCs/>
          <w:iCs/>
          <w:sz w:val="20"/>
          <w:szCs w:val="20"/>
        </w:rPr>
        <w:t xml:space="preserve">Назначить в день заключения </w:t>
      </w:r>
      <w:r>
        <w:rPr>
          <w:bCs/>
          <w:sz w:val="20"/>
          <w:szCs w:val="20"/>
        </w:rPr>
        <w:t>договора</w:t>
      </w:r>
      <w:r>
        <w:rPr>
          <w:bCs/>
          <w:iCs/>
          <w:sz w:val="20"/>
          <w:szCs w:val="20"/>
        </w:rPr>
        <w:t xml:space="preserve"> ответственное лицо для оперативного решения текущих вопросов по договору и передать Заказчику информацию об ответственном лице письменно, либо по адресу электронной почты Заказчика:   ___________________________________</w:t>
      </w:r>
    </w:p>
    <w:p>
      <w:pPr>
        <w:pStyle w:val="Normal"/>
        <w:spacing w:before="0" w:after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12. Порядок приемки товара</w:t>
      </w:r>
    </w:p>
    <w:p>
      <w:pPr>
        <w:pStyle w:val="ConsNonformat"/>
        <w:widowControl/>
        <w:tabs>
          <w:tab w:val="clear" w:pos="708"/>
          <w:tab w:val="left" w:pos="426" w:leader="none"/>
        </w:tabs>
        <w:ind w:right="0"/>
        <w:jc w:val="both"/>
        <w:rPr/>
      </w:pPr>
      <w:r>
        <w:rPr>
          <w:rFonts w:cs="Times New Roman" w:ascii="Times New Roman" w:hAnsi="Times New Roman"/>
          <w:spacing w:val="-1"/>
        </w:rPr>
        <w:t>12.1.</w:t>
      </w:r>
      <w:r>
        <w:rPr>
          <w:rFonts w:cs="Times New Roman" w:ascii="Times New Roman" w:hAnsi="Times New Roman"/>
        </w:rPr>
        <w:t xml:space="preserve"> Поставка товара осуществляется в полном объеме согласно Спецификации (Приложение № 1) в течение 10 (десяти) календарных дней со дня заключения Договора.  Предусмотрена поэтапная поставка и оплата товара.</w:t>
      </w:r>
    </w:p>
    <w:p>
      <w:pPr>
        <w:pStyle w:val="ConsNonformat"/>
        <w:widowControl/>
        <w:tabs>
          <w:tab w:val="clear" w:pos="708"/>
          <w:tab w:val="left" w:pos="426" w:leader="none"/>
        </w:tabs>
        <w:ind w:right="0"/>
        <w:jc w:val="both"/>
        <w:rPr/>
      </w:pPr>
      <w:r>
        <w:rPr>
          <w:rFonts w:cs="Times New Roman" w:ascii="Times New Roman" w:hAnsi="Times New Roman"/>
        </w:rPr>
        <w:t xml:space="preserve">Место поставки товара: Свердловская область, г.Екатеринбург, ул.Карла Либкнехта, дом 23. </w:t>
      </w:r>
    </w:p>
    <w:p>
      <w:pPr>
        <w:pStyle w:val="ConsNonformat"/>
        <w:widowControl/>
        <w:tabs>
          <w:tab w:val="clear" w:pos="708"/>
          <w:tab w:val="left" w:pos="426" w:leader="none"/>
        </w:tabs>
        <w:ind w:right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Поставка, погрузка, разгрузка, размещение в месте расположения Заказчика производится Поставщиком своими силами и средствами.</w:t>
      </w:r>
    </w:p>
    <w:p>
      <w:pPr>
        <w:pStyle w:val="Normal"/>
        <w:tabs>
          <w:tab w:val="clear" w:pos="708"/>
          <w:tab w:val="left" w:pos="252" w:leader="none"/>
          <w:tab w:val="left" w:pos="360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>12.2. Заказчик проводит проверку соответствия наименования, количества и иных характеристик поставляемого Товара, сведениям, содержащимся в сопроводительных документах Поставщика.</w:t>
      </w:r>
    </w:p>
    <w:p>
      <w:pPr>
        <w:pStyle w:val="Normal"/>
        <w:tabs>
          <w:tab w:val="clear" w:pos="708"/>
          <w:tab w:val="left" w:pos="252" w:leader="none"/>
          <w:tab w:val="left" w:pos="360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>12.3. Для проверки предоставленных Поставщиком результатов, предусмотренных Договором, в части их соответствия условиям Договора Заказчик проводит экспертизу. Экспертиза результатов, предусмотренных Договором, может проводиться Заказчиком своими силами или к ее проведению могут привлекаться эксперты, экспертные организации на основании договоров.</w:t>
      </w:r>
    </w:p>
    <w:p>
      <w:pPr>
        <w:pStyle w:val="Normal"/>
        <w:tabs>
          <w:tab w:val="clear" w:pos="708"/>
          <w:tab w:val="left" w:pos="252" w:leader="none"/>
          <w:tab w:val="left" w:pos="360" w:leader="none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12.4. При отсутствии у Заказчика претензий по количеству и качеству поставленного Товара Заказчик в течение </w:t>
      </w:r>
      <w:r>
        <w:rPr>
          <w:bCs/>
          <w:sz w:val="20"/>
          <w:szCs w:val="20"/>
        </w:rPr>
        <w:t xml:space="preserve">не более 5 рабочих дней с момента поставки (доставки) Товара Заказчику, а в случае привлечения для проведения экспертизы экспертов, экспертных организаций – не более 10 рабочих дней </w:t>
      </w:r>
      <w:r>
        <w:rPr>
          <w:sz w:val="20"/>
          <w:szCs w:val="20"/>
        </w:rPr>
        <w:t>с момента доставки Товара Поставщиком подписывает товарную накладную (универсальный передаточный документ), после этого Товар считается переданным Поставщиком Заказчику.</w:t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  <w:t>12.5. При выявлении несоответствий в поставленном Товаре (наименования, количества, качества, в том числе в случае выявления внешних признаков ненадлежащего качества Товара, препятствующих его дальнейшему использованию (нарушение целостности упаковки, повреждение содержимого и т.д.), препятствующих его приемке, Заказчик в срок, установленный в пункте 12.4. Технического задания, отказывает в приемке Товара, направляя Поставщику мотивированный отказ от приемки Товара с перечнем выявленных недостатков и указанием сроков их устранения.</w:t>
      </w:r>
    </w:p>
    <w:p>
      <w:pPr>
        <w:pStyle w:val="ConsPlusNormal1"/>
        <w:widowControl/>
        <w:ind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12.6. Поставщик обязуется произвести замену Товара (или его часть) или поставить недостающий Товар (или его часть) в течение 5 (пяти) рабочих дней с момента получения мотивированного отказа от приемки товара. </w:t>
      </w:r>
    </w:p>
    <w:p>
      <w:pPr>
        <w:pStyle w:val="ConsPlusNormal1"/>
        <w:ind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12.7.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документов, указанных в </w:t>
      </w:r>
      <w:hyperlink w:anchor="P1489">
        <w:r>
          <w:rPr>
            <w:rStyle w:val="Style8"/>
            <w:rFonts w:cs="Times New Roman" w:ascii="Times New Roman" w:hAnsi="Times New Roman"/>
            <w:sz w:val="20"/>
            <w:szCs w:val="20"/>
          </w:rPr>
          <w:t>пункте 11.2.2</w:t>
        </w:r>
      </w:hyperlink>
      <w:r>
        <w:rPr>
          <w:rFonts w:cs="Times New Roman" w:ascii="Times New Roman" w:hAnsi="Times New Roman"/>
          <w:sz w:val="20"/>
          <w:szCs w:val="20"/>
        </w:rPr>
        <w:t xml:space="preserve"> Технического задания.</w:t>
      </w:r>
    </w:p>
    <w:p>
      <w:pPr>
        <w:pStyle w:val="Normal"/>
        <w:jc w:val="both"/>
        <w:rPr>
          <w:i/>
          <w:i/>
          <w:sz w:val="20"/>
          <w:szCs w:val="20"/>
        </w:rPr>
      </w:pPr>
      <w:r>
        <w:rPr>
          <w:sz w:val="20"/>
          <w:szCs w:val="20"/>
        </w:rPr>
        <w:t xml:space="preserve">12.8. Обязательства Поставщика по поставке Товара считаются выполненными с момента передачи Товара уполномоченному представителю Заказчика – </w:t>
      </w:r>
      <w:r>
        <w:rPr>
          <w:sz w:val="20"/>
          <w:szCs w:val="20"/>
          <w:u w:val="single"/>
        </w:rPr>
        <w:t>кладовщик, тел +7(343) 221-29-13</w:t>
      </w:r>
      <w:r>
        <w:rPr>
          <w:sz w:val="20"/>
          <w:szCs w:val="20"/>
        </w:rPr>
        <w:t>.</w:t>
      </w:r>
    </w:p>
    <w:p>
      <w:pPr>
        <w:pStyle w:val="ConsPlusNormal1"/>
        <w:widowControl/>
        <w:ind w:hanging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12.9. Упаковка Товара должна обеспечивать его сохранность при транспортировке.</w:t>
      </w:r>
    </w:p>
    <w:sectPr>
      <w:type w:val="nextPage"/>
      <w:pgSz w:w="11906" w:h="16838"/>
      <w:pgMar w:left="964" w:right="680" w:gutter="0" w:header="0" w:top="737" w:footer="0" w:bottom="68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a741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5">
    <w:name w:val="heading 5"/>
    <w:basedOn w:val="Normal"/>
    <w:next w:val="Normal"/>
    <w:link w:val="5"/>
    <w:qFormat/>
    <w:rsid w:val="001a741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5" w:customStyle="1">
    <w:name w:val="Заголовок 5 Знак"/>
    <w:basedOn w:val="DefaultParagraphFont"/>
    <w:qFormat/>
    <w:rsid w:val="001a7419"/>
    <w:rPr>
      <w:rFonts w:ascii="Times New Roman" w:hAnsi="Times New Roman" w:eastAsia="Times New Roman" w:cs="Times New Roman"/>
      <w:b/>
      <w:bCs/>
      <w:i/>
      <w:iCs/>
      <w:sz w:val="26"/>
      <w:szCs w:val="26"/>
      <w:lang w:eastAsia="ru-RU"/>
    </w:rPr>
  </w:style>
  <w:style w:type="character" w:styleId="Style13" w:customStyle="1">
    <w:name w:val="Абзац списка Знак"/>
    <w:link w:val="ListParagraph"/>
    <w:uiPriority w:val="34"/>
    <w:qFormat/>
    <w:locked/>
    <w:rsid w:val="001a7419"/>
    <w:rPr>
      <w:rFonts w:ascii="Calibri" w:hAnsi="Calibri" w:eastAsia="Calibri" w:cs="Times New Roman"/>
      <w:lang w:eastAsia="ar-SA"/>
    </w:rPr>
  </w:style>
  <w:style w:type="character" w:styleId="Hyperlink">
    <w:name w:val="Hyperlink"/>
    <w:uiPriority w:val="99"/>
    <w:rsid w:val="00c83131"/>
    <w:rPr>
      <w:color w:val="0000FF"/>
      <w:u w:val="single"/>
    </w:rPr>
  </w:style>
  <w:style w:type="character" w:styleId="Emphasis">
    <w:name w:val="Emphasis"/>
    <w:uiPriority w:val="20"/>
    <w:qFormat/>
    <w:rsid w:val="00c83131"/>
    <w:rPr>
      <w:i/>
      <w:iCs/>
    </w:rPr>
  </w:style>
  <w:style w:type="character" w:styleId="ConsPlusNormal" w:customStyle="1">
    <w:name w:val="ConsPlusNormal Знак"/>
    <w:link w:val="ConsPlusNormal1"/>
    <w:qFormat/>
    <w:locked/>
    <w:rsid w:val="00c83131"/>
    <w:rPr>
      <w:rFonts w:ascii="Arial" w:hAnsi="Arial" w:cs="Arial"/>
      <w:lang w:eastAsia="ru-RU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Free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ConsPlusNonformat" w:customStyle="1">
    <w:name w:val="ConsPlusNonformat"/>
    <w:qFormat/>
    <w:rsid w:val="001a7419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ListParagraph">
    <w:name w:val="List Paragraph"/>
    <w:basedOn w:val="Normal"/>
    <w:link w:val="Style13"/>
    <w:uiPriority w:val="34"/>
    <w:qFormat/>
    <w:rsid w:val="001a7419"/>
    <w:pPr>
      <w:suppressAutoHyphens w:val="true"/>
      <w:spacing w:lineRule="auto" w:line="276" w:before="0" w:after="200"/>
      <w:ind w:left="720"/>
    </w:pPr>
    <w:rPr>
      <w:rFonts w:ascii="Calibri" w:hAnsi="Calibri" w:eastAsia="Calibri"/>
      <w:sz w:val="22"/>
      <w:szCs w:val="22"/>
      <w:lang w:eastAsia="ar-SA"/>
    </w:rPr>
  </w:style>
  <w:style w:type="paragraph" w:styleId="ConsNonformat" w:customStyle="1">
    <w:name w:val="ConsNonformat"/>
    <w:qFormat/>
    <w:rsid w:val="00c83131"/>
    <w:pPr>
      <w:widowControl w:val="false"/>
      <w:suppressAutoHyphens w:val="true"/>
      <w:bidi w:val="0"/>
      <w:spacing w:lineRule="auto" w:line="240" w:before="0" w:after="0"/>
      <w:ind w:right="19772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Normal1" w:customStyle="1">
    <w:name w:val="ConsPlusNormal"/>
    <w:link w:val="ConsPlusNormal"/>
    <w:qFormat/>
    <w:rsid w:val="00c83131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Calibri" w:cs="Arial" w:eastAsiaTheme="minorHAnsi"/>
      <w:color w:val="auto"/>
      <w:kern w:val="0"/>
      <w:sz w:val="22"/>
      <w:szCs w:val="22"/>
      <w:lang w:val="ru-RU" w:eastAsia="ru-RU" w:bidi="ar-SA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user4" w:default="1">
    <w:name w:val="Без списка (user)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energy@usaaa.ru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LibreOffice/25.8.3.2$Linux_X86_64 LibreOffice_project/580$Build-2</Application>
  <AppVersion>15.0000</AppVersion>
  <Pages>3</Pages>
  <Words>1407</Words>
  <Characters>9865</Characters>
  <CharactersWithSpaces>11154</CharactersWithSpaces>
  <Paragraphs>169</Paragraphs>
  <Company>УралГАХА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2026-06-16T08:41:00Z</dcterms:created>
  <dc:creator>УсоваНГ</dc:creator>
  <dc:description/>
  <dc:language>ru-RU</dc:language>
  <cp:lastModifiedBy/>
  <cp:lastPrinted>2026-06-22T16:31:17Z</cp:lastPrinted>
  <dcterms:modified xsi:type="dcterms:W3CDTF">2026-06-23T09:50:53Z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