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поставку колёсных дисков для служебных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автомобилей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для нужд </w:t>
      </w:r>
      <w:r>
        <w:rPr>
          <w:rFonts w:eastAsia="Times New Roman" w:cs="Times New Roman"/>
          <w:bCs/>
          <w:sz w:val="24"/>
          <w:szCs w:val="24"/>
          <w:lang w:eastAsia="ru-RU"/>
        </w:rPr>
        <w:t>Управления Федеральной службы государственной регистрации, кадастра и картографии по Волгоградской области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b/>
          <w:bCs/>
          <w:sz w:val="26"/>
          <w:szCs w:val="26"/>
        </w:rPr>
        <w:t>Предмет контракта: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Поставка</w:t>
      </w:r>
      <w:r>
        <w:rPr>
          <w:sz w:val="26"/>
          <w:szCs w:val="26"/>
          <w:lang w:val="ru-RU" w:eastAsia="ru-RU" w:bidi="ar-SA"/>
        </w:rPr>
        <w:t xml:space="preserve"> запасных частей для транспортных средств, принадлежащих Управлению Федеральной службы государственной регистрации, кадастра и картографии по Волгоградской области.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ОКПД: </w:t>
      </w:r>
      <w:r>
        <w:rPr>
          <w:bCs/>
          <w:sz w:val="26"/>
          <w:szCs w:val="26"/>
        </w:rPr>
        <w:t>29.32.30.220.</w:t>
      </w:r>
      <w:r>
        <w:rPr/>
        <w:t xml:space="preserve"> </w:t>
      </w:r>
      <w:r>
        <w:rPr>
          <w:bCs/>
          <w:sz w:val="26"/>
          <w:szCs w:val="26"/>
        </w:rPr>
        <w:t>Колеса, ступицы и их детали (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колёсные диски</w:t>
      </w:r>
      <w:r>
        <w:rPr>
          <w:bCs/>
          <w:sz w:val="26"/>
          <w:szCs w:val="26"/>
        </w:rPr>
        <w:t>)</w:t>
      </w:r>
    </w:p>
    <w:p>
      <w:pPr>
        <w:pStyle w:val="Normal"/>
        <w:ind w:firstLine="680" w:left="29" w:right="2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Адреса поставки товаров</w:t>
      </w:r>
      <w:r>
        <w:rPr>
          <w:bCs/>
          <w:sz w:val="26"/>
          <w:szCs w:val="26"/>
        </w:rPr>
        <w:t xml:space="preserve">: </w:t>
      </w:r>
      <w:r>
        <w:rPr>
          <w:rFonts w:ascii="Tinos" w:hAnsi="Tinos"/>
          <w:b w:val="false"/>
          <w:bCs w:val="false"/>
          <w:sz w:val="24"/>
          <w:szCs w:val="24"/>
        </w:rPr>
        <w:t>г. Волгоград, ул. Калинина, 4.</w:t>
      </w:r>
    </w:p>
    <w:p>
      <w:pPr>
        <w:pStyle w:val="Normal"/>
        <w:ind w:firstLine="680" w:left="29" w:right="29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3. </w:t>
      </w:r>
      <w:r>
        <w:rPr>
          <w:b/>
          <w:bCs/>
          <w:sz w:val="26"/>
          <w:szCs w:val="26"/>
        </w:rPr>
        <w:t>Срок и условия поставки:</w:t>
      </w:r>
      <w:r>
        <w:rPr>
          <w:sz w:val="26"/>
          <w:szCs w:val="26"/>
        </w:rPr>
        <w:t xml:space="preserve"> </w:t>
      </w:r>
      <w:r>
        <w:rPr>
          <w:rFonts w:ascii="Tinos" w:hAnsi="Tinos"/>
          <w:b w:val="false"/>
          <w:bCs w:val="false"/>
          <w:sz w:val="24"/>
          <w:szCs w:val="24"/>
        </w:rPr>
        <w:t>единовременно, не позднее 1 (одного) рабочего дня с даты подписания контракта, включая доставку товара и погрузо-разгрузочные работы, в рабочее время, по согласованию с Заказчиком.</w:t>
      </w:r>
    </w:p>
    <w:p>
      <w:pPr>
        <w:pStyle w:val="Normal"/>
        <w:tabs>
          <w:tab w:val="clear" w:pos="708"/>
          <w:tab w:val="left" w:pos="5775" w:leader="none"/>
        </w:tabs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 w:val="false"/>
          <w:bCs w:val="false"/>
          <w:sz w:val="24"/>
          <w:szCs w:val="24"/>
        </w:rPr>
        <w:t xml:space="preserve">4. </w:t>
      </w:r>
      <w:r>
        <w:rPr>
          <w:rFonts w:ascii="Tinos" w:hAnsi="Tinos"/>
          <w:b/>
          <w:bCs/>
          <w:sz w:val="24"/>
          <w:szCs w:val="24"/>
        </w:rPr>
        <w:t>Срок действия контракта:</w:t>
      </w:r>
      <w:r>
        <w:rPr>
          <w:rFonts w:ascii="Tinos" w:hAnsi="Tinos"/>
          <w:b w:val="false"/>
          <w:bCs w:val="false"/>
          <w:sz w:val="24"/>
          <w:szCs w:val="24"/>
        </w:rPr>
        <w:t xml:space="preserve"> с даты подписания по </w:t>
      </w:r>
      <w:r>
        <w:rPr>
          <w:rFonts w:ascii="Tinos" w:hAnsi="Tinos"/>
          <w:b w:val="false"/>
          <w:bCs w:val="false"/>
          <w:sz w:val="24"/>
          <w:szCs w:val="24"/>
          <w:shd w:fill="auto" w:val="clear"/>
        </w:rPr>
        <w:t>03 сентября</w:t>
      </w:r>
      <w:r>
        <w:rPr>
          <w:rFonts w:ascii="Tinos" w:hAnsi="Tinos"/>
          <w:b w:val="false"/>
          <w:bCs w:val="false"/>
          <w:sz w:val="24"/>
          <w:szCs w:val="24"/>
          <w:shd w:fill="auto" w:val="clear"/>
        </w:rPr>
        <w:t xml:space="preserve"> </w:t>
      </w:r>
      <w:r>
        <w:rPr>
          <w:rFonts w:ascii="Tinos" w:hAnsi="Tinos"/>
          <w:b w:val="false"/>
          <w:bCs w:val="false"/>
          <w:sz w:val="24"/>
          <w:szCs w:val="24"/>
        </w:rPr>
        <w:t>2026 года. Окончание срока действия Контракта не влечет прекращения неисполненных обязательств</w:t>
      </w:r>
      <w:r>
        <w:rPr>
          <w:rFonts w:ascii="Tinos" w:hAnsi="Tinos"/>
          <w:b w:val="false"/>
          <w:bCs/>
          <w:sz w:val="24"/>
          <w:szCs w:val="24"/>
        </w:rPr>
        <w:t xml:space="preserve"> Сторон по Контракту.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Поставка Товара производится на условиях отгрузки Товара со склада Поставщика силами и средствами Поставщика с доставкой и разгрузкой до Заказчика.</w:t>
      </w:r>
    </w:p>
    <w:p>
      <w:pPr>
        <w:pStyle w:val="Normal"/>
        <w:ind w:firstLine="680" w:left="29" w:right="2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b/>
          <w:bCs/>
          <w:sz w:val="26"/>
          <w:szCs w:val="26"/>
        </w:rPr>
        <w:t>Описание, характеристики поставляемого Товара и объем закупки</w:t>
      </w:r>
      <w:r>
        <w:rPr>
          <w:b/>
          <w:sz w:val="26"/>
          <w:szCs w:val="26"/>
        </w:rPr>
        <w:t>:</w:t>
      </w:r>
    </w:p>
    <w:tbl>
      <w:tblPr>
        <w:tblW w:w="9224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713"/>
        <w:gridCol w:w="3692"/>
        <w:gridCol w:w="2406"/>
        <w:gridCol w:w="996"/>
        <w:gridCol w:w="1417"/>
      </w:tblGrid>
      <w:tr>
        <w:trPr>
          <w:trHeight w:val="44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</w:tc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и характеристики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Ед.изм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Кол-во</w:t>
            </w:r>
          </w:p>
        </w:tc>
      </w:tr>
      <w:tr>
        <w:trPr>
          <w:trHeight w:val="415" w:hRule="atLeast"/>
        </w:trPr>
        <w:tc>
          <w:tcPr>
            <w:tcW w:w="7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ListParagraph"/>
              <w:widowControl w:val="false"/>
              <w:ind w:hanging="0" w:left="-98" w:right="3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</w:t>
            </w:r>
          </w:p>
        </w:tc>
        <w:tc>
          <w:tcPr>
            <w:tcW w:w="60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spacing w:before="0" w:afterAutospacing="0" w:after="0"/>
              <w:jc w:val="center"/>
              <w:rPr>
                <w:rFonts w:ascii="Tinos" w:hAnsi="Tinos" w:cs="Tinos"/>
                <w:b w:val="false"/>
                <w:bCs w:val="false"/>
                <w:sz w:val="28"/>
                <w:szCs w:val="28"/>
                <w:highlight w:val="none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Колесный диск для легкового автомобиля </w:t>
            </w:r>
            <w:r>
              <w:rPr>
                <w:rFonts w:eastAsia="Tinos" w:cs="Tinos" w:ascii="Tinos" w:hAnsi="Tinos"/>
                <w:b/>
                <w:bCs/>
                <w:color w:val="0E0E13"/>
                <w:sz w:val="26"/>
                <w:szCs w:val="26"/>
              </w:rPr>
              <w:t>Lada Legend</w:t>
            </w:r>
            <w:r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шт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Тип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стальной</w:t>
            </w:r>
          </w:p>
        </w:tc>
        <w:tc>
          <w:tcPr>
            <w:tcW w:w="996" w:type="dxa"/>
            <w:vMerge w:val="continue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Ширина обода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5,5 дюймов</w:t>
            </w:r>
          </w:p>
        </w:tc>
        <w:tc>
          <w:tcPr>
            <w:tcW w:w="996" w:type="dxa"/>
            <w:vMerge w:val="continue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Диаметр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16 дюймов</w:t>
            </w:r>
          </w:p>
        </w:tc>
        <w:tc>
          <w:tcPr>
            <w:tcW w:w="996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Вылет: 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52 мм</w:t>
            </w:r>
          </w:p>
        </w:tc>
        <w:tc>
          <w:tcPr>
            <w:tcW w:w="996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Диаметр центрального отверстия под ступицу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FFFFFF" w:fill="FFFFFF" w:val="solid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98,5 мм</w:t>
            </w:r>
          </w:p>
        </w:tc>
        <w:tc>
          <w:tcPr>
            <w:tcW w:w="996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solid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Межцентровое расстояние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FFFFFF" w:fill="FFFFFF" w:val="solid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5х139.7 мм</w:t>
            </w:r>
          </w:p>
        </w:tc>
        <w:tc>
          <w:tcPr>
            <w:tcW w:w="996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hanging="0" w:left="29" w:right="2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 w:right="29"/>
        <w:jc w:val="both"/>
        <w:rPr>
          <w:b/>
          <w:bCs/>
          <w:sz w:val="26"/>
          <w:szCs w:val="26"/>
          <w:highlight w:val="none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6. </w:t>
      </w:r>
      <w:r>
        <w:rPr>
          <w:b/>
          <w:bCs/>
          <w:sz w:val="26"/>
          <w:szCs w:val="26"/>
        </w:rPr>
        <w:t>Требования к качеству поставляемого товара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6.1.Весь предлагаемый товар должен быть новым, оригинального производства, не бывшим в эксплуатации, изготовленный из 100 (ста) процентов новых компонентов и соответствовать установленным параметрам согласно представленной спецификации.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Поставляемый товар должен соответствовать требованиям технического регламента Таможенного союза «О безопасности колесных транспортных средств» (ТР ТС 018/2011), 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6.3. Товар должен быть изготовлен не ранее 2026 года.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6.4. Гарантийный срок службы дисков – 3 года с даты изготовления.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В целях обеспечения исполнения гарантийных обязательств компаний-производителей оборудования, используемого Заказчиком, а также необходимости обеспечения взаимодействия с оборудованием, используемым Заказчиком, к поставляемому Товару предъявляются следующие требования: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1) гарантийный срок Товара должен быть не менее гарантийного срока, установленного производителем оборудования.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2) поставляемый Товар должен быть полностью новым (не восстановленным), не бывшим в употреблении и не возвращённым по гарантии третьими лицами.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3) товар не должен иметь дефектов, связанных с конструкцией, материалами или работой по их изготовлению.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4) товар не должен содержать вредных веществ и соединений, оказывающих негативное воздействие на человека и окружающую среду.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обнаружения неоригинального или поддельного товара, а также несоответствия качества и применимости к оборудованию, используемому Заказчиком, весь товар по заявке Заказчика возвращается Поставщику с последующим расторжением контракта в связи с неисполнением Поставщиком своих обязательств по контракту и направлением сведений о данном Поставщике в уполномоченные органы для включения его в Реестр недобросовестных поставщиков.</w:t>
      </w:r>
    </w:p>
    <w:p>
      <w:pPr>
        <w:pStyle w:val="Normal"/>
        <w:ind w:firstLine="680" w:left="29" w:right="29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00"/>
        <w:gridCol w:w="4277"/>
        <w:gridCol w:w="2341"/>
        <w:gridCol w:w="2336"/>
      </w:tblGrid>
      <w:tr>
        <w:trPr>
          <w:trHeight w:val="370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 w:val="false"/>
              <w:jc w:val="center"/>
              <w:rPr/>
            </w:pPr>
            <w:r>
              <w:rPr/>
              <w:t>№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 w:val="false"/>
              <w:jc w:val="center"/>
              <w:rPr/>
            </w:pPr>
            <w:r>
              <w:rPr/>
              <w:t>Место поставки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Кол-во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Ед. изм.</w:t>
            </w:r>
          </w:p>
        </w:tc>
      </w:tr>
      <w:tr>
        <w:trPr>
          <w:trHeight w:val="337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 w:val="false"/>
              <w:jc w:val="center"/>
              <w:rPr/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>г. Волгоград, ул. Калинина, 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</w:tr>
    </w:tbl>
    <w:p>
      <w:pPr>
        <w:pStyle w:val="Normal"/>
        <w:ind w:firstLine="822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>
        <w:rPr>
          <w:b/>
          <w:bCs/>
          <w:sz w:val="26"/>
          <w:szCs w:val="26"/>
        </w:rPr>
        <w:t>Порядок сдачи и приемки Товара.</w:t>
      </w:r>
    </w:p>
    <w:p>
      <w:pPr>
        <w:pStyle w:val="Normal"/>
        <w:ind w:firstLine="822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В день отгрузки Товара Поставщик передает Заказчику оригиналы товарной накладной и счет-фактуры, акт сдачи-приемки товара и сопутствующих работ, подписанные Поставщиком, в двух экземплярах,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ind w:firstLine="822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Приемка Товара производится уполномоченными на то Заказчиком компетентными лицами, несущими ответственность за строгое соблюдение правил приемки Товара, в течение 3 (трех) календарных дней с даты доставки Товара. </w:t>
      </w:r>
    </w:p>
    <w:p>
      <w:pPr>
        <w:pStyle w:val="Normal"/>
        <w:ind w:firstLine="822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При приемке Товара Заказчик будет руководствоваться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Совмине СССР от 15 июня 1965 г. № П-6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Совмине СССР от 25 апреля 1966 г. № П-7.</w:t>
      </w:r>
    </w:p>
    <w:p>
      <w:pPr>
        <w:pStyle w:val="Normal"/>
        <w:ind w:firstLine="822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приемки товара и сопутствующих работ при наличии сопроводительных документов и при отсутствии претензий относительно качества, количества, ассортимента, комплектности и других характеристик товара и сопутствующих работ, Заказчик подписывает Акт сдачи приемки партии товара и сопутствующих работ в 2 (Двух) экземплярах и передает один экземпляр Поставщику, либо направляет Поставщику мотивированный отказ от приемки.</w:t>
      </w:r>
    </w:p>
    <w:p>
      <w:pPr>
        <w:pStyle w:val="Normal"/>
        <w:ind w:firstLine="822" w:left="29" w:right="29"/>
        <w:jc w:val="both"/>
        <w:rPr>
          <w:sz w:val="26"/>
          <w:szCs w:val="26"/>
        </w:rPr>
      </w:pPr>
      <w:r>
        <w:rPr>
          <w:sz w:val="26"/>
          <w:szCs w:val="26"/>
        </w:rPr>
        <w:t>В случае мотивированного отказа Стороны в 1-дневный срок составляют акт с перечнем необходимых доработок и сроков их выполнения, которые производятся за счет Поставщика.</w:t>
      </w:r>
    </w:p>
    <w:p>
      <w:pPr>
        <w:pStyle w:val="Normal"/>
        <w:ind w:firstLine="82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Главный специалист-эксперт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отдела МТО</w:t>
        <w:tab/>
        <w:tab/>
        <w:tab/>
        <w:tab/>
        <w:tab/>
        <w:tab/>
        <w:tab/>
        <w:tab/>
        <w:tab/>
        <w:t xml:space="preserve">       И.С. Абрамов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ino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user1"/>
                            <w:pBdr/>
                            <w:rPr>
                              <w:rStyle w:val="user"/>
                            </w:rPr>
                          </w:pPr>
                          <w:r>
                            <w:rPr>
                              <w:rStyle w:val="user"/>
                            </w:rPr>
                            <w:fldChar w:fldCharType="begin"/>
                          </w:r>
                          <w:r>
                            <w:rPr>
                              <w:rStyle w:val="user"/>
                            </w:rPr>
                            <w:instrText xml:space="preserve"> PAGE </w:instrText>
                          </w:r>
                          <w:r>
                            <w:rPr>
                              <w:rStyle w:val="user"/>
                            </w:rPr>
                            <w:fldChar w:fldCharType="separate"/>
                          </w:r>
                          <w:r>
                            <w:rPr>
                              <w:rStyle w:val="user"/>
                            </w:rPr>
                            <w:t>0</w:t>
                          </w:r>
                          <w:r>
                            <w:rPr>
                              <w:rStyle w:val="us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user1"/>
                      <w:pBdr/>
                      <w:rPr>
                        <w:rStyle w:val="user"/>
                      </w:rPr>
                    </w:pPr>
                    <w:r>
                      <w:rPr>
                        <w:rStyle w:val="user"/>
                      </w:rPr>
                      <w:fldChar w:fldCharType="begin"/>
                    </w:r>
                    <w:r>
                      <w:rPr>
                        <w:rStyle w:val="user"/>
                      </w:rPr>
                      <w:instrText xml:space="preserve"> PAGE </w:instrText>
                    </w:r>
                    <w:r>
                      <w:rPr>
                        <w:rStyle w:val="user"/>
                      </w:rPr>
                      <w:fldChar w:fldCharType="separate"/>
                    </w:r>
                    <w:r>
                      <w:rPr>
                        <w:rStyle w:val="user"/>
                      </w:rPr>
                      <w:t>0</w:t>
                    </w:r>
                    <w:r>
                      <w:rPr>
                        <w:rStyle w:val="us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user1"/>
                            <w:pBdr/>
                            <w:rPr>
                              <w:rStyle w:val="us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3.8pt;mso-wrap-distance-left:0pt;mso-wrap-distance-right:0pt;mso-wrap-distance-top:0pt;mso-wrap-distance-bottom:0pt;margin-top:0.05pt;mso-position-vertical-relative:text;margin-left:233.3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user1"/>
                      <w:pBdr/>
                      <w:rPr>
                        <w:rStyle w:val="us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user">
    <w:name w:val="Номер страницы (user)"/>
    <w:basedOn w:val="Style7"/>
    <w:qFormat/>
    <w:rPr/>
  </w:style>
  <w:style w:type="character" w:styleId="Style8">
    <w:name w:val="Текст выноски Знак"/>
    <w:link w:val="Style13"/>
    <w:qFormat/>
    <w:rPr>
      <w:rFonts w:ascii="Segoe UI" w:hAnsi="Segoe UI" w:cs="Segoe UI"/>
      <w:sz w:val="18"/>
      <w:szCs w:val="18"/>
    </w:rPr>
  </w:style>
  <w:style w:type="character" w:styleId="Style9">
    <w:name w:val="Нижний колонтитул Знак"/>
    <w:link w:val="Footer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widowControl w:val="false"/>
      <w:ind w:left="720"/>
    </w:pPr>
    <w:rPr>
      <w:rFonts w:ascii="Liberation Serif" w:hAnsi="Liberation Serif" w:cs="Tahoma"/>
      <w:color w:val="000000"/>
      <w:lang w:val="en-US" w:eastAsia="zh-CN"/>
    </w:rPr>
  </w:style>
  <w:style w:type="paragraph" w:styleId="user1">
    <w:name w:val="Верхний колонтитул (user)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3">
    <w:name w:val="Текст выноски"/>
    <w:basedOn w:val="Normal"/>
    <w:link w:val="Style8"/>
    <w:qFormat/>
    <w:pPr/>
    <w:rPr>
      <w:rFonts w:ascii="Segoe UI" w:hAnsi="Segoe UI"/>
      <w:sz w:val="18"/>
      <w:szCs w:val="18"/>
      <w:lang w:val="en-US" w:eastAsia="en-US"/>
    </w:rPr>
  </w:style>
  <w:style w:type="paragraph" w:styleId="user2">
    <w:name w:val="Нижний колонтитул (user)"/>
    <w:basedOn w:val="Normal"/>
    <w:link w:val="Style9"/>
    <w:qFormat/>
    <w:pPr>
      <w:tabs>
        <w:tab w:val="clear" w:pos="708"/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user3" w:customStyle="1">
    <w:name w:val="Содержимое таблицы (user)"/>
    <w:qFormat/>
    <w:pPr>
      <w:keepNext w:val="false"/>
      <w:keepLines w:val="false"/>
      <w:pageBreakBefore w:val="false"/>
      <w:widowControl w:val="false"/>
      <w:suppressLineNumbers/>
      <w:pBdr/>
      <w:shd w:val="nil" w:color="000000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paragraph" w:styleId="Style14" w:customStyle="1">
    <w:name w:val="Без интервала"/>
    <w:qFormat/>
    <w:pPr>
      <w:keepNext w:val="false"/>
      <w:keepLines w:val="false"/>
      <w:pageBreakBefore w:val="false"/>
      <w:widowControl/>
      <w:pBdr/>
      <w:shd w:val="nil" w:color="000000"/>
      <w:bidi w:val="0"/>
      <w:spacing w:lineRule="auto" w:line="259" w:beforeAutospacing="0" w:before="0" w:afterAutospacing="0" w:after="16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en-US" w:bidi="ar-SA"/>
      <w14:ligatures w14:val="none"/>
    </w:rPr>
  </w:style>
  <w:style w:type="paragraph" w:styleId="Style15">
    <w:name w:val="Содержимое врезки"/>
    <w:basedOn w:val="Normal"/>
    <w:qFormat/>
    <w:pPr/>
    <w:rPr/>
  </w:style>
  <w:style w:type="numbering" w:styleId="Style16">
    <w:name w:val="Нет списка"/>
    <w:semiHidden/>
    <w:qFormat/>
  </w:style>
  <w:style w:type="numbering" w:styleId="Style17" w:default="1">
    <w:name w:val="Без списка"/>
    <w:uiPriority w:val="99"/>
    <w:semiHidden/>
    <w:unhideWhenUsed/>
    <w:qFormat/>
  </w:style>
  <w:style w:type="table" w:styleId="50">
    <w:name w:val="Table Grid"/>
    <w:basedOn w:val="3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5">
    <w:name w:val="Lined - Accent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658">
    <w:name w:val="Обычная таблица"/>
    <w:semiHidden/>
    <w:tblPr>
      <w:tblCellMar>
        <w:left w:w="108" w:type="dxa"/>
        <w:top w:w="0" w:type="dxa"/>
        <w:right w:w="108" w:type="dxa"/>
        <w:bottom w:w="0" w:type="dxa"/>
      </w:tblCellMar>
    </w:tblPr>
  </w:style>
  <w:style w:type="table" w:default="1" w:styleId="1680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 pitchFamily="0" charset="1"/>
        <a:ea typeface="Liberation Sans" pitchFamily="0" charset="1"/>
        <a:cs typeface="Liberation Sans" pitchFamily="0" charset="1"/>
      </a:majorFont>
      <a:minorFont>
        <a:latin typeface="Liberation Sans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LibreOffice/25.2.6.2$Linux_X86_64 LibreOffice_project/520$Build-2</Application>
  <AppVersion>15.0000</AppVersion>
  <Pages>2</Pages>
  <Words>625</Words>
  <Characters>4309</Characters>
  <CharactersWithSpaces>4906</CharactersWithSpaces>
  <Paragraphs>58</Paragraphs>
  <Company>frs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2020-11-16T09:29:00Z</dcterms:created>
  <dc:creator>giv</dc:creator>
  <dc:description/>
  <dc:language>ru-RU</dc:language>
  <cp:lastModifiedBy/>
  <cp:lastPrinted>2026-08-05T13:55:45Z</cp:lastPrinted>
  <dcterms:modified xsi:type="dcterms:W3CDTF">2026-08-05T14:37:20Z</dcterms:modified>
  <cp:revision>7</cp:revision>
  <dc:subject/>
  <dc:title/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