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ОБОСНОВАНИЕ ЦЕНЫ КОНТРАКТА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МЕТОДИКА РАСЧЕТА СТАРТОВОЙ ЦЕНЫ)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pPr w:horzAnchor="page" w:tblpX="919" w:vertAnchor="page" w:tblpY="1119" w:leftFromText="180" w:topFromText="0" w:rightFromText="180" w:bottomFromText="0"/>
        <w:tblW w:w="15380" w:type="dxa"/>
        <w:tblLayout w:type="fixed"/>
        <w:tblLook w:val="04A0" w:firstRow="1" w:lastRow="0" w:firstColumn="1" w:lastColumn="0" w:noHBand="0" w:noVBand="1"/>
      </w:tblPr>
      <w:tblGrid>
        <w:gridCol w:w="216"/>
        <w:gridCol w:w="2550"/>
        <w:gridCol w:w="567"/>
        <w:gridCol w:w="567"/>
        <w:gridCol w:w="1276"/>
        <w:gridCol w:w="1417"/>
        <w:gridCol w:w="1417"/>
        <w:gridCol w:w="1276"/>
        <w:gridCol w:w="1559"/>
        <w:gridCol w:w="1417"/>
        <w:gridCol w:w="1417"/>
        <w:gridCol w:w="1701"/>
      </w:tblGrid>
      <w:tr>
        <w:tblPrEx/>
        <w:trPr>
          <w:trHeight w:val="30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Объект закупки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d0d0d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d0d0d"/>
                <w:sz w:val="20"/>
                <w:szCs w:val="20"/>
                <w:lang w:eastAsia="ru-RU"/>
              </w:rPr>
              <w:t xml:space="preserve">на оказание услуг по предоставлению неисключительных прав на программное обеспечение для лицензируемой деятельности Учреждения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92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Используемый метод определения НМЦК с обоснованием: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Метод сопоставимых рыночных цен (анализа рынка), данный метод определения НМЦК является приоритетным, выбран в соответствии с ч. 6 ст. 22 Федерального закона от 05.04.2013 № 44-ФЗ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 контрактной системе в сфере закупок товаров, работ, услуг для обеспечения государственных и муниципальных нужд» и разделом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Минэкономразвития России от 02.10.2013 № 567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 цены Контракта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</w:tr>
      <w:tr>
        <w:tblPrEx/>
        <w:trPr>
          <w:trHeight w:val="124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ind w:left="-115" w:right="-103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товара/работы/услуги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Ед. изм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Кол-во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КС-2-КП/№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133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от 29.04.2026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КС-2-КП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/№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134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от 29.04.2026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№ 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КС-2-КП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/№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135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от 29.04.2026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№ 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КС-2-КП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/№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136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от 29.04.2026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№ 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07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 изм., руб.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 изм., руб.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 изм., руб.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 изм., руб.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0" w:type="dxa"/>
            <w:textDirection w:val="lrTb"/>
            <w:noWrap w:val="false"/>
          </w:tcPr>
          <w:p>
            <w:pPr>
              <w:contextualSpacing/>
              <w:jc w:val="left"/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Услуги по предоставлению неисключительных прав на программное обеспечение фиксации и контроля исходного состояния программного комплекса «ФИКС» (версия 2.0.2)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jc w:val="left"/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(срок действия передаваемых прав: 1 год с даты передачи прав)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jc w:val="left"/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Реестровый номер российского ПО: № 7043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ОКПД2: 58.29.50.000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4 980,00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4 980,00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60" w:line="252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Услуги по предоставлению неисключительных прав на программное обеспечение создания модели системы разграничения доступа «Ревизор 1 ХР»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jc w:val="left"/>
              <w:spacing w:after="60" w:line="252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(срок действия передаваемых прав: 1 год с даты передачи прав)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jc w:val="left"/>
              <w:spacing w:after="60" w:line="252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Реестровый номер российского ПО: № 6819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jc w:val="left"/>
              <w:spacing w:after="60" w:line="252" w:lineRule="auto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ОКПД2: 58.29.50.000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1570,00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1570,00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1 600,00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60" w:line="252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Услуги по предоставлению неисключительных прав на программное обеспечение контроля полномочий доступа к информационным ресурсам «Ревизор 2 ХР»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jc w:val="left"/>
              <w:spacing w:after="60" w:line="252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(срок действия передаваемых прав: 1 год с даты передачи прав)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jc w:val="left"/>
              <w:spacing w:after="60" w:line="252" w:lineRule="auto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Реестровый номер российского ПО: № 6823 ОКПД2: 58.29.50.000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11600,00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11600,00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11 600,00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12500,00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12500,00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60" w:line="252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Услуги по предоставлению неисключительных прав на программное обеспечение поиска и гарантированного уничтожения информации на дисках «TERRIER» (версия 3.0)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jc w:val="left"/>
              <w:spacing w:after="60" w:line="252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(срок действия передаваемых прав: 1 год с даты передачи прав)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jc w:val="left"/>
              <w:spacing w:after="60" w:line="252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Реестровый номер российского ПО: № 8643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jc w:val="left"/>
              <w:spacing w:after="60" w:line="252" w:lineRule="auto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ОКПД2: 58.29.50.000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3100,00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3100,00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3 100,00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3 100,00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42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60" w:line="252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Услуги по продлению неисключительных прав на Сетевой сканер на 5 IP TCP/IP (сетевой сканер Ревизор сети версия 3.0)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jc w:val="left"/>
              <w:spacing w:after="60" w:line="252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(срок действия передаваемых прав: с 09.09.2026 по 08.09.2027)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jc w:val="left"/>
              <w:spacing w:after="60" w:line="252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Реестровый номер российского ПО: № 6729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jc w:val="left"/>
              <w:spacing w:after="60" w:line="252" w:lineRule="auto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ОКПД2: 58.29.50.000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3152,00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3152,00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3 200,00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3150,00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3150,00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11550,00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60" w:line="252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Услуги по предоставлению неисключительных прав на программное обеспечение средство анализа защищенности «Сканер-ВС». Лицензия включает компонент «Инспектор». НПЕШ.00606-01.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jc w:val="left"/>
              <w:spacing w:after="60" w:line="252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(срок действия передаваемых прав: 1 год с даты передачи прав)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jc w:val="left"/>
              <w:spacing w:after="60" w:line="252" w:lineRule="auto"/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Реестровый номер российского ПО: № 231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jc w:val="left"/>
              <w:spacing w:after="60" w:line="252" w:lineRule="auto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ОКПД2: 58.29.50.000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26717,00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26717,00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26 721,00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26 721,00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26717,00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26717,00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86020,00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86020,00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8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51 119,00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51 221,00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50 967,00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122620,00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>
          <w:trHeight w:val="4225"/>
        </w:trPr>
        <w:tc>
          <w:tcPr>
            <w:gridSpan w:val="12"/>
            <w:tcBorders>
              <w:top w:val="single" w:color="000000" w:sz="4" w:space="0"/>
            </w:tcBorders>
            <w:tcW w:w="1538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val="ru-RU"/>
              </w:rPr>
              <w:t xml:space="preserve">Ценовые предложения получены посредством размещения запроса цен в единой информационной системе в сфере закупок (ЕИС) (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val="ru-RU"/>
              </w:rPr>
              <w:t xml:space="preserve">https://zakupki.gov.ru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val="ru-RU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val="ru-RU"/>
              </w:rPr>
              <w:t xml:space="preserve">Анализ рынка произведен на основании служебной записки Начальника Службы защиты информации Е.Н. Туровского от 17.04.2026 г. </w:t>
              <w:br/>
              <w:t xml:space="preserve">№СЗ-СЗИ-5.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val="ru-RU"/>
              </w:rPr>
            </w:r>
          </w:p>
          <w:p>
            <w:pPr>
              <w:ind w:left="0" w:right="0" w:firstLine="0"/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С учетом принципа эффективности использования бюджетных средств и разъяснений в письме Министерства экономического развития Российской Федерации от 26 октября 2015 го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да № ОГ-Д28-13651, закупка осуществляется  по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пункту 4 части 1 статьи 93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 Федерального закона "О контрактной системе в сфере закупок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товаров, работ, услуг для обеспечения государственных и муниципальных нужд" от 05.04.2013 № 44-ФЗ по времени поступления ценового предложения, а также по цене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предложенной Источником № 3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при соблюдении следующего условия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  <w:p>
            <w:pPr>
              <w:pStyle w:val="701"/>
              <w:numPr>
                <w:ilvl w:val="0"/>
                <w:numId w:val="5"/>
              </w:numPr>
              <w:contextualSpacing/>
              <w:ind w:left="0" w:right="0" w:firstLine="0"/>
              <w:jc w:val="left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/>
                <w:bCs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  <w:lang w:val="ru-RU"/>
              </w:rPr>
              <w:t xml:space="preserve">При осуществлении закупки с определенным участником + НМЦК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</w:rPr>
            </w:r>
          </w:p>
          <w:p>
            <w:pPr>
              <w:pStyle w:val="701"/>
              <w:numPr>
                <w:ilvl w:val="0"/>
                <w:numId w:val="3"/>
              </w:numPr>
              <w:ind w:left="0" w:righ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 после проверки НМЦК посредством проведения Закупочной сессии на Официальном сайте единого агрегатора торговли (ЕАТ) (</w:t>
            </w: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https://agregatoreat.ru</w:t>
            </w: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) в случае отсутствия Победителя</w:t>
            </w:r>
            <w:r>
              <w:rPr>
                <w:rStyle w:val="846"/>
                <w:rFonts w:ascii="Times New Roman" w:hAnsi="Times New Roman" w:eastAsia="Times New Roman" w:cs="Times New Roman"/>
                <w:highlight w:val="white"/>
                <w:lang w:val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 по результатам формирования Итогового протокола такой сессии 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  <w:lang w:val="ru-RU"/>
              </w:rPr>
              <w:t xml:space="preserve">в случае наличия Победителя 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  <w:lang w:val="ru-RU"/>
              </w:rPr>
              <w:t xml:space="preserve">по результатам формирования Итогового протокола Закупочной сессии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  <w:lang w:val="ru-RU"/>
              </w:rPr>
              <w:t xml:space="preserve">, контракт заключается по цене предложенной Победителем Закупочной сессии при условии, что такая цена ниже предложенной Источником №3</w:t>
            </w: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/>
                <w:bCs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lang w:val="en-US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  <w:lang w:val="ru-RU"/>
              </w:rPr>
              <w:t xml:space="preserve">При осуществлении Закупочной сессии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</w:rPr>
            </w:r>
          </w:p>
          <w:p>
            <w:pPr>
              <w:pStyle w:val="701"/>
              <w:numPr>
                <w:ilvl w:val="0"/>
                <w:numId w:val="6"/>
              </w:numPr>
              <w:ind w:left="0" w:righ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 случае отсутствия в Итоговом протоколе сведений о Победителе Закупочной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сессии </w:t>
            </w: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  <w:lang w:val="ru-RU"/>
              </w:rPr>
              <w:t xml:space="preserve">в случае наличия Победителя 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  <w:lang w:val="ru-RU"/>
              </w:rPr>
              <w:t xml:space="preserve">по результатам формирования Итогового протокола Закупочной сессии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  <w:lang w:val="ru-RU"/>
              </w:rPr>
              <w:t xml:space="preserve">, контракт заключается по цене предложенной Победителем Закупочной сессии при условии, что такая цена ниже предложенной Источником №3</w:t>
            </w:r>
            <w:r>
              <w:rPr>
                <w:rFonts w:ascii="Times New Roman" w:hAnsi="Times New Roman" w:eastAsia="Times New Roman" w:cs="Times New Roman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426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Консультант</w:t>
      </w:r>
      <w:r>
        <w:rPr>
          <w:rFonts w:ascii="Times New Roman" w:hAnsi="Times New Roman" w:cs="Times New Roman"/>
        </w:rPr>
        <w:t xml:space="preserve"> по закупкам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 </w:t>
      </w:r>
      <w:r>
        <w:rPr>
          <w:rFonts w:ascii="Times New Roman" w:hAnsi="Times New Roman" w:cs="Times New Roman"/>
        </w:rPr>
        <w:t xml:space="preserve">Мухин П.П.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sectPr>
      <w:footnotePr/>
      <w:endnotePr/>
      <w:type w:val="nextPage"/>
      <w:pgSz w:w="16838" w:h="11906" w:orient="landscape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44"/>
      </w:pPr>
      <w:r>
        <w:rPr>
          <w:rStyle w:val="846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Style w:val="846"/>
          <w:rFonts w:ascii="Times New Roman" w:hAnsi="Times New Roman" w:eastAsia="Times New Roman" w:cs="Times New Roman"/>
          <w:vertAlign w:val="baseline"/>
        </w:rPr>
        <w:t xml:space="preserve">  </w:t>
      </w:r>
      <w:r>
        <w:rPr>
          <w:rFonts w:ascii="Times New Roman" w:hAnsi="Times New Roman" w:eastAsia="Times New Roman" w:cs="Times New Roman"/>
        </w:rPr>
        <w:t xml:space="preserve">П</w:t>
      </w:r>
      <w:r>
        <w:rPr>
          <w:rFonts w:ascii="Times New Roman" w:hAnsi="Times New Roman" w:eastAsia="Times New Roman" w:cs="Times New Roman"/>
        </w:rPr>
        <w:t xml:space="preserve">обедитель Закупочной сессии – участник закупки, имеющий лучшее ценовое предложение из указанных в Итоговом протоколе.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2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basedOn w:val="862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basedOn w:val="862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basedOn w:val="862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basedOn w:val="862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basedOn w:val="862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basedOn w:val="862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62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62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62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2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2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basedOn w:val="862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basedOn w:val="862"/>
    <w:link w:val="713"/>
    <w:uiPriority w:val="99"/>
  </w:style>
  <w:style w:type="paragraph" w:styleId="715">
    <w:name w:val="Caption"/>
    <w:basedOn w:val="861"/>
    <w:next w:val="861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basedOn w:val="8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62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2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>
    <w:name w:val="Balloon Text"/>
    <w:basedOn w:val="861"/>
    <w:link w:val="86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basedOn w:val="862"/>
    <w:link w:val="86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Теселкин Владимир Андреевич</dc:creator>
  <cp:keywords/>
  <dc:description/>
  <cp:lastModifiedBy>p.mukhin</cp:lastModifiedBy>
  <cp:revision>48</cp:revision>
  <dcterms:created xsi:type="dcterms:W3CDTF">2023-07-23T11:26:00Z</dcterms:created>
  <dcterms:modified xsi:type="dcterms:W3CDTF">2026-05-25T09:16:39Z</dcterms:modified>
</cp:coreProperties>
</file>