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изготовление и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поставку </w:t>
      </w:r>
      <w:r w:rsidR="00FB115B" w:rsidRPr="00FB115B">
        <w:rPr>
          <w:rFonts w:ascii="Times New Roman" w:hAnsi="Times New Roman"/>
          <w:bCs/>
          <w:color w:val="000000"/>
          <w:sz w:val="24"/>
          <w:szCs w:val="24"/>
          <w:lang w:eastAsia="zh-CN"/>
        </w:rPr>
        <w:t>мягкого инвентаря, указанного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850"/>
        <w:gridCol w:w="851"/>
        <w:gridCol w:w="1559"/>
        <w:gridCol w:w="1417"/>
      </w:tblGrid>
      <w:tr w:rsidR="00204406" w:rsidTr="00204406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204406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F55E9C" w:rsidRDefault="00B422CA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Подушка 50*70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9C33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9C3368">
              <w:rPr>
                <w:rFonts w:ascii="Times New Roman" w:hAnsi="Times New Roman"/>
                <w:bCs/>
                <w:color w:val="000000"/>
                <w:lang w:eastAsia="zh-CN"/>
              </w:rPr>
              <w:t>13.92.24.140-00000002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B422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</w:t>
            </w:r>
            <w:r w:rsidR="00204406">
              <w:rPr>
                <w:rFonts w:ascii="Times New Roman" w:hAnsi="Times New Roman"/>
                <w:bCs/>
                <w:color w:val="000000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FB115B">
        <w:trPr>
          <w:trHeight w:val="288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изготовить и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516C9C">
        <w:rPr>
          <w:rFonts w:ascii="Times New Roman" w:hAnsi="Times New Roman"/>
          <w:kern w:val="2"/>
          <w:sz w:val="24"/>
          <w:szCs w:val="24"/>
          <w:lang w:eastAsia="zh-CN"/>
        </w:rPr>
        <w:t>1</w:t>
      </w:r>
      <w:r w:rsidR="00204406">
        <w:rPr>
          <w:rFonts w:ascii="Times New Roman" w:hAnsi="Times New Roman"/>
          <w:kern w:val="2"/>
          <w:sz w:val="24"/>
          <w:szCs w:val="24"/>
          <w:lang w:eastAsia="zh-CN"/>
        </w:rPr>
        <w:t>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204406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>даты утверждения Заказчиком образцов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 Товара (в соответствии с Приложением №1 к Контракту)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lastRenderedPageBreak/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требованиям ГОСТов, ТУ и нормативных актов, а также некомплектный Товар считается непоставленным.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Договора,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bookmarkStart w:id="1" w:name="_GoBack"/>
      <w:bookmarkEnd w:id="1"/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204406">
        <w:rPr>
          <w:rFonts w:ascii="Times New Roman" w:hAnsi="Times New Roman"/>
          <w:sz w:val="24"/>
          <w:szCs w:val="24"/>
          <w:lang w:eastAsia="ru-RU"/>
        </w:rPr>
        <w:t>7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Контракт заключен Сторонами с использованием единого агрегатора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(«Контур.Диадок»,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B422CA" w:rsidRPr="00B422CA" w:rsidRDefault="00B422CA" w:rsidP="00B422C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B422CA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ОПИСАНИЕ ОБЪЕКТА ЗАКУПКИ</w:t>
      </w:r>
    </w:p>
    <w:p w:rsidR="00B422CA" w:rsidRPr="00B422CA" w:rsidRDefault="00B422CA" w:rsidP="00B422CA">
      <w:pPr>
        <w:jc w:val="center"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>на изготовление и поставку подушек, для нужд ФБЛПУ «Санаторий «Радуга» ФНС России»</w:t>
      </w:r>
    </w:p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b/>
          <w:color w:val="00000A"/>
        </w:rPr>
        <w:t>Место и время поставки товара.</w:t>
      </w:r>
    </w:p>
    <w:p w:rsidR="00B422CA" w:rsidRPr="00B422CA" w:rsidRDefault="00B422CA" w:rsidP="00B422CA">
      <w:pPr>
        <w:spacing w:after="0"/>
        <w:contextualSpacing/>
        <w:jc w:val="both"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12:48часов.</w:t>
      </w:r>
    </w:p>
    <w:p w:rsidR="00B422CA" w:rsidRPr="00B422CA" w:rsidRDefault="00B422CA" w:rsidP="00B422CA">
      <w:pPr>
        <w:spacing w:after="0"/>
        <w:jc w:val="both"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>Поставка подушек (далее – Товар) осуществляется только после согласования с Заказчиком.</w:t>
      </w:r>
    </w:p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b/>
          <w:color w:val="00000A"/>
        </w:rPr>
        <w:t>Срок изготовления и поставки товара.</w:t>
      </w:r>
    </w:p>
    <w:p w:rsidR="00B422CA" w:rsidRPr="00B422CA" w:rsidRDefault="00B422CA" w:rsidP="00B422CA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 xml:space="preserve">В течение пяти рабочих дней после подписания Контракта, Поставщик предоставляет Заказчику для утверждения образцы изделий. Проверка образца изделия производится в прачечной Заказчика. </w:t>
      </w:r>
    </w:p>
    <w:p w:rsidR="00B422CA" w:rsidRPr="00B422CA" w:rsidRDefault="00B422CA" w:rsidP="00B422CA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 xml:space="preserve">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Заказчику. </w:t>
      </w:r>
    </w:p>
    <w:p w:rsidR="00B422CA" w:rsidRPr="00B422CA" w:rsidRDefault="00B422CA" w:rsidP="00B422CA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 xml:space="preserve">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</w:t>
      </w:r>
    </w:p>
    <w:p w:rsidR="00B422CA" w:rsidRPr="00B422CA" w:rsidRDefault="00B422CA" w:rsidP="00B422CA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B422CA">
        <w:rPr>
          <w:rFonts w:ascii="Times New Roman" w:eastAsia="Calibri" w:hAnsi="Times New Roman"/>
          <w:color w:val="00000A"/>
        </w:rPr>
        <w:t>Поставка товара осуществляется  в течение  14 (четырнадцати) календарных дней с даты утверждения образцов Заказчиком.</w:t>
      </w:r>
    </w:p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lang w:eastAsia="ru-RU"/>
        </w:rPr>
      </w:pPr>
      <w:r w:rsidRPr="00B422CA">
        <w:rPr>
          <w:rFonts w:ascii="Times New Roman" w:hAnsi="Times New Roman"/>
          <w:b/>
          <w:bCs/>
          <w:color w:val="000000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ascii="Times New Roman" w:eastAsia="Andale Sans UI" w:hAnsi="Times New Roman"/>
          <w:kern w:val="2"/>
          <w:lang w:eastAsia="ja-JP" w:bidi="fa-IR"/>
        </w:rPr>
        <w:alias w:val="table"/>
        <w:tag w:val="table"/>
        <w:id w:val="147453450"/>
        <w:placeholder>
          <w:docPart w:val="6659B01CFA3C4E74901E40A5E3E57707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1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82"/>
            <w:gridCol w:w="1681"/>
            <w:gridCol w:w="1701"/>
            <w:gridCol w:w="3015"/>
            <w:gridCol w:w="2372"/>
            <w:gridCol w:w="1276"/>
            <w:gridCol w:w="2419"/>
            <w:gridCol w:w="1096"/>
            <w:gridCol w:w="992"/>
          </w:tblGrid>
          <w:tr w:rsidR="00B422CA" w:rsidRPr="00B422CA" w:rsidTr="00840A3B">
            <w:trPr>
              <w:trHeight w:val="131"/>
            </w:trPr>
            <w:tc>
              <w:tcPr>
                <w:tcW w:w="582" w:type="dxa"/>
                <w:vMerge w:val="restart"/>
                <w:shd w:val="clear" w:color="auto" w:fill="auto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№ п/п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701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Код</w:t>
                </w:r>
                <w:r w:rsidRPr="00B422CA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 xml:space="preserve"> </w:t>
                </w: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товара</w:t>
                </w:r>
                <w:r w:rsidRPr="00B422CA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,</w:t>
                </w:r>
                <w:r w:rsidRPr="00B422CA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br/>
                  <w:t xml:space="preserve">работы, услуги по </w:t>
                </w: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082" w:type="dxa"/>
                <w:gridSpan w:val="4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Ед. изм.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Кол-во</w:t>
                </w:r>
              </w:p>
            </w:tc>
          </w:tr>
          <w:tr w:rsidR="00B422CA" w:rsidRPr="00B422CA" w:rsidTr="00840A3B">
            <w:trPr>
              <w:trHeight w:val="980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Наименование характеристики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Значение характеристики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Единица измерения характеристики</w:t>
                </w:r>
              </w:p>
            </w:tc>
            <w:tc>
              <w:tcPr>
                <w:tcW w:w="2419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 w:val="restart"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2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lang w:val="en-US" w:eastAsia="zh-CN" w:bidi="hi-IN"/>
                </w:rPr>
                <w:alias w:val="positionName"/>
                <w:tag w:val="positionName"/>
                <w:id w:val="147452927"/>
                <w:placeholder>
                  <w:docPart w:val="A3D667B6DFF5473480BD2E5E795D72E7"/>
                </w:placeholder>
              </w:sdtPr>
              <w:sdtEndPr/>
              <w:sdtContent>
                <w:tc>
                  <w:tcPr>
                    <w:tcW w:w="1681" w:type="dxa"/>
                    <w:vMerge w:val="restart"/>
                    <w:shd w:val="clear" w:color="auto" w:fill="auto"/>
                  </w:tcPr>
                  <w:p w:rsidR="00B422CA" w:rsidRPr="00B422CA" w:rsidRDefault="00B422CA" w:rsidP="00B422CA">
                    <w:pPr>
                      <w:widowControl w:val="0"/>
                      <w:suppressAutoHyphens/>
                      <w:snapToGrid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Andale Sans UI" w:hAnsi="Times New Roman"/>
                        <w:kern w:val="2"/>
                        <w:lang w:eastAsia="ja-JP" w:bidi="fa-IR"/>
                      </w:rPr>
                    </w:pPr>
                    <w:r w:rsidRPr="00B422CA">
                      <w:rPr>
                        <w:rFonts w:ascii="Times New Roman" w:hAnsi="Times New Roman"/>
                        <w:color w:val="000000"/>
                        <w:kern w:val="2"/>
                        <w:lang w:val="en-US" w:eastAsia="zh-CN" w:bidi="hi-IN"/>
                      </w:rPr>
                      <w:t>Подушка</w:t>
                    </w:r>
                    <w:r>
                      <w:rPr>
                        <w:rFonts w:ascii="Times New Roman" w:hAnsi="Times New Roman"/>
                        <w:color w:val="000000"/>
                        <w:kern w:val="2"/>
                        <w:lang w:eastAsia="zh-CN" w:bidi="hi-IN"/>
                      </w:rPr>
                      <w:t xml:space="preserve"> 50*70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lang w:val="en-US" w:eastAsia="zh-CN" w:bidi="hi-IN"/>
                </w:rPr>
                <w:alias w:val="positionCode"/>
                <w:tag w:val="positionCode"/>
                <w:id w:val="147452882"/>
                <w:placeholder>
                  <w:docPart w:val="D15D29189FCA48EF86D54812FFD42D55"/>
                </w:placeholder>
              </w:sdtPr>
              <w:sdtEndPr/>
              <w:sdtContent>
                <w:tc>
                  <w:tcPr>
                    <w:tcW w:w="1701" w:type="dxa"/>
                    <w:vMerge w:val="restart"/>
                  </w:tcPr>
                  <w:p w:rsidR="00B422CA" w:rsidRPr="00B422CA" w:rsidRDefault="00B422CA" w:rsidP="00B422CA">
                    <w:pPr>
                      <w:widowControl w:val="0"/>
                      <w:suppressAutoHyphens/>
                      <w:snapToGrid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Andale Sans UI" w:hAnsi="Times New Roman"/>
                        <w:kern w:val="2"/>
                        <w:lang w:eastAsia="ja-JP" w:bidi="fa-IR"/>
                      </w:rPr>
                    </w:pPr>
                    <w:r w:rsidRPr="00B422CA">
                      <w:rPr>
                        <w:rFonts w:ascii="Times New Roman" w:hAnsi="Times New Roman"/>
                        <w:color w:val="000000"/>
                        <w:kern w:val="2"/>
                        <w:lang w:val="en-US" w:eastAsia="zh-CN" w:bidi="hi-IN"/>
                      </w:rPr>
                      <w:t>13.92.24.140-00000002</w:t>
                    </w:r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lang w:val="en-US" w:eastAsia="zh-CN" w:bidi="hi-IN"/>
                </w:rPr>
                <w:alias w:val="positionCharName"/>
                <w:tag w:val="positionCharName"/>
                <w:id w:val="147452836"/>
                <w:placeholder>
                  <w:docPart w:val="7CAF72349BCB40EAB3A217218B75F0B1"/>
                </w:placeholder>
              </w:sdtPr>
              <w:sdtEndPr/>
              <w:sdtContent>
                <w:tc>
                  <w:tcPr>
                    <w:tcW w:w="3015" w:type="dxa"/>
                  </w:tcPr>
                  <w:p w:rsidR="00B422CA" w:rsidRPr="00B422CA" w:rsidRDefault="00B422CA" w:rsidP="00B422CA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lang w:eastAsia="zh-CN" w:bidi="hi-IN"/>
                      </w:rPr>
                    </w:pPr>
                    <w:r w:rsidRPr="00B422CA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lang w:val="en-US" w:eastAsia="zh-CN" w:bidi="hi-IN"/>
                      </w:rPr>
                      <w:t>Тип наполнителя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lang w:val="en-US" w:eastAsia="zh-CN" w:bidi="hi-IN"/>
                </w:rPr>
                <w:alias w:val="positionCharValue"/>
                <w:tag w:val="positionCharValue"/>
                <w:id w:val="147452771"/>
                <w:placeholder>
                  <w:docPart w:val="1A198CA4801B42E1AAD4214ACF07FEAB"/>
                </w:placeholder>
              </w:sdtPr>
              <w:sdtEndPr/>
              <w:sdtContent>
                <w:tc>
                  <w:tcPr>
                    <w:tcW w:w="2372" w:type="dxa"/>
                  </w:tcPr>
                  <w:p w:rsidR="00B422CA" w:rsidRPr="00B422CA" w:rsidRDefault="00B422CA" w:rsidP="00B422CA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lang w:eastAsia="zh-CN" w:bidi="hi-IN"/>
                      </w:rPr>
                    </w:pPr>
                    <w:r w:rsidRPr="00B422CA">
                      <w:rPr>
                        <w:rFonts w:ascii="Times New Roman" w:hAnsi="Times New Roman"/>
                        <w:color w:val="000000"/>
                        <w:kern w:val="2"/>
                        <w:lang w:val="en-US" w:eastAsia="zh-CN" w:bidi="hi-IN"/>
                      </w:rPr>
                      <w:t>иску</w:t>
                    </w:r>
                    <w:r w:rsidRPr="00B422CA">
                      <w:rPr>
                        <w:rFonts w:ascii="Times New Roman" w:hAnsi="Times New Roman"/>
                        <w:color w:val="000000"/>
                        <w:kern w:val="2"/>
                        <w:lang w:eastAsia="zh-CN" w:bidi="hi-IN"/>
                      </w:rPr>
                      <w:t>с</w:t>
                    </w:r>
                    <w:r w:rsidRPr="00B422CA">
                      <w:rPr>
                        <w:rFonts w:ascii="Times New Roman" w:hAnsi="Times New Roman"/>
                        <w:color w:val="000000"/>
                        <w:kern w:val="2"/>
                        <w:lang w:val="en-US" w:eastAsia="zh-CN" w:bidi="hi-IN"/>
                      </w:rPr>
                      <w:t>ственный</w:t>
                    </w:r>
                  </w:p>
                </w:tc>
              </w:sdtContent>
            </w:sdt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штука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60</w:t>
                </w: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Длина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70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Ширина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50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Размер 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70*50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для наволочек размером  50х70 см используемых Заказчиком  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Чехол подушки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съемный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1"/>
                    <w:lang w:eastAsia="ru-RU" w:bidi="hi-IN"/>
                  </w:rPr>
                  <w:t xml:space="preserve"> 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Цвет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Материал чехла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микрофибра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  <w:t>для безопасности и не допущения возможных аллергических реакций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1"/>
                    <w:lang w:eastAsia="ru-RU" w:bidi="hi-IN"/>
                  </w:rPr>
                  <w:t>большой срок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Плотность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90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6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rPr>
                    <w:rFonts w:ascii="Times New Roman" w:eastAsia="Calibri" w:hAnsi="Times New Roman" w:cstheme="minorBidi"/>
                    <w:color w:val="00000A"/>
                  </w:rPr>
                </w:pPr>
                <w:r w:rsidRPr="00B422CA">
                  <w:rPr>
                    <w:rFonts w:ascii="Times New Roman" w:eastAsia="Calibri" w:hAnsi="Times New Roman" w:cstheme="minorBidi"/>
                    <w:color w:val="00000A"/>
                  </w:rPr>
                  <w:t>для длительного сохранения информации правильного ухода за изделиями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</w:pPr>
                <w:r w:rsidRPr="00B422CA">
                  <w:rPr>
                    <w:rFonts w:ascii="Times New Roman" w:eastAsia="Calibri" w:hAnsi="Times New Roman" w:cstheme="minorBidi"/>
                    <w:color w:val="00000A"/>
                  </w:rPr>
                  <w:t>информация о дате ввода в эксплуатацию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6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жаккард</w:t>
                </w:r>
              </w:p>
            </w:tc>
            <w:tc>
              <w:tcPr>
                <w:tcW w:w="1276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1"/>
                    <w:lang w:eastAsia="ar-SA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Вид наполнителя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силиконизированное полиэфирное волокно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hAnsi="Times New Roman"/>
                    <w:kern w:val="1"/>
                    <w:lang w:eastAsia="ar-SA"/>
                  </w:rPr>
                  <w:t>для безопасности и не допущения возможных аллергических реакций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 xml:space="preserve">Плотность 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100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 xml:space="preserve">Вид стежки 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ромб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 xml:space="preserve">Размер ромба, см 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5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Наполнитель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 xml:space="preserve"> </w:t>
                </w: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- </w:t>
                </w: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искусственный лебяжий пух (высокосиликонизированное полиэфирное микроволокно).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>не вызывает аллергических реакций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>не сбивается в комки при частых стирках,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>не создает условий для появления пылевых клещей, плесени и грибков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Вес наполнителя</w:t>
                </w: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800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грамм</w:t>
                </w:r>
              </w:p>
            </w:tc>
            <w:tc>
              <w:tcPr>
                <w:tcW w:w="2419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степени жесткости, необходимой для комфортного сна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B422CA">
            <w:trPr>
              <w:trHeight w:val="661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Потайная молния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длина 50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удобства снятия чехла на время стирки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Чехол для наполнителя: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B422CA">
            <w:trPr>
              <w:trHeight w:val="27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Материал </w:t>
                </w:r>
              </w:p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спандбонд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Плотность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30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B422CA" w:rsidRPr="00B422CA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B422CA">
                  <w:rPr>
                    <w:rFonts w:ascii="Times New Roman" w:eastAsia="Lucida Sans Unicode" w:hAnsi="Times New Roman" w:cs="Mangal"/>
                    <w:color w:val="00000A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:rsidR="00B422CA" w:rsidRPr="00B422CA" w:rsidRDefault="00F50C2F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B422CA" w:rsidRPr="00B422CA" w:rsidRDefault="00B422CA" w:rsidP="00B422CA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B422CA" w:rsidRPr="00B422CA" w:rsidRDefault="00B422CA" w:rsidP="00B422CA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</w:tbl>
      </w:sdtContent>
    </w:sdt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B422CA">
        <w:rPr>
          <w:rFonts w:ascii="Times New Roman" w:hAnsi="Times New Roman"/>
          <w:b/>
          <w:lang w:val="en-US" w:eastAsia="ru-RU"/>
        </w:rPr>
        <w:t>Требования к поставке товара.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 г. 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lang w:val="en-US" w:eastAsia="ru-RU"/>
        </w:rPr>
      </w:pPr>
      <w:r w:rsidRPr="00B422CA">
        <w:rPr>
          <w:rFonts w:ascii="Times New Roman" w:hAnsi="Times New Roman"/>
          <w:b/>
          <w:bCs/>
          <w:lang w:val="en-US" w:eastAsia="ru-RU"/>
        </w:rPr>
        <w:t>Требования к качеству товара</w:t>
      </w:r>
    </w:p>
    <w:p w:rsidR="00B422CA" w:rsidRPr="00B422CA" w:rsidRDefault="00B422CA" w:rsidP="00B422CA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ab/>
        <w:t xml:space="preserve">Продукция должна быть изготовлена из материалов, безопасных для здоровья пользователя. 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B422CA">
        <w:rPr>
          <w:rFonts w:ascii="Times New Roman" w:hAnsi="Times New Roman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B422CA" w:rsidRPr="00B422CA" w:rsidRDefault="00B422CA" w:rsidP="00B422CA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B422CA">
        <w:rPr>
          <w:rFonts w:ascii="Times New Roman" w:hAnsi="Times New Roman"/>
          <w:b/>
          <w:lang w:eastAsia="ru-RU"/>
        </w:rPr>
        <w:t xml:space="preserve"> Гарантийный срок.</w:t>
      </w:r>
    </w:p>
    <w:p w:rsidR="00FB51C4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shd w:val="clear" w:color="auto" w:fill="FFFFFF"/>
          <w:lang w:eastAsia="zh-CN"/>
        </w:rPr>
      </w:pPr>
      <w:r w:rsidRPr="00B422CA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подписания договора. Предоставление гарантии осуществляется вместе с товаром. </w:t>
      </w:r>
      <w:r w:rsidRPr="00B422CA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shd w:val="clear" w:color="auto" w:fill="FFFFFF"/>
          <w:lang w:eastAsia="zh-CN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9C" w:rsidRDefault="00F55E9C" w:rsidP="00202AFF">
      <w:pPr>
        <w:spacing w:after="0" w:line="240" w:lineRule="auto"/>
      </w:pPr>
      <w:r>
        <w:separator/>
      </w:r>
    </w:p>
  </w:endnote>
  <w:end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9C" w:rsidRDefault="00F55E9C" w:rsidP="00202AFF">
      <w:pPr>
        <w:spacing w:after="0" w:line="240" w:lineRule="auto"/>
      </w:pPr>
      <w:r>
        <w:separator/>
      </w:r>
    </w:p>
  </w:footnote>
  <w:foot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9C" w:rsidRDefault="00F55E9C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9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30563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13A9C"/>
    <w:rsid w:val="0021784B"/>
    <w:rsid w:val="00232F97"/>
    <w:rsid w:val="00273DA2"/>
    <w:rsid w:val="002A4E0D"/>
    <w:rsid w:val="002B5F67"/>
    <w:rsid w:val="002B63F8"/>
    <w:rsid w:val="002C1256"/>
    <w:rsid w:val="002C7FCC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EED"/>
    <w:rsid w:val="005E5B7E"/>
    <w:rsid w:val="005F5503"/>
    <w:rsid w:val="00615942"/>
    <w:rsid w:val="00617CD8"/>
    <w:rsid w:val="00621D57"/>
    <w:rsid w:val="006472FF"/>
    <w:rsid w:val="0065430E"/>
    <w:rsid w:val="00682002"/>
    <w:rsid w:val="00693E55"/>
    <w:rsid w:val="0069609D"/>
    <w:rsid w:val="006E18EE"/>
    <w:rsid w:val="006F64F3"/>
    <w:rsid w:val="00701564"/>
    <w:rsid w:val="00710F85"/>
    <w:rsid w:val="007261B1"/>
    <w:rsid w:val="007311CD"/>
    <w:rsid w:val="007916CC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9C3368"/>
    <w:rsid w:val="00A30C2A"/>
    <w:rsid w:val="00A37E3C"/>
    <w:rsid w:val="00A44819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0C2F"/>
    <w:rsid w:val="00F55E9C"/>
    <w:rsid w:val="00F56F05"/>
    <w:rsid w:val="00F64F00"/>
    <w:rsid w:val="00F75393"/>
    <w:rsid w:val="00F905AA"/>
    <w:rsid w:val="00F908C4"/>
    <w:rsid w:val="00F96E68"/>
    <w:rsid w:val="00FA1A56"/>
    <w:rsid w:val="00FB115B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59B01CFA3C4E74901E40A5E3E57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86E46-18FF-4822-8777-A240E9EA83B4}"/>
      </w:docPartPr>
      <w:docPartBody>
        <w:p w:rsidR="0052021D" w:rsidRDefault="00A80BC7" w:rsidP="00A80BC7">
          <w:pPr>
            <w:pStyle w:val="6659B01CFA3C4E74901E40A5E3E577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D667B6DFF5473480BD2E5E795D7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C0798-3230-4094-BB35-03A7FD77347B}"/>
      </w:docPartPr>
      <w:docPartBody>
        <w:p w:rsidR="0052021D" w:rsidRDefault="00A80BC7" w:rsidP="00A80BC7">
          <w:pPr>
            <w:pStyle w:val="A3D667B6DFF5473480BD2E5E795D72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5D29189FCA48EF86D54812FFD42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6AF7A-82DF-414B-9790-A2A4CEF5E049}"/>
      </w:docPartPr>
      <w:docPartBody>
        <w:p w:rsidR="0052021D" w:rsidRDefault="00A80BC7" w:rsidP="00A80BC7">
          <w:pPr>
            <w:pStyle w:val="D15D29189FCA48EF86D54812FFD42D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AF72349BCB40EAB3A217218B75F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8B029-6566-4CF6-9699-850A0B38B3FE}"/>
      </w:docPartPr>
      <w:docPartBody>
        <w:p w:rsidR="0052021D" w:rsidRDefault="00A80BC7" w:rsidP="00A80BC7">
          <w:pPr>
            <w:pStyle w:val="7CAF72349BCB40EAB3A217218B75F0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198CA4801B42E1AAD4214ACF07F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E1DFD-34A7-4BC5-919A-E2E8F9D97DDA}"/>
      </w:docPartPr>
      <w:docPartBody>
        <w:p w:rsidR="0052021D" w:rsidRDefault="00A80BC7" w:rsidP="00A80BC7">
          <w:pPr>
            <w:pStyle w:val="1A198CA4801B42E1AAD4214ACF07FEAB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8"/>
    <w:rsid w:val="0052021D"/>
    <w:rsid w:val="00A80BC7"/>
    <w:rsid w:val="00E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679E7E496B436B8A79EB2534F351A6">
    <w:name w:val="6C679E7E496B436B8A79EB2534F351A6"/>
    <w:rsid w:val="00E70D18"/>
  </w:style>
  <w:style w:type="paragraph" w:customStyle="1" w:styleId="6659B01CFA3C4E74901E40A5E3E57707">
    <w:name w:val="6659B01CFA3C4E74901E40A5E3E57707"/>
    <w:rsid w:val="00A80BC7"/>
  </w:style>
  <w:style w:type="paragraph" w:customStyle="1" w:styleId="A3D667B6DFF5473480BD2E5E795D72E7">
    <w:name w:val="A3D667B6DFF5473480BD2E5E795D72E7"/>
    <w:rsid w:val="00A80BC7"/>
  </w:style>
  <w:style w:type="paragraph" w:customStyle="1" w:styleId="D15D29189FCA48EF86D54812FFD42D55">
    <w:name w:val="D15D29189FCA48EF86D54812FFD42D55"/>
    <w:rsid w:val="00A80BC7"/>
  </w:style>
  <w:style w:type="paragraph" w:customStyle="1" w:styleId="7CAF72349BCB40EAB3A217218B75F0B1">
    <w:name w:val="7CAF72349BCB40EAB3A217218B75F0B1"/>
    <w:rsid w:val="00A80BC7"/>
  </w:style>
  <w:style w:type="paragraph" w:customStyle="1" w:styleId="1A198CA4801B42E1AAD4214ACF07FEAB">
    <w:name w:val="1A198CA4801B42E1AAD4214ACF07FEAB"/>
    <w:rsid w:val="00A8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8660-0DDC-49AF-BCAC-B7064A3E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16</cp:revision>
  <cp:lastPrinted>2026-05-18T12:37:00Z</cp:lastPrinted>
  <dcterms:created xsi:type="dcterms:W3CDTF">2025-05-23T08:06:00Z</dcterms:created>
  <dcterms:modified xsi:type="dcterms:W3CDTF">2026-05-19T05:12:00Z</dcterms:modified>
</cp:coreProperties>
</file>