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3"/>
        <w:rPr/>
      </w:pPr>
      <w:r>
        <w:rPr>
          <w:rStyle w:val="Ikzvalue"/>
          <w:rFonts w:eastAsia="PT Astra Serif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 xml:space="preserve">Приложение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3"/>
        <w:rPr/>
      </w:pPr>
      <w:r>
        <w:rPr>
          <w:rStyle w:val="Ikzvalue"/>
          <w:rFonts w:eastAsia="PT Astra Serif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к объявлению о закупке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rFonts w:ascii="PT Astra Serif;Times New Roman" w:hAnsi="PT Astra Serif;Times New Roman" w:eastAsia="Calibri" w:cs="Times New Roman"/>
          <w:b/>
          <w:b/>
          <w:caps/>
          <w:color w:val="000000"/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b/>
          <w:caps/>
          <w:color w:val="000000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3"/>
        <w:rPr>
          <w:rFonts w:ascii="PT Astra Serif;Times New Roman" w:hAnsi="PT Astra Serif;Times New Roman"/>
          <w:sz w:val="20"/>
          <w:szCs w:val="20"/>
        </w:rPr>
      </w:pPr>
      <w:r>
        <w:rPr>
          <w:rFonts w:eastAsia="Calibri" w:cs="Times New Roman" w:ascii="PT Astra Serif;Times New Roman" w:hAnsi="PT Astra Serif;Times New Roman"/>
          <w:b/>
          <w:caps/>
          <w:color w:val="000000"/>
          <w:sz w:val="20"/>
          <w:szCs w:val="20"/>
        </w:rPr>
        <w:t xml:space="preserve">ОБОСНОВАНИЕ НАЧАЛЬНОЙ (МАКСИМАЛЬНОЙ) </w:t>
      </w:r>
      <w:r>
        <w:rPr>
          <w:rFonts w:eastAsia="Calibri" w:cs="Times New Roman" w:ascii="PT Astra Serif;Times New Roman" w:hAnsi="PT Astra Serif;Times New Roman"/>
          <w:b/>
          <w:bCs/>
          <w:caps/>
          <w:color w:val="000000"/>
          <w:sz w:val="20"/>
          <w:szCs w:val="20"/>
        </w:rPr>
        <w:t>ЦЕНЫ КОНТРАКТА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sz w:val="20"/>
          <w:szCs w:val="20"/>
        </w:rPr>
      </w:pPr>
      <w:r>
        <w:rPr>
          <w:rFonts w:cs="PT Astra Serif" w:ascii="PT Astra Serif;Times New Roman" w:hAnsi="PT Astra Serif;Times New Roman"/>
          <w:b/>
          <w:sz w:val="20"/>
          <w:szCs w:val="20"/>
        </w:rPr>
        <w:t xml:space="preserve">на оказание услуг по </w:t>
      </w:r>
      <w:r>
        <w:rPr>
          <w:rFonts w:eastAsia="Calibri" w:cs="PT Astra Serif" w:ascii="PT Astra Serif;Times New Roman" w:hAnsi="PT Astra Serif;Times New Roman"/>
          <w:b/>
          <w:color w:val="auto"/>
          <w:kern w:val="0"/>
          <w:sz w:val="20"/>
          <w:szCs w:val="20"/>
          <w:lang w:val="ru-RU" w:eastAsia="en-US" w:bidi="ar-SA"/>
        </w:rPr>
        <w:t xml:space="preserve">продлению лицензий на ранее закупленный программный комплекс 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sz w:val="20"/>
          <w:szCs w:val="20"/>
        </w:rPr>
      </w:pPr>
      <w:r>
        <w:rPr>
          <w:rFonts w:eastAsia="Calibri" w:cs="PT Astra Serif" w:ascii="PT Astra Serif;Times New Roman" w:hAnsi="PT Astra Serif;Times New Roman"/>
          <w:b/>
          <w:color w:val="auto"/>
          <w:kern w:val="0"/>
          <w:sz w:val="20"/>
          <w:szCs w:val="20"/>
          <w:lang w:val="ru-RU" w:eastAsia="en-US" w:bidi="ar-SA"/>
        </w:rPr>
        <w:t>«ГРАНД-Смета»</w:t>
      </w:r>
      <w:r>
        <w:rPr>
          <w:rFonts w:cs="PT Astra Serif" w:ascii="PT Astra Serif;Times New Roman" w:hAnsi="PT Astra Serif;Times New Roman"/>
          <w:b/>
          <w:sz w:val="20"/>
          <w:szCs w:val="20"/>
        </w:rPr>
        <w:t xml:space="preserve"> для нужд Главного управления  </w:t>
      </w:r>
      <w:r>
        <w:rPr>
          <w:rFonts w:eastAsia="Calibri" w:cs="PT Astra Serif" w:ascii="PT Astra Serif;Times New Roman" w:hAnsi="PT Astra Serif;Times New Roman"/>
          <w:b/>
          <w:bCs w:val="false"/>
          <w:i w:val="false"/>
          <w:iCs w:val="false"/>
          <w:color w:val="auto"/>
          <w:spacing w:val="0"/>
          <w:kern w:val="0"/>
          <w:sz w:val="20"/>
          <w:szCs w:val="20"/>
          <w:lang w:val="ru-RU" w:eastAsia="ru-RU" w:bidi="ar-SA"/>
        </w:rPr>
        <w:t xml:space="preserve">МЧС России по </w:t>
      </w:r>
      <w:r>
        <w:rPr>
          <w:rFonts w:eastAsia="Calibri" w:cs="PT Astra Serif" w:ascii="PT Astra Serif;Times New Roman" w:hAnsi="PT Astra Serif;Times New Roman"/>
          <w:b/>
          <w:bCs/>
          <w:i w:val="false"/>
          <w:iCs w:val="false"/>
          <w:color w:val="auto"/>
          <w:spacing w:val="0"/>
          <w:kern w:val="0"/>
          <w:sz w:val="20"/>
          <w:szCs w:val="20"/>
          <w:lang w:val="ru-RU" w:eastAsia="ru-RU" w:bidi="ar-SA"/>
        </w:rPr>
        <w:t xml:space="preserve">Республике Мордовия 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Style w:val="Ikzvalue"/>
          <w:rFonts w:eastAsia="PT Astra Serif" w:cs="PT Astra Serif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 xml:space="preserve">Идентификационный код закупки: </w:t>
      </w: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ru-RU" w:bidi="ar-SA"/>
        </w:rPr>
        <w:t>261132619211613280100100270000000000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PT Astra Serif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</w:pPr>
      <w:r>
        <w:rPr>
          <w:rFonts w:eastAsia="PT Astra Serif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</w:r>
    </w:p>
    <w:tbl>
      <w:tblPr>
        <w:tblW w:w="1567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84"/>
        <w:gridCol w:w="2192"/>
        <w:gridCol w:w="194"/>
        <w:gridCol w:w="905"/>
        <w:gridCol w:w="625"/>
        <w:gridCol w:w="1413"/>
        <w:gridCol w:w="1425"/>
        <w:gridCol w:w="1687"/>
        <w:gridCol w:w="1149"/>
        <w:gridCol w:w="1470"/>
        <w:gridCol w:w="1428"/>
        <w:gridCol w:w="2601"/>
      </w:tblGrid>
      <w:tr>
        <w:trPr>
          <w:trHeight w:val="23" w:hRule="atLeast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28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PT Astra Serif" w:ascii="PT Astra Serif;Times New Roman" w:hAnsi="PT Astra Serif;Times New Roman"/>
                <w:b w:val="false"/>
                <w:bCs w:val="false"/>
                <w:sz w:val="20"/>
                <w:szCs w:val="20"/>
              </w:rPr>
              <w:t>О</w:t>
            </w:r>
            <w:r>
              <w:rPr>
                <w:rFonts w:cs="PT Astra Serif" w:ascii="PT Astra Serif;Times New Roman" w:hAnsi="PT Astra Serif;Times New Roman"/>
                <w:b w:val="false"/>
                <w:bCs w:val="false"/>
                <w:sz w:val="20"/>
                <w:szCs w:val="20"/>
              </w:rPr>
              <w:t xml:space="preserve">казание услуг по </w:t>
            </w:r>
            <w:r>
              <w:rPr>
                <w:rFonts w:eastAsia="Calibri" w:cs="PT Astra Serif" w:ascii="PT Astra Serif;Times New Roman" w:hAnsi="PT Astra Serif;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продлению лицензий на ранее закупленный программный комплекс </w:t>
            </w:r>
            <w:r>
              <w:rPr>
                <w:rStyle w:val="Style16"/>
                <w:rFonts w:eastAsia="Calibri" w:cs="PT Astra Serif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0"/>
                <w:szCs w:val="20"/>
                <w:highlight w:val="white"/>
                <w:lang w:val="ru-RU" w:eastAsia="en-US" w:bidi="ar-SA"/>
              </w:rPr>
              <w:t>«ГРАНД-Смета»</w:t>
            </w:r>
            <w:r>
              <w:rPr>
                <w:rStyle w:val="Style16"/>
                <w:rFonts w:eastAsia="Calibri" w:cs="PT Astra Serif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 w:themeColor="text1"/>
                <w:spacing w:val="0"/>
                <w:kern w:val="0"/>
                <w:sz w:val="20"/>
                <w:szCs w:val="20"/>
                <w:highlight w:val="white"/>
                <w:lang w:val="ru-RU" w:eastAsia="ar-SA" w:bidi="ar-SA"/>
              </w:rPr>
              <w:t xml:space="preserve"> для нужд Главного управления  </w:t>
            </w:r>
            <w:r>
              <w:rPr>
                <w:rStyle w:val="Style16"/>
                <w:rFonts w:eastAsia="Calibri" w:cs="PT Astra Serif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0"/>
                <w:szCs w:val="20"/>
                <w:highlight w:val="white"/>
                <w:lang w:val="ru-RU" w:eastAsia="ru-RU" w:bidi="ar-SA"/>
              </w:rPr>
              <w:t xml:space="preserve">МЧС России по Республике Мордовия </w:t>
            </w:r>
          </w:p>
          <w:p>
            <w:pPr>
              <w:pStyle w:val="Normal"/>
              <w:tabs>
                <w:tab w:val="clear" w:pos="709"/>
                <w:tab w:val="left" w:pos="720" w:leader="none"/>
              </w:tabs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 xml:space="preserve">Характеристики объекта закупки указаны в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Описании объекта закупки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 xml:space="preserve"> (Приложение 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>№2</w:t>
            </w:r>
            <w:r>
              <w:rPr>
                <w:rFonts w:eastAsia="Calibri" w:cs="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 xml:space="preserve"> к Государственному контракту).</w:t>
            </w:r>
          </w:p>
        </w:tc>
      </w:tr>
      <w:tr>
        <w:trPr>
          <w:trHeight w:val="23" w:hRule="atLeast"/>
        </w:trPr>
        <w:tc>
          <w:tcPr>
            <w:tcW w:w="27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0"/>
                <w:szCs w:val="20"/>
              </w:rPr>
              <w:t>Порядок формирования начальной (максимальной) цены контракта</w:t>
            </w:r>
          </w:p>
        </w:tc>
        <w:tc>
          <w:tcPr>
            <w:tcW w:w="1289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fill="FFFFFF"/>
              <w:tabs>
                <w:tab w:val="left" w:pos="709" w:leader="none"/>
              </w:tabs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7"/>
                <w:rFonts w:eastAsia="Times New Roman"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ru-RU" w:bidi="ar-SA"/>
              </w:rPr>
              <w:t xml:space="preserve">Цена включает в себя стоимость </w:t>
            </w:r>
            <w:r>
              <w:rPr>
                <w:rStyle w:val="Style17"/>
                <w:rFonts w:eastAsia="Times New Roman"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zh-CN" w:bidi="ar-SA"/>
              </w:rPr>
              <w:t>услуг,</w:t>
            </w:r>
            <w:r>
              <w:rPr>
                <w:rStyle w:val="Style17"/>
                <w:rFonts w:eastAsia="Times New Roman"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ru-RU" w:bidi="ar-SA"/>
              </w:rPr>
              <w:t xml:space="preserve"> все расходы, связанные с оказанием услуг в полном объеме, включая транспортные расходы, стоимость расходных материалов, необходимых для надлежащего </w:t>
            </w:r>
            <w:r>
              <w:rPr>
                <w:rStyle w:val="Style17"/>
                <w:rFonts w:eastAsia="Times New Roman"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zh-CN" w:bidi="ar-SA"/>
              </w:rPr>
              <w:t>оказания услуг</w:t>
            </w:r>
            <w:r>
              <w:rPr>
                <w:rStyle w:val="Style17"/>
                <w:rFonts w:eastAsia="Times New Roman" w:cs="PT Astra Serif;Times New Roman" w:ascii="PT Astra Serif;Times New Roman" w:hAnsi="PT Astra Serif;Times New Roman"/>
                <w:bCs/>
                <w:iCs/>
                <w:color w:val="000000"/>
                <w:position w:val="0"/>
                <w:sz w:val="20"/>
                <w:sz w:val="20"/>
                <w:szCs w:val="20"/>
                <w:vertAlign w:val="baseline"/>
                <w:lang w:val="ru-RU" w:eastAsia="ru-RU" w:bidi="ar-SA"/>
              </w:rPr>
              <w:t>, уплату таможенных пошлин, налогов, сборов и других обязательных платежей, а также стоимость всех сопутствующих услуг.</w:t>
            </w:r>
          </w:p>
        </w:tc>
      </w:tr>
      <w:tr>
        <w:trPr>
          <w:trHeight w:val="23" w:hRule="atLeast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Используемый метод определения НМЦК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с обоснованием</w:t>
            </w:r>
          </w:p>
        </w:tc>
        <w:tc>
          <w:tcPr>
            <w:tcW w:w="128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В соответствии с постановлени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ем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Правительства Р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оссийской Федерации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от 23.12.2024 №1875 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— постановление Правительства РФ от 23.12.2024 №1875) 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 xml:space="preserve">особенности определения начальной (максимальной) цены контракта (далее – НМЦК) предусмотренные подпунктом «в» настоящего постановления применяются к позициям 1 — 145 Приложения №1. Закупаемые права использования программного обеспечения 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>включены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 xml:space="preserve"> в позици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>ю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 xml:space="preserve"> 146 Приложения № 1 постановления Правительства РФ от 23.12.2024 №1875.</w:t>
            </w:r>
          </w:p>
          <w:p>
            <w:pPr>
              <w:pStyle w:val="Normal"/>
              <w:spacing w:lineRule="auto" w:line="240" w:before="0" w:after="0"/>
              <w:ind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 xml:space="preserve">В 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>связи с чем, НМЦК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определена методом сопоставимых рыночных цен (анализа рынка), 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</w:t>
            </w:r>
            <w:r>
              <w:rPr>
                <w:rFonts w:cs="" w:ascii="PT Astra Serif;Times New Roman" w:hAnsi="PT Astra Serif;Times New Roman" w:cstheme="majorBidi"/>
                <w:caps/>
                <w:color w:val="000000" w:themeColor="text1"/>
                <w:sz w:val="20"/>
                <w:szCs w:val="20"/>
              </w:rPr>
              <w:t>№ 567 (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далее - Методические рекомендации</w:t>
            </w:r>
            <w:r>
              <w:rPr>
                <w:rFonts w:cs="" w:ascii="PT Astra Serif;Times New Roman" w:hAnsi="PT Astra Serif;Times New Roman" w:cstheme="majorBidi"/>
                <w:caps/>
                <w:color w:val="000000" w:themeColor="text1"/>
                <w:sz w:val="20"/>
                <w:szCs w:val="20"/>
              </w:rPr>
              <w:t>).</w:t>
            </w:r>
          </w:p>
          <w:p>
            <w:pPr>
              <w:pStyle w:val="Normal"/>
              <w:spacing w:lineRule="auto" w:line="240" w:before="0" w:after="0"/>
              <w:ind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В соответствии с пунктом 3.7.1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и 3.7.3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Методических рекомендаций, с целью получения цен</w:t>
            </w:r>
            <w:bookmarkStart w:id="0" w:name="_GoBack"/>
            <w:bookmarkEnd w:id="0"/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овой информации Заказчиком были направлены запросы о предоставлении ценовой информации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исполнителям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обладающим опытом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оказания услуг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, соответствующ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ему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предмету контракта, информация о которых имеется в свободном доступе,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а также исполнителям, информация о которых и о поставленных ими товарах (программных обеспечени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ях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) содержится на официальном сайте единой информационной системы в реестре контрактов, заключенных заказчиками.</w:t>
            </w:r>
          </w:p>
          <w:p>
            <w:pPr>
              <w:pStyle w:val="Normal"/>
              <w:spacing w:lineRule="auto" w:line="240" w:before="0" w:after="0"/>
              <w:ind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В целях определения НМЦК использована ценовая информация, полученная от 3 (трех)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организаций.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ab/>
            </w:r>
          </w:p>
          <w:p>
            <w:pPr>
              <w:pStyle w:val="Normal"/>
              <w:spacing w:lineRule="auto" w:line="240" w:before="0" w:after="0"/>
              <w:ind w:right="34" w:hanging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НМЦК рассчитывается исходя из общего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объема услуг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, требуем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ых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Заказчику, а также ценовой информации полученной Заказчик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ом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 у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организаций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, осуществляющих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оказание таких услуг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, в следующем порядке:</w:t>
            </w:r>
          </w:p>
        </w:tc>
      </w:tr>
      <w:tr>
        <w:trPr>
          <w:trHeight w:val="23" w:hRule="atLeast"/>
        </w:trPr>
        <w:tc>
          <w:tcPr>
            <w:tcW w:w="156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694" w:hRule="atLeas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(объем)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Предложение №1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(Исх.: №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б/н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20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.0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7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.2026;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Вх. № В-171-6238 от 20.07.2026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Предложение №2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(Исх.: №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12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20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.0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7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.2026;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Вх. 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В-171-6239 от 20.07.2026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 xml:space="preserve">Предложение №3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(</w:t>
            </w:r>
            <w:r>
              <w:rPr>
                <w:rFonts w:cs="" w:ascii="PT Astra Serif;Times New Roman" w:hAnsi="PT Astra Serif;Times New Roman" w:cstheme="majorBidi"/>
                <w:b w:val="false"/>
                <w:i w:val="false"/>
                <w:caps w:val="false"/>
                <w:smallCaps w:val="false"/>
                <w:color w:val="000000" w:themeColor="text1"/>
                <w:spacing w:val="0"/>
                <w:sz w:val="20"/>
                <w:szCs w:val="20"/>
              </w:rPr>
              <w:t>Реестровый номер контракта 1344411854626000055</w:t>
            </w: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color w:val="000000" w:themeColor="text1"/>
                <w:sz w:val="20"/>
                <w:szCs w:val="20"/>
              </w:rPr>
              <w:t>в руб.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Средняя рыночная цена за единицу, руб.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Среднее квадратичное отклонение</w:t>
            </w:r>
          </w:p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drawing>
                <wp:inline distT="0" distB="0" distL="0" distR="0">
                  <wp:extent cx="756285" cy="430530"/>
                  <wp:effectExtent l="0" t="0" r="0" b="0"/>
                  <wp:docPr id="1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Коэффициент вариации</w:t>
              <w:br/>
              <w:t>(%)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drawing>
                <wp:inline distT="0" distB="0" distL="0" distR="0">
                  <wp:extent cx="715645" cy="382270"/>
                  <wp:effectExtent l="0" t="0" r="0" b="0"/>
                  <wp:docPr id="2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hanging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drawing>
                <wp:inline distT="0" distB="0" distL="0" distR="0">
                  <wp:extent cx="152400" cy="219075"/>
                  <wp:effectExtent l="0" t="0" r="0" b="0"/>
                  <wp:docPr id="3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>
                <w:rFonts w:ascii="PT Astra Serif;Times New Roman" w:hAnsi="PT Astra Serif;Times New Roman"/>
                <w:sz w:val="20"/>
                <w:szCs w:val="20"/>
              </w:rPr>
              <w:drawing>
                <wp:inline distT="0" distB="0" distL="0" distR="0">
                  <wp:extent cx="1459230" cy="320675"/>
                  <wp:effectExtent l="0" t="0" r="0" b="0"/>
                  <wp:docPr id="4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5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" w:ascii="PT Astra Serif;Times New Roman" w:hAnsi="PT Astra Serif;Times New Roman"/>
                <w:color w:val="000000"/>
                <w:sz w:val="20"/>
                <w:szCs w:val="20"/>
              </w:rPr>
              <w:t>Оказание услуг  по предоставлению прав на использование обновлений версий программного комплекса «ГРАНД-Смета»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" w:ascii="PT Astra Serif;Times New Roman" w:hAnsi="PT Astra Serif;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30 500.00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" w:ascii="PT Astra Serif;Times New Roman" w:hAnsi="PT Astra Serif;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30 500.00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" w:ascii="PT Astra Serif;Times New Roman" w:hAnsi="PT Astra Serif;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30 500.00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" w:ascii="PT Astra Serif;Times New Roman" w:hAnsi="PT Astra Serif;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30 500.00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0.00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0.00</w:t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" w:ascii="PT Astra Serif;Times New Roman" w:hAnsi="PT Astra Serif;Times New Roman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30 500.00</w:t>
            </w:r>
          </w:p>
        </w:tc>
      </w:tr>
      <w:tr>
        <w:trPr>
          <w:trHeight w:val="250" w:hRule="atLeast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</w:t>
            </w:r>
          </w:p>
        </w:tc>
        <w:tc>
          <w:tcPr>
            <w:tcW w:w="2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firstLine="34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PT Astra Serif" w:ascii="PT Astra Serif;Times New Roman" w:hAnsi="PT Astra Serif;Times New Roman"/>
                <w:color w:val="000000"/>
                <w:sz w:val="20"/>
                <w:szCs w:val="20"/>
              </w:rPr>
              <w:t>Оказание услуг по предоставлению прав на использование обновлений БД «ФСНБ-2022»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Штука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20 500.00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20 500.00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20 500.00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20 500.00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0.00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0.00</w:t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hanging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20 500.00</w:t>
            </w:r>
          </w:p>
        </w:tc>
      </w:tr>
      <w:tr>
        <w:trPr>
          <w:trHeight w:val="277" w:hRule="atLeast"/>
        </w:trPr>
        <w:tc>
          <w:tcPr>
            <w:tcW w:w="130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" w:ascii="PT Astra Serif;Times New Roman" w:hAnsi="PT Astra Serif;Times New Roman" w:cstheme="majorBidi"/>
                <w:b/>
                <w:bCs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hanging="0"/>
              <w:jc w:val="center"/>
              <w:rPr>
                <w:rFonts w:ascii="PT Astra Serif;Times New Roman" w:hAnsi="PT Astra Serif;Times New Roman" w:eastAsia="Calibri" w:cs="" w:cstheme="minorBidi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cstheme="minorBidi" w:eastAsiaTheme="minorHAnsi" w:ascii="PT Astra Serif;Times New Roman" w:hAnsi="PT Astra Serif;Times New Roman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51 000.00</w:t>
            </w:r>
          </w:p>
        </w:tc>
      </w:tr>
      <w:tr>
        <w:trPr>
          <w:trHeight w:val="478" w:hRule="atLeast"/>
        </w:trPr>
        <w:tc>
          <w:tcPr>
            <w:tcW w:w="156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i/>
                <w:color w:val="000000"/>
                <w:sz w:val="20"/>
                <w:szCs w:val="20"/>
              </w:rPr>
              <w:t>Итоговый коэффициент вариации менее 33 %, совокупность цен принимается однородной</w:t>
            </w:r>
          </w:p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eastAsia="Calibri" w:cs="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51 000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пятьдесят одна тысяча</w:t>
            </w:r>
            <w:r>
              <w:rPr>
                <w:rFonts w:eastAsia="Calibri" w:cs="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) рублей 00 копеек</w:t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ascii="PT Astra Serif;Times New Roman" w:hAnsi="PT Astra Serif;Times New Roman"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eastAsia="Times New Roman" w:cs="Times New Roman"/>
          <w:color w:val="000000"/>
          <w:u w:val="single"/>
          <w:lang w:eastAsia="ru-RU"/>
        </w:rPr>
      </w:pPr>
      <w:r>
        <w:rPr>
          <w:rFonts w:ascii="PT Astra Serif;Times New Roman" w:hAnsi="PT Astra Serif;Times New Roman"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(должность)</w:t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shd w:val="clear" w:color="auto" w:fill="FFFFFF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PT Astra Serif;Times New Roman" w:hAnsi="PT Astra Serif;Times New Roman"/>
          <w:sz w:val="20"/>
          <w:szCs w:val="20"/>
        </w:rPr>
      </w:pP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«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22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» 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>июля</w:t>
      </w:r>
      <w:r>
        <w:rPr>
          <w:rFonts w:eastAsia="Times New Roman" w:cs="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2026 г.</w:t>
      </w:r>
    </w:p>
    <w:sectPr>
      <w:headerReference w:type="default" r:id="rId6"/>
      <w:headerReference w:type="first" r:id="rId7"/>
      <w:type w:val="nextPage"/>
      <w:pgSz w:orient="landscape" w:w="16838" w:h="11906"/>
      <w:pgMar w:left="567" w:right="567" w:header="567" w:top="1191" w:footer="0" w:bottom="567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imesET">
    <w:charset w:val="01"/>
    <w:family w:val="roman"/>
    <w:pitch w:val="default"/>
  </w:font>
  <w:font w:name="Calibri Light">
    <w:charset w:val="01"/>
    <w:family w:val="roman"/>
    <w:pitch w:val="default"/>
  </w:font>
  <w:font w:name="Courier New">
    <w:charset w:val="01"/>
    <w:family w:val="roman"/>
    <w:pitch w:val="default"/>
  </w:font>
  <w:font w:name="Arial Unicode MS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  <w:font w:name="Arial Narrow">
    <w:charset w:val="01"/>
    <w:family w:val="roman"/>
    <w:pitch w:val="default"/>
  </w:font>
  <w:font w:name="PT Astra Serif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>
        <w:sz w:val="20"/>
        <w:szCs w:val="20"/>
      </w:rPr>
    </w:pPr>
    <w:r>
      <w:rPr>
        <w:rFonts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ascii="PT Astra Serif;Times New Roman" w:hAnsi="PT Astra Serif;Times New Roman"/>
      </w:rPr>
      <w:instrText> PAGE </w:instrText>
    </w:r>
    <w:r>
      <w:rPr>
        <w:sz w:val="20"/>
        <w:szCs w:val="20"/>
        <w:rFonts w:ascii="PT Astra Serif;Times New Roman" w:hAnsi="PT Astra Serif;Times New Roman"/>
      </w:rPr>
      <w:fldChar w:fldCharType="separate"/>
    </w:r>
    <w:r>
      <w:rPr>
        <w:sz w:val="20"/>
        <w:szCs w:val="20"/>
        <w:rFonts w:ascii="PT Astra Serif;Times New Roman" w:hAnsi="PT Astra Serif;Times New Roman"/>
      </w:rPr>
      <w:t>2</w:t>
    </w:r>
    <w:r>
      <w:rPr>
        <w:sz w:val="20"/>
        <w:szCs w:val="20"/>
        <w:rFonts w:ascii="PT Astra Serif;Times New Roman" w:hAnsi="PT Astra Serif;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>
        <w:rFonts w:ascii="PT Astra Serif;Times New Roman" w:hAnsi="PT Astra Serif;Times New Roman"/>
      </w:rPr>
    </w:pPr>
    <w:r>
      <w:rPr>
        <w:rFonts w:ascii="PT Astra Serif;Times New Roman" w:hAnsi="PT Astra Serif;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02052"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702052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702052"/>
    <w:rPr/>
  </w:style>
  <w:style w:type="character" w:styleId="Ikzvalue">
    <w:name w:val="ikzvalue"/>
    <w:qFormat/>
    <w:rPr/>
  </w:style>
  <w:style w:type="character" w:styleId="Style16">
    <w:name w:val="Выделение"/>
    <w:qFormat/>
    <w:rPr>
      <w:i/>
      <w:iCs/>
    </w:rPr>
  </w:style>
  <w:style w:type="character" w:styleId="114pt">
    <w:name w:val="Заголовок №1 + 14 pt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highlight w:val="white"/>
      <w:lang w:val="ru-RU" w:eastAsia="ru-RU" w:bidi="ru-RU"/>
    </w:rPr>
  </w:style>
  <w:style w:type="character" w:styleId="Style17">
    <w:name w:val="Символ сноски"/>
    <w:qFormat/>
    <w:rPr>
      <w:vertAlign w:val="superscript"/>
    </w:rPr>
  </w:style>
  <w:style w:type="character" w:styleId="29pt">
    <w:name w:val="Основной текст (2) + 9 pt"/>
    <w:qFormat/>
    <w:rPr>
      <w:rFonts w:ascii="Arial" w:hAnsi="Arial" w:eastAsia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character" w:styleId="2">
    <w:name w:val="Основной текст (2)_"/>
    <w:qFormat/>
    <w:rPr>
      <w:rFonts w:ascii="Arial" w:hAnsi="Arial" w:eastAsia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4">
    <w:name w:val="Основной шрифт абзаца4"/>
    <w:qFormat/>
    <w:rPr/>
  </w:style>
  <w:style w:type="character" w:styleId="41">
    <w:name w:val="Знак сноски4"/>
    <w:qFormat/>
    <w:rPr>
      <w:vertAlign w:val="superscript"/>
    </w:rPr>
  </w:style>
  <w:style w:type="character" w:styleId="3">
    <w:name w:val="Знак концевой сноски3"/>
    <w:qFormat/>
    <w:rPr>
      <w:vertAlign w:val="superscript"/>
    </w:rPr>
  </w:style>
  <w:style w:type="character" w:styleId="10">
    <w:name w:val="Обычный + 10 пт Знак"/>
    <w:qFormat/>
    <w:rPr>
      <w:rFonts w:ascii="TimesET" w:hAnsi="TimesET" w:eastAsia="TimesET"/>
      <w:sz w:val="24"/>
      <w:szCs w:val="24"/>
      <w:lang w:eastAsia="zh-CN"/>
    </w:rPr>
  </w:style>
  <w:style w:type="character" w:styleId="5">
    <w:name w:val="Основной текст (5)_"/>
    <w:qFormat/>
    <w:rPr>
      <w:rFonts w:ascii="Times New Roman" w:hAnsi="Times New Roman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51">
    <w:name w:val="Основной текст (5)"/>
    <w:qFormat/>
    <w:rPr>
      <w:rFonts w:ascii="Times New Roman" w:hAnsi="Times New Roman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 + Полужирный"/>
    <w:qFormat/>
    <w:rPr>
      <w:rFonts w:ascii="Times New Roman" w:hAnsi="Times New Roman" w:eastAsia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9pt">
    <w:name w:val="Основной текст (5) + 9 pt"/>
    <w:qFormat/>
    <w:rPr>
      <w:rFonts w:ascii="Times New Roman" w:hAnsi="Times New Roman" w:eastAsia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Strong">
    <w:name w:val="Strong"/>
    <w:qFormat/>
    <w:rPr>
      <w:b/>
    </w:rPr>
  </w:style>
  <w:style w:type="character" w:styleId="Style18">
    <w:name w:val="Знак концевой сноски"/>
    <w:qFormat/>
    <w:rPr>
      <w:vertAlign w:val="superscript"/>
    </w:rPr>
  </w:style>
  <w:style w:type="character" w:styleId="Style19">
    <w:name w:val="Знак сноски"/>
    <w:qFormat/>
    <w:rPr>
      <w:vertAlign w:val="superscript"/>
    </w:rPr>
  </w:style>
  <w:style w:type="character" w:styleId="21">
    <w:name w:val="Знак концевой сноски2"/>
    <w:qFormat/>
    <w:rPr>
      <w:vertAlign w:val="superscript"/>
    </w:rPr>
  </w:style>
  <w:style w:type="character" w:styleId="31">
    <w:name w:val="Знак сноски3"/>
    <w:qFormat/>
    <w:rPr>
      <w:vertAlign w:val="superscript"/>
    </w:rPr>
  </w:style>
  <w:style w:type="character" w:styleId="11">
    <w:name w:val="Знак сноски1"/>
    <w:qFormat/>
    <w:rPr>
      <w:vertAlign w:val="superscript"/>
    </w:rPr>
  </w:style>
  <w:style w:type="character" w:styleId="12">
    <w:name w:val="Знак концевой сноски1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22">
    <w:name w:val="Знак сноски2"/>
    <w:qFormat/>
    <w:rPr>
      <w:vertAlign w:val="superscript"/>
    </w:rPr>
  </w:style>
  <w:style w:type="character" w:styleId="Style20">
    <w:name w:val="Основной текст Знак"/>
    <w:qFormat/>
    <w:rPr>
      <w:rFonts w:ascii="Times New Roman" w:hAnsi="Times New Roman" w:eastAsia="Times New Roman"/>
      <w:sz w:val="24"/>
      <w:szCs w:val="24"/>
    </w:rPr>
  </w:style>
  <w:style w:type="character" w:styleId="Searchresult2">
    <w:name w:val="search_result2"/>
    <w:qFormat/>
    <w:rPr/>
  </w:style>
  <w:style w:type="character" w:styleId="CharChar">
    <w:name w:val="Обычный Char Char"/>
    <w:qFormat/>
    <w:rPr>
      <w:rFonts w:ascii="TimesET" w:hAnsi="TimesET" w:eastAsia="TimesET"/>
      <w:sz w:val="24"/>
      <w:szCs w:val="24"/>
      <w:lang w:eastAsia="ar-SA"/>
    </w:rPr>
  </w:style>
  <w:style w:type="character" w:styleId="Style21">
    <w:name w:val="Цветовое выделение"/>
    <w:qFormat/>
    <w:rPr>
      <w:b/>
      <w:color w:val="26282F"/>
    </w:rPr>
  </w:style>
  <w:style w:type="character" w:styleId="S104">
    <w:name w:val="s_104"/>
    <w:qFormat/>
    <w:rPr/>
  </w:style>
  <w:style w:type="character" w:styleId="Cardmaininfocontent2">
    <w:name w:val="cardmaininfo__content2"/>
    <w:qFormat/>
    <w:rPr>
      <w:vanish w:val="false"/>
    </w:rPr>
  </w:style>
  <w:style w:type="character" w:styleId="Cardmaininfotitle2">
    <w:name w:val="cardmaininfo__title2"/>
    <w:qFormat/>
    <w:rPr>
      <w:color w:val="909EBB"/>
    </w:rPr>
  </w:style>
  <w:style w:type="character" w:styleId="Highlightsearch4">
    <w:name w:val="highlightsearch4"/>
    <w:qFormat/>
    <w:rPr/>
  </w:style>
  <w:style w:type="character" w:styleId="Dblock">
    <w:name w:val="d-block"/>
    <w:qFormat/>
    <w:rPr/>
  </w:style>
  <w:style w:type="character" w:styleId="Style22">
    <w:name w:val="Неразрешенное упоминание"/>
    <w:qFormat/>
    <w:rPr>
      <w:color w:val="605E5C"/>
      <w:shd w:fill="E1DFDD" w:val="clear"/>
    </w:rPr>
  </w:style>
  <w:style w:type="character" w:styleId="Style23">
    <w:name w:val="Без интервала Знак"/>
    <w:qFormat/>
    <w:rPr>
      <w:rFonts w:eastAsia="Times New Roman"/>
      <w:szCs w:val="22"/>
      <w:lang w:eastAsia="ar-SA"/>
    </w:rPr>
  </w:style>
  <w:style w:type="character" w:styleId="Style24">
    <w:name w:val="Текст сноски Знак"/>
    <w:qFormat/>
    <w:rPr>
      <w:rFonts w:ascii="Times New Roman" w:hAnsi="Times New Roman" w:eastAsia="Times New Roman"/>
      <w:bCs/>
    </w:rPr>
  </w:style>
  <w:style w:type="character" w:styleId="Highlightsearch">
    <w:name w:val="highlightsearch"/>
    <w:qFormat/>
    <w:rPr/>
  </w:style>
  <w:style w:type="character" w:styleId="Pinkbg">
    <w:name w:val="pinkbg"/>
    <w:qFormat/>
    <w:rPr/>
  </w:style>
  <w:style w:type="character" w:styleId="23">
    <w:name w:val="Заголовок 2 Знак"/>
    <w:qFormat/>
    <w:rPr>
      <w:rFonts w:ascii="Calibri Light" w:hAnsi="Calibri Light" w:eastAsia="Times New Roman"/>
      <w:b/>
      <w:bCs/>
      <w:i/>
      <w:iCs/>
      <w:sz w:val="28"/>
      <w:szCs w:val="28"/>
    </w:rPr>
  </w:style>
  <w:style w:type="character" w:styleId="Titleinfotitletext">
    <w:name w:val="title-info-title-text"/>
    <w:qFormat/>
    <w:rPr/>
  </w:style>
  <w:style w:type="character" w:styleId="HTML">
    <w:name w:val="Стандартный HTML Знак"/>
    <w:qFormat/>
    <w:rPr>
      <w:rFonts w:ascii="Courier New" w:hAnsi="Courier New" w:eastAsia="Courier New"/>
      <w:color w:val="000000"/>
      <w:lang w:val="en-US" w:eastAsia="en-US"/>
    </w:rPr>
  </w:style>
  <w:style w:type="character" w:styleId="Blk">
    <w:name w:val="blk"/>
    <w:qFormat/>
    <w:rPr/>
  </w:style>
  <w:style w:type="character" w:styleId="Style25">
    <w:name w:val="Основной текст_"/>
    <w:qFormat/>
    <w:rPr>
      <w:spacing w:val="4"/>
      <w:shd w:fill="FFFFFF" w:val="clear"/>
    </w:rPr>
  </w:style>
  <w:style w:type="character" w:styleId="Style26">
    <w:name w:val="Тема примечания Знак"/>
    <w:qFormat/>
    <w:rPr>
      <w:rFonts w:ascii="Times New Roman" w:hAnsi="Times New Roman" w:eastAsia="Times New Roman"/>
      <w:b/>
      <w:bCs w:val="false"/>
      <w:sz w:val="20"/>
      <w:szCs w:val="20"/>
    </w:rPr>
  </w:style>
  <w:style w:type="character" w:styleId="Style27">
    <w:name w:val="Текст примечания Знак"/>
    <w:qFormat/>
    <w:rPr>
      <w:rFonts w:ascii="Times New Roman" w:hAnsi="Times New Roman" w:eastAsia="Times New Roman"/>
      <w:bCs/>
      <w:sz w:val="20"/>
      <w:szCs w:val="20"/>
    </w:rPr>
  </w:style>
  <w:style w:type="character" w:styleId="13">
    <w:name w:val="Знак примечания1"/>
    <w:qFormat/>
    <w:rPr>
      <w:sz w:val="16"/>
    </w:rPr>
  </w:style>
  <w:style w:type="character" w:styleId="Style28">
    <w:name w:val="Основной текст с отступом Знак"/>
    <w:qFormat/>
    <w:rPr>
      <w:rFonts w:ascii="Arial Unicode MS" w:hAnsi="Arial Unicode MS" w:eastAsia="Times New Roman"/>
      <w:color w:val="000000"/>
      <w:sz w:val="24"/>
      <w:szCs w:val="24"/>
      <w:lang w:val="en-US" w:eastAsia="zh-CN"/>
    </w:rPr>
  </w:style>
  <w:style w:type="character" w:styleId="Iceouttxt5">
    <w:name w:val="iceouttxt5"/>
    <w:qFormat/>
    <w:rPr>
      <w:rFonts w:ascii="Arial" w:hAnsi="Arial" w:eastAsia="Arial"/>
      <w:color w:val="666666"/>
      <w:sz w:val="13"/>
    </w:rPr>
  </w:style>
  <w:style w:type="character" w:styleId="ConsPlusNormal">
    <w:name w:val="ConsPlusNormal Знак"/>
    <w:qFormat/>
    <w:rPr>
      <w:rFonts w:ascii="Arial" w:hAnsi="Arial" w:eastAsia="Arial"/>
      <w:sz w:val="22"/>
      <w:szCs w:val="22"/>
      <w:lang w:eastAsia="ar-SA"/>
    </w:rPr>
  </w:style>
  <w:style w:type="character" w:styleId="Style29">
    <w:name w:val="Абзац списка Знак"/>
    <w:qFormat/>
    <w:rPr>
      <w:rFonts w:ascii="Times New Roman" w:hAnsi="Times New Roman" w:eastAsia="Times New Roman"/>
      <w:bCs/>
      <w:szCs w:val="28"/>
    </w:rPr>
  </w:style>
  <w:style w:type="character" w:styleId="14">
    <w:name w:val="Заголовок 1 Знак"/>
    <w:qFormat/>
    <w:rPr>
      <w:rFonts w:ascii="Times New Roman" w:hAnsi="Times New Roman" w:eastAsia="Times New Roman"/>
      <w:sz w:val="28"/>
      <w:szCs w:val="28"/>
      <w:lang w:eastAsia="zh-CN"/>
    </w:rPr>
  </w:style>
  <w:style w:type="character" w:styleId="Style30">
    <w:name w:val="Гипертекстовая ссылка"/>
    <w:qFormat/>
    <w:rPr>
      <w:color w:val="106BBE"/>
    </w:rPr>
  </w:style>
  <w:style w:type="character" w:styleId="S10">
    <w:name w:val="s_10"/>
    <w:qFormat/>
    <w:rPr/>
  </w:style>
  <w:style w:type="character" w:styleId="15">
    <w:name w:val="Основной шрифт абзаца1"/>
    <w:qFormat/>
    <w:rPr/>
  </w:style>
  <w:style w:type="character" w:styleId="WW8NumSt17z2">
    <w:name w:val="WW8NumSt17z2"/>
    <w:qFormat/>
    <w:rPr/>
  </w:style>
  <w:style w:type="character" w:styleId="WW8NumSt17z1">
    <w:name w:val="WW8NumSt17z1"/>
    <w:qFormat/>
    <w:rPr>
      <w:b w:val="false"/>
    </w:rPr>
  </w:style>
  <w:style w:type="character" w:styleId="WW8NumSt17z0">
    <w:name w:val="WW8NumSt17z0"/>
    <w:qFormat/>
    <w:rPr>
      <w:b/>
    </w:rPr>
  </w:style>
  <w:style w:type="character" w:styleId="WW8Num28z1">
    <w:name w:val="WW8Num28z1"/>
    <w:qFormat/>
    <w:rPr>
      <w:rFonts w:eastAsia="Times New Roman"/>
    </w:rPr>
  </w:style>
  <w:style w:type="character" w:styleId="WW8Num28z0">
    <w:name w:val="WW8Num28z0"/>
    <w:qFormat/>
    <w:rPr>
      <w:rFonts w:eastAsia="Times New Roman"/>
      <w:bCs/>
    </w:rPr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color w:val="000000"/>
    </w:rPr>
  </w:style>
  <w:style w:type="character" w:styleId="WW8Num17z2">
    <w:name w:val="WW8Num17z2"/>
    <w:qFormat/>
    <w:rPr>
      <w:rFonts w:ascii="Wingdings" w:hAnsi="Wingdings" w:eastAsia="Wingdings"/>
    </w:rPr>
  </w:style>
  <w:style w:type="character" w:styleId="WW8Num17z1">
    <w:name w:val="WW8Num17z1"/>
    <w:qFormat/>
    <w:rPr>
      <w:rFonts w:ascii="Courier New" w:hAnsi="Courier New" w:eastAsia="Courier New"/>
    </w:rPr>
  </w:style>
  <w:style w:type="character" w:styleId="WW8Num17z0">
    <w:name w:val="WW8Num17z0"/>
    <w:qFormat/>
    <w:rPr>
      <w:rFonts w:ascii="Symbol" w:hAnsi="Symbol" w:eastAsia="Symbol"/>
    </w:rPr>
  </w:style>
  <w:style w:type="character" w:styleId="WW8Num16z1">
    <w:name w:val="WW8Num16z1"/>
    <w:qFormat/>
    <w:rPr>
      <w:rFonts w:ascii="Times New Roman" w:hAnsi="Times New Roman" w:eastAsia="Times New Roman"/>
      <w:b w:val="false"/>
      <w:sz w:val="22"/>
      <w:szCs w:val="22"/>
      <w:lang w:val="ru-RU"/>
    </w:rPr>
  </w:style>
  <w:style w:type="character" w:styleId="WW8Num16z0">
    <w:name w:val="WW8Num16z0"/>
    <w:qFormat/>
    <w:rPr>
      <w:rFonts w:ascii="Times New Roman" w:hAnsi="Times New Roman" w:eastAsia="Times New Roman"/>
      <w:b/>
      <w:sz w:val="22"/>
      <w:szCs w:val="22"/>
      <w:lang w:val="ru-RU"/>
    </w:rPr>
  </w:style>
  <w:style w:type="character" w:styleId="WW8Num15z1">
    <w:name w:val="WW8Num15z1"/>
    <w:qFormat/>
    <w:rPr>
      <w:rFonts w:eastAsia="Times New Roman"/>
    </w:rPr>
  </w:style>
  <w:style w:type="character" w:styleId="WW8Num15z0">
    <w:name w:val="WW8Num15z0"/>
    <w:qFormat/>
    <w:rPr>
      <w:rFonts w:eastAsia="Times New Roman"/>
    </w:rPr>
  </w:style>
  <w:style w:type="character" w:styleId="WW8Num14z5">
    <w:name w:val="WW8Num14z5"/>
    <w:qFormat/>
    <w:rPr>
      <w:rFonts w:ascii="Symbol" w:hAnsi="Symbol" w:eastAsia="Symbol"/>
    </w:rPr>
  </w:style>
  <w:style w:type="character" w:styleId="WW8Num14z4">
    <w:name w:val="WW8Num14z4"/>
    <w:qFormat/>
    <w:rPr/>
  </w:style>
  <w:style w:type="character" w:styleId="WW8Num14z3">
    <w:name w:val="WW8Num14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2">
    <w:name w:val="WW8Num14z2"/>
    <w:qFormat/>
    <w:rPr>
      <w:b w:val="false"/>
      <w:i w:val="false"/>
    </w:rPr>
  </w:style>
  <w:style w:type="character" w:styleId="WW8Num14z1">
    <w:name w:val="WW8Num14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14z0">
    <w:name w:val="WW8Num14z0"/>
    <w:qFormat/>
    <w:rPr>
      <w:b/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3">
    <w:name w:val="WW8Num11z3"/>
    <w:qFormat/>
    <w:rPr>
      <w:rFonts w:ascii="Symbol" w:hAnsi="Symbol" w:eastAsia="Symbol"/>
    </w:rPr>
  </w:style>
  <w:style w:type="character" w:styleId="WW8Num11z2">
    <w:name w:val="WW8Num11z2"/>
    <w:qFormat/>
    <w:rPr>
      <w:rFonts w:ascii="Wingdings" w:hAnsi="Wingdings" w:eastAsia="Wingdings"/>
    </w:rPr>
  </w:style>
  <w:style w:type="character" w:styleId="WW8Num11z1">
    <w:name w:val="WW8Num11z1"/>
    <w:qFormat/>
    <w:rPr>
      <w:rFonts w:ascii="Courier New" w:hAnsi="Courier New" w:eastAsia="Courier New"/>
    </w:rPr>
  </w:style>
  <w:style w:type="character" w:styleId="WW8Num11z0">
    <w:name w:val="WW8Num11z0"/>
    <w:qFormat/>
    <w:rPr>
      <w:rFonts w:ascii="Symbol" w:hAnsi="Symbol" w:eastAsia="Times New Roman"/>
    </w:rPr>
  </w:style>
  <w:style w:type="character" w:styleId="WW8Num10z0">
    <w:name w:val="WW8Num10z0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>
      <w:b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24">
    <w:name w:val="Основной шрифт абзаца2"/>
    <w:qFormat/>
    <w:rPr/>
  </w:style>
  <w:style w:type="character" w:styleId="32">
    <w:name w:val="Основной шрифт абзаца3"/>
    <w:qFormat/>
    <w:rPr/>
  </w:style>
  <w:style w:type="character" w:styleId="Style31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5">
    <w:name w:val="WW8Num3z5"/>
    <w:qFormat/>
    <w:rPr>
      <w:rFonts w:ascii="Symbol" w:hAnsi="Symbol" w:eastAsia="Symbol"/>
    </w:rPr>
  </w:style>
  <w:style w:type="character" w:styleId="WW8Num3z4">
    <w:name w:val="WW8Num3z4"/>
    <w:qFormat/>
    <w:rPr/>
  </w:style>
  <w:style w:type="character" w:styleId="WW8Num3z3">
    <w:name w:val="WW8Num3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2">
    <w:name w:val="WW8Num3z2"/>
    <w:qFormat/>
    <w:rPr>
      <w:b w:val="false"/>
      <w:i w:val="false"/>
    </w:rPr>
  </w:style>
  <w:style w:type="character" w:styleId="WW8Num3z1">
    <w:name w:val="WW8Num3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3z0">
    <w:name w:val="WW8Num3z0"/>
    <w:qFormat/>
    <w:rPr>
      <w:b/>
      <w:i w:val="false"/>
    </w:rPr>
  </w:style>
  <w:style w:type="character" w:styleId="WW8Num2z5">
    <w:name w:val="WW8Num2z5"/>
    <w:qFormat/>
    <w:rPr>
      <w:rFonts w:ascii="Symbol" w:hAnsi="Symbol" w:eastAsia="Symbol"/>
    </w:rPr>
  </w:style>
  <w:style w:type="character" w:styleId="WW8Num2z4">
    <w:name w:val="WW8Num2z4"/>
    <w:qFormat/>
    <w:rPr/>
  </w:style>
  <w:style w:type="character" w:styleId="WW8Num2z3">
    <w:name w:val="WW8Num2z3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2">
    <w:name w:val="WW8Num2z2"/>
    <w:qFormat/>
    <w:rPr>
      <w:b w:val="false"/>
      <w:i w:val="false"/>
    </w:rPr>
  </w:style>
  <w:style w:type="character" w:styleId="WW8Num2z1">
    <w:name w:val="WW8Num2z1"/>
    <w:qFormat/>
    <w:rPr>
      <w:rFonts w:eastAsia="Times New Roman"/>
      <w:bCs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szCs w:val="24"/>
      <w:u w:val="none"/>
    </w:rPr>
  </w:style>
  <w:style w:type="character" w:styleId="WW8Num2z0">
    <w:name w:val="WW8Num2z0"/>
    <w:qFormat/>
    <w:rPr>
      <w:b/>
      <w:i w:val="fals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33">
    <w:name w:val="Body Text"/>
    <w:basedOn w:val="Normal"/>
    <w:pPr>
      <w:spacing w:lineRule="auto" w:line="276" w:before="0" w:after="140"/>
    </w:pPr>
    <w:rPr/>
  </w:style>
  <w:style w:type="paragraph" w:styleId="Style34">
    <w:name w:val="List"/>
    <w:basedOn w:val="Style33"/>
    <w:pPr/>
    <w:rPr>
      <w:rFonts w:ascii="PT Astra Serif" w:hAnsi="PT Astra Serif" w:cs="Noto Sans Devanagari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020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7">
    <w:name w:val="Верхний и нижний колонтитулы"/>
    <w:basedOn w:val="Normal"/>
    <w:qFormat/>
    <w:pPr/>
    <w:rPr/>
  </w:style>
  <w:style w:type="paragraph" w:styleId="Style38">
    <w:name w:val="Header"/>
    <w:basedOn w:val="Normal"/>
    <w:link w:val="a6"/>
    <w:uiPriority w:val="99"/>
    <w:unhideWhenUsed/>
    <w:rsid w:val="00702052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9">
    <w:name w:val="Footer"/>
    <w:basedOn w:val="Normal"/>
    <w:link w:val="a8"/>
    <w:uiPriority w:val="99"/>
    <w:unhideWhenUsed/>
    <w:rsid w:val="00702052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0">
    <w:name w:val="Содержимое таблицы"/>
    <w:basedOn w:val="Normal"/>
    <w:qFormat/>
    <w:pPr/>
    <w:rPr/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ListParagraph">
    <w:name w:val="List Paragraph"/>
    <w:basedOn w:val="Normal"/>
    <w:qFormat/>
    <w:pPr>
      <w:widowControl/>
      <w:spacing w:before="0" w:after="0"/>
      <w:ind w:left="720" w:hanging="0"/>
      <w:contextualSpacing/>
      <w:jc w:val="left"/>
    </w:pPr>
    <w:rPr>
      <w:rFonts w:eastAsia="Times New Roman"/>
      <w:sz w:val="20"/>
    </w:rPr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25">
    <w:name w:val="Основной текст (2)"/>
    <w:basedOn w:val="Normal"/>
    <w:qFormat/>
    <w:pPr>
      <w:shd w:fill="FFFFFF"/>
      <w:spacing w:lineRule="exact" w:line="473"/>
      <w:jc w:val="center"/>
    </w:pPr>
    <w:rPr>
      <w:rFonts w:ascii="Arial" w:hAnsi="Arial" w:eastAsia="Arial"/>
      <w:b w:val="false"/>
      <w:i w:val="false"/>
      <w:caps w:val="false"/>
      <w:smallCaps w:val="false"/>
      <w:strike w:val="false"/>
      <w:dstrike w:val="false"/>
      <w:sz w:val="21"/>
      <w:u w:val="none"/>
      <w:lang w:eastAsia="ar-SA"/>
    </w:rPr>
  </w:style>
  <w:style w:type="paragraph" w:styleId="42">
    <w:name w:val="Указатель4"/>
    <w:basedOn w:val="Normal"/>
    <w:qFormat/>
    <w:pPr/>
    <w:rPr>
      <w:lang w:eastAsia="ar-SA"/>
    </w:rPr>
  </w:style>
  <w:style w:type="paragraph" w:styleId="33">
    <w:name w:val="Название объекта3"/>
    <w:basedOn w:val="Normal"/>
    <w:qFormat/>
    <w:pPr>
      <w:spacing w:before="120" w:after="120"/>
    </w:pPr>
    <w:rPr>
      <w:i/>
      <w:iCs/>
      <w:lang w:eastAsia="ar-SA"/>
    </w:rPr>
  </w:style>
  <w:style w:type="paragraph" w:styleId="CharCharCharCharCharCharCharCharCharChar1CharChar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/>
      <w:bCs/>
      <w:sz w:val="20"/>
      <w:szCs w:val="20"/>
      <w:lang w:val="en-US" w:eastAsia="ar-SA"/>
    </w:rPr>
  </w:style>
  <w:style w:type="paragraph" w:styleId="16">
    <w:name w:val="Текст сноски1"/>
    <w:basedOn w:val="Normal"/>
    <w:qFormat/>
    <w:pPr>
      <w:widowControl w:val="false"/>
      <w:ind w:firstLine="720"/>
      <w:jc w:val="both"/>
    </w:pPr>
    <w:rPr>
      <w:rFonts w:ascii="Times New Roman CYR" w:hAnsi="Times New Roman CYR" w:eastAsia="Times New Roman CYR"/>
      <w:sz w:val="20"/>
      <w:szCs w:val="20"/>
      <w:lang w:eastAsia="ar-SA"/>
    </w:rPr>
  </w:style>
  <w:style w:type="paragraph" w:styleId="Style42">
    <w:name w:val="Обычный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0" w:cs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sz w:val="22"/>
      <w:szCs w:val="22"/>
      <w:u w:val="none"/>
      <w:em w:val="none"/>
      <w:lang w:val="ru-RU" w:eastAsia="ar-SA" w:bidi="ar-SA"/>
    </w:rPr>
  </w:style>
  <w:style w:type="paragraph" w:styleId="NormalWeb">
    <w:name w:val="Normal (Web)"/>
    <w:basedOn w:val="Normal"/>
    <w:qFormat/>
    <w:pPr/>
    <w:rPr>
      <w:b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17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" w:hAnsi="TimesET" w:eastAsia="TimesET" w:cs="Liberation Serif"/>
      <w:color w:val="auto"/>
      <w:kern w:val="0"/>
      <w:sz w:val="24"/>
      <w:szCs w:val="24"/>
      <w:lang w:val="ru-RU" w:eastAsia="ar-SA" w:bidi="ar-SA"/>
    </w:rPr>
  </w:style>
  <w:style w:type="paragraph" w:styleId="S3">
    <w:name w:val="s_3"/>
    <w:basedOn w:val="Normal"/>
    <w:qFormat/>
    <w:pPr>
      <w:spacing w:before="280" w:after="280"/>
    </w:pPr>
    <w:rPr/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WW1">
    <w:name w:val="WW-Сноска"/>
    <w:basedOn w:val="Normal"/>
    <w:qFormat/>
    <w:pPr>
      <w:widowControl w:val="false"/>
      <w:ind w:firstLine="720"/>
      <w:jc w:val="both"/>
    </w:pPr>
    <w:rPr>
      <w:rFonts w:ascii="Times New Roman CYR" w:hAnsi="Times New Roman CYR" w:eastAsia="Times New Roman CYR"/>
      <w:sz w:val="20"/>
      <w:szCs w:val="20"/>
      <w:lang w:eastAsia="ar-SA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eastAsia="Arial"/>
      <w:lang w:eastAsia="ar-SA"/>
    </w:rPr>
  </w:style>
  <w:style w:type="paragraph" w:styleId="Style43">
    <w:name w:val="Информация о версии"/>
    <w:qFormat/>
    <w:pPr>
      <w:widowControl w:val="false"/>
      <w:suppressAutoHyphens w:val="true"/>
      <w:bidi w:val="0"/>
      <w:spacing w:before="75" w:after="0"/>
      <w:ind w:left="170" w:hanging="0"/>
      <w:jc w:val="both"/>
    </w:pPr>
    <w:rPr>
      <w:rFonts w:ascii="Times New Roman CYR" w:hAnsi="Times New Roman CYR" w:eastAsia="Times New Roman CYR" w:cs=""/>
      <w:bCs w:val="false"/>
      <w:i/>
      <w:iCs/>
      <w:color w:val="353842"/>
      <w:kern w:val="0"/>
      <w:sz w:val="22"/>
      <w:szCs w:val="22"/>
      <w:lang w:val="ru-RU" w:eastAsia="ar-SA" w:bidi="ar-SA"/>
    </w:rPr>
  </w:style>
  <w:style w:type="paragraph" w:styleId="Style44">
    <w:name w:val="Нормальный (таблица)"/>
    <w:basedOn w:val="Normal"/>
    <w:qFormat/>
    <w:pPr>
      <w:widowControl w:val="false"/>
      <w:jc w:val="both"/>
    </w:pPr>
    <w:rPr>
      <w:rFonts w:ascii="Times New Roman CYR" w:hAnsi="Times New Roman CYR" w:eastAsia="Times New Roman CYR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000000"/>
      <w:kern w:val="0"/>
      <w:sz w:val="24"/>
      <w:szCs w:val="24"/>
      <w:lang w:val="ru-RU" w:eastAsia="ar-SA" w:bidi="ar-SA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/>
      <w:color w:val="000000"/>
      <w:sz w:val="20"/>
      <w:szCs w:val="20"/>
      <w:lang w:val="en-US" w:eastAsia="en-US"/>
    </w:rPr>
  </w:style>
  <w:style w:type="paragraph" w:styleId="26">
    <w:name w:val="Основной текст2"/>
    <w:basedOn w:val="Normal"/>
    <w:qFormat/>
    <w:pPr>
      <w:widowControl w:val="false"/>
      <w:shd w:fill="FFFFFF"/>
      <w:spacing w:lineRule="exact" w:line="264" w:before="240" w:after="240"/>
      <w:jc w:val="both"/>
    </w:pPr>
    <w:rPr>
      <w:rFonts w:ascii="Calibri" w:hAnsi="Calibri" w:eastAsia="Calibri"/>
      <w:spacing w:val="4"/>
      <w:sz w:val="20"/>
      <w:szCs w:val="20"/>
      <w:lang w:eastAsia="ar-SA"/>
    </w:rPr>
  </w:style>
  <w:style w:type="paragraph" w:styleId="Style45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0"/>
      <w:szCs w:val="22"/>
      <w:lang w:val="ru-RU" w:eastAsia="en-US" w:bidi="ar-SA"/>
    </w:rPr>
  </w:style>
  <w:style w:type="paragraph" w:styleId="18">
    <w:name w:val="Текст примечания1"/>
    <w:basedOn w:val="Normal"/>
    <w:qFormat/>
    <w:pPr/>
    <w:rPr>
      <w:b/>
      <w:sz w:val="20"/>
    </w:rPr>
  </w:style>
  <w:style w:type="paragraph" w:styleId="Rtejustify">
    <w:name w:val="rtejustify"/>
    <w:basedOn w:val="Normal"/>
    <w:qFormat/>
    <w:pPr>
      <w:spacing w:before="280" w:after="280"/>
    </w:pPr>
    <w:rPr>
      <w:b w:val="false"/>
    </w:rPr>
  </w:style>
  <w:style w:type="paragraph" w:styleId="Style46">
    <w:name w:val="Обычный + по ширине"/>
    <w:basedOn w:val="Normal"/>
    <w:qFormat/>
    <w:pPr>
      <w:jc w:val="both"/>
    </w:pPr>
    <w:rPr>
      <w:b w:val="false"/>
    </w:rPr>
  </w:style>
  <w:style w:type="paragraph" w:styleId="Style4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8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49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 w:val="false"/>
    </w:rPr>
  </w:style>
  <w:style w:type="paragraph" w:styleId="Style50">
    <w:name w:val="Контракт-раздел"/>
    <w:basedOn w:val="Normal"/>
    <w:qFormat/>
    <w:pPr>
      <w:keepNext w:val="true"/>
      <w:spacing w:before="360" w:after="120"/>
      <w:jc w:val="center"/>
    </w:pPr>
    <w:rPr>
      <w:b/>
      <w:cap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Liberation Serif"/>
      <w:color w:val="auto"/>
      <w:kern w:val="0"/>
      <w:sz w:val="20"/>
      <w:szCs w:val="20"/>
      <w:lang w:val="ru-RU" w:eastAsia="ar-SA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pacing w:lineRule="auto" w:line="336" w:before="440" w:after="0"/>
      <w:ind w:left="400" w:firstLine="540"/>
      <w:jc w:val="both"/>
    </w:pPr>
    <w:rPr>
      <w:rFonts w:ascii="Times New Roman" w:hAnsi="Times New Roman" w:eastAsia="Times New Roman" w:cs="Liberation Serif"/>
      <w:color w:val="000000"/>
      <w:kern w:val="0"/>
      <w:sz w:val="28"/>
      <w:szCs w:val="20"/>
      <w:lang w:val="ru-RU" w:eastAsia="ar-SA" w:bidi="ar-SA"/>
    </w:rPr>
  </w:style>
  <w:style w:type="paragraph" w:styleId="19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"/>
      <w:color w:val="auto"/>
      <w:kern w:val="0"/>
      <w:sz w:val="22"/>
      <w:szCs w:val="22"/>
      <w:lang w:val="ru-RU" w:eastAsia="ar-SA" w:bidi="ar-SA"/>
    </w:rPr>
  </w:style>
  <w:style w:type="paragraph" w:styleId="Style51">
    <w:name w:val="Заголовок приложения"/>
    <w:basedOn w:val="Normal"/>
    <w:qFormat/>
    <w:pPr>
      <w:widowControl w:val="false"/>
      <w:spacing w:before="60" w:after="160"/>
      <w:jc w:val="center"/>
    </w:pPr>
    <w:rPr>
      <w:b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Arial" w:cs="Liberation Serif"/>
      <w:color w:val="auto"/>
      <w:kern w:val="0"/>
      <w:sz w:val="20"/>
      <w:szCs w:val="20"/>
      <w:lang w:val="ru-RU" w:eastAsia="ar-SA" w:bidi="ar-SA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erif"/>
      <w:color w:val="auto"/>
      <w:kern w:val="0"/>
      <w:sz w:val="22"/>
      <w:szCs w:val="22"/>
      <w:lang w:val="ru-RU" w:eastAsia="ar-SA" w:bidi="ar-SA"/>
    </w:rPr>
  </w:style>
  <w:style w:type="paragraph" w:styleId="Style53">
    <w:name w:val="Раздел"/>
    <w:basedOn w:val="Normal"/>
    <w:qFormat/>
    <w:pPr>
      <w:spacing w:before="120" w:after="120"/>
      <w:ind w:left="720" w:hanging="720"/>
      <w:jc w:val="center"/>
    </w:pPr>
    <w:rPr>
      <w:rFonts w:ascii="Arial Narrow" w:hAnsi="Arial Narrow" w:eastAsia="Arial Narrow"/>
      <w:b/>
      <w:sz w:val="28"/>
      <w:lang w:eastAsia="ar-SA"/>
    </w:rPr>
  </w:style>
  <w:style w:type="paragraph" w:styleId="Style54">
    <w:name w:val="Текст выноски"/>
    <w:basedOn w:val="Normal"/>
    <w:qFormat/>
    <w:pPr/>
    <w:rPr>
      <w:rFonts w:ascii="Segoe UI" w:hAnsi="Segoe UI" w:eastAsia="Segoe UI"/>
      <w:bCs/>
      <w:sz w:val="18"/>
      <w:szCs w:val="18"/>
      <w:lang w:eastAsia="ar-SA"/>
    </w:rPr>
  </w:style>
  <w:style w:type="paragraph" w:styleId="Style55">
    <w:name w:val="Информация об изменениях документа"/>
    <w:qFormat/>
    <w:pPr>
      <w:widowControl/>
      <w:suppressAutoHyphens w:val="true"/>
      <w:bidi w:val="0"/>
      <w:spacing w:before="75" w:after="0"/>
      <w:ind w:left="170" w:hanging="0"/>
      <w:jc w:val="both"/>
    </w:pPr>
    <w:rPr>
      <w:rFonts w:ascii="Arial" w:hAnsi="Arial" w:eastAsia="Arial" w:cs=""/>
      <w:bCs w:val="false"/>
      <w:i/>
      <w:iCs/>
      <w:color w:val="353842"/>
      <w:kern w:val="0"/>
      <w:sz w:val="22"/>
      <w:szCs w:val="22"/>
      <w:shd w:fill="F0F0F0" w:val="clear"/>
      <w:lang w:val="ru-RU" w:eastAsia="ar-SA" w:bidi="ar-SA"/>
    </w:rPr>
  </w:style>
  <w:style w:type="paragraph" w:styleId="Style56">
    <w:name w:val="Комментарий"/>
    <w:basedOn w:val="Normal"/>
    <w:qFormat/>
    <w:pPr>
      <w:spacing w:before="75" w:after="160"/>
      <w:ind w:left="170" w:hanging="0"/>
      <w:jc w:val="both"/>
    </w:pPr>
    <w:rPr>
      <w:rFonts w:ascii="Arial" w:hAnsi="Arial" w:eastAsia="Arial"/>
      <w:bCs w:val="false"/>
      <w:color w:val="353842"/>
      <w:shd w:fill="F0F0F0" w:val="clear"/>
      <w:lang w:eastAsia="ar-SA"/>
    </w:rPr>
  </w:style>
  <w:style w:type="paragraph" w:styleId="Style57">
    <w:name w:val="Абзац списка"/>
    <w:basedOn w:val="Normal"/>
    <w:qFormat/>
    <w:pPr>
      <w:spacing w:before="0" w:after="160"/>
      <w:ind w:left="720" w:hanging="0"/>
      <w:contextualSpacing/>
    </w:pPr>
    <w:rPr>
      <w:b/>
      <w:sz w:val="20"/>
    </w:rPr>
  </w:style>
  <w:style w:type="paragraph" w:styleId="Style58">
    <w:name w:val="Обычный (веб)"/>
    <w:basedOn w:val="Normal"/>
    <w:qFormat/>
    <w:pPr>
      <w:spacing w:before="280" w:after="280"/>
    </w:pPr>
    <w:rPr>
      <w:b w:val="false"/>
    </w:rPr>
  </w:style>
  <w:style w:type="paragraph" w:styleId="S9">
    <w:name w:val="s_9"/>
    <w:basedOn w:val="Normal"/>
    <w:qFormat/>
    <w:pPr>
      <w:spacing w:before="280" w:after="280"/>
    </w:pPr>
    <w:rPr>
      <w:b w:val="false"/>
    </w:rPr>
  </w:style>
  <w:style w:type="paragraph" w:styleId="S22">
    <w:name w:val="s_22"/>
    <w:basedOn w:val="Normal"/>
    <w:qFormat/>
    <w:pPr>
      <w:spacing w:before="280" w:after="280"/>
    </w:pPr>
    <w:rPr>
      <w:b w:val="false"/>
    </w:rPr>
  </w:style>
  <w:style w:type="paragraph" w:styleId="S1">
    <w:name w:val="s_1"/>
    <w:basedOn w:val="Normal"/>
    <w:qFormat/>
    <w:pPr>
      <w:spacing w:before="280" w:after="280"/>
    </w:pPr>
    <w:rPr>
      <w:b w:val="false"/>
    </w:rPr>
  </w:style>
  <w:style w:type="paragraph" w:styleId="110">
    <w:name w:val="Абзац списка1"/>
    <w:basedOn w:val="Normal"/>
    <w:qFormat/>
    <w:pPr>
      <w:spacing w:before="0" w:after="160"/>
      <w:ind w:left="720" w:hanging="0"/>
      <w:contextualSpacing/>
    </w:pPr>
    <w:rPr/>
  </w:style>
  <w:style w:type="paragraph" w:styleId="Style59">
    <w:name w:val="Таблицы (моноширинный)"/>
    <w:basedOn w:val="Normal"/>
    <w:qFormat/>
    <w:pPr>
      <w:jc w:val="both"/>
    </w:pPr>
    <w:rPr>
      <w:rFonts w:ascii="Courier New" w:hAnsi="Courier New" w:eastAsia="Courier New"/>
      <w:b/>
      <w:bCs w:val="false"/>
      <w:caps/>
      <w:sz w:val="20"/>
      <w:szCs w:val="20"/>
      <w:lang w:eastAsia="ar-SA"/>
    </w:rPr>
  </w:style>
  <w:style w:type="paragraph" w:styleId="111">
    <w:name w:val="Указатель1"/>
    <w:basedOn w:val="Normal"/>
    <w:qFormat/>
    <w:pPr/>
    <w:rPr>
      <w:lang w:eastAsia="ar-SA"/>
    </w:rPr>
  </w:style>
  <w:style w:type="paragraph" w:styleId="112">
    <w:name w:val="Название объекта1"/>
    <w:basedOn w:val="Normal"/>
    <w:qFormat/>
    <w:pPr>
      <w:spacing w:before="120" w:after="120"/>
    </w:pPr>
    <w:rPr>
      <w:i/>
      <w:iCs/>
      <w:lang w:eastAsia="ar-SA"/>
    </w:rPr>
  </w:style>
  <w:style w:type="paragraph" w:styleId="27">
    <w:name w:val="Указатель2"/>
    <w:basedOn w:val="Normal"/>
    <w:qFormat/>
    <w:pPr/>
    <w:rPr>
      <w:lang w:eastAsia="ar-SA"/>
    </w:rPr>
  </w:style>
  <w:style w:type="paragraph" w:styleId="28">
    <w:name w:val="Название объекта2"/>
    <w:basedOn w:val="Normal"/>
    <w:qFormat/>
    <w:pPr>
      <w:spacing w:before="120" w:after="120"/>
    </w:pPr>
    <w:rPr>
      <w:i/>
      <w:iCs/>
      <w:lang w:eastAsia="ar-SA"/>
    </w:rPr>
  </w:style>
  <w:style w:type="paragraph" w:styleId="34">
    <w:name w:val="Указатель3"/>
    <w:basedOn w:val="Normal"/>
    <w:qFormat/>
    <w:pPr/>
    <w:rPr>
      <w:lang w:eastAsia="ar-SA"/>
    </w:rPr>
  </w:style>
  <w:style w:type="paragraph" w:styleId="Style60">
    <w:name w:val="Название объекта"/>
    <w:basedOn w:val="Normal"/>
    <w:qFormat/>
    <w:pPr>
      <w:spacing w:before="120" w:after="120"/>
    </w:pPr>
    <w:rPr>
      <w:i/>
      <w:iCs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Application>LibreOffice/6.4.7.2$Linux_X86_64 LibreOffice_project/72d9d5113b23a0ed474720f9d366fcde9a2744dd</Application>
  <Pages>2</Pages>
  <Words>536</Words>
  <Characters>3779</Characters>
  <CharactersWithSpaces>4331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Варжина Елена</dc:creator>
  <dc:description/>
  <dc:language>ru-RU</dc:language>
  <cp:lastModifiedBy/>
  <dcterms:modified xsi:type="dcterms:W3CDTF">2026-07-22T14:32:17Z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