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ГОСУДАРСТВЕННЫЙ КОНТРАКТ №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____________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оказание услуг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г. Иркутск                                                                               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«____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» ___________ 202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6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года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color w:val="000000"/>
          <w:spacing w:val="1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color w:val="000000"/>
          <w:spacing w:val="1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pacing w:val="1"/>
          <w:sz w:val="25"/>
          <w:szCs w:val="25"/>
        </w:rPr>
      </w:r>
      <w:r>
        <w:rPr>
          <w:rFonts w:ascii="Times New Roman" w:hAnsi="Times New Roman" w:eastAsia="Times New Roman" w:cs="Times New Roman"/>
          <w:b/>
          <w:color w:val="000000"/>
          <w:spacing w:val="1"/>
          <w:sz w:val="25"/>
          <w:szCs w:val="25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Управление Федеральной службы государственной регистрации, кадастра и картографии по Иркутской области (Управление Росреестра по Иркутской области) от имени Российской Федерации, в целях обеспечения государственных нужд,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именуемое в дальнейшем 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«Заказчик»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в лице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______________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действующей на основании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____________________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с одной стороны и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___________________________,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именуемый в дальнейшем 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«Исполнитель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»,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в лице _________________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действу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ющего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на основании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_____________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с другой стороны, а при совместном упоминании именуемые </w:t>
      </w:r>
      <w:r>
        <w:rPr>
          <w:rFonts w:ascii="Times New Roman" w:hAnsi="Times New Roman" w:eastAsia="Times New Roman" w:cs="Times New Roman"/>
          <w:b/>
          <w:bCs/>
          <w:sz w:val="25"/>
          <w:szCs w:val="25"/>
          <w:lang w:eastAsia="ru-RU"/>
        </w:rPr>
        <w:t xml:space="preserve">«Стороны»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в соответствии с п. 4 ч. 1 ст. 93 Федерального закона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№ 44-ФЗ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от 05.04.2013 «О контрактной системе в сфере закупок товаров, работ, услуг для обеспечения государственных и муни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ципальных нужд» (далее – Закон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№ 44 – ФЗ) заключили настоящий Контракт о нижеследующем: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1. ПРЕДМЕТ КОНТРАКТА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pStyle w:val="890"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5"/>
          <w:szCs w:val="25"/>
          <w14:ligatures w14:val="none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1.1. Заказчик поручает, а Исполнитель о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бя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зуется оказать Заказчику услуги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val="ru-RU" w:eastAsia="ru-RU"/>
        </w:rPr>
        <w:t xml:space="preserve">по техническому обслуживанию и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val="ru-RU" w:eastAsia="ru-RU"/>
        </w:rPr>
        <w:t xml:space="preserve">регламентно</w:t>
      </w:r>
      <w:r>
        <w:rPr>
          <w:rFonts w:ascii="Times New Roman" w:hAnsi="Times New Roman" w:eastAsia="Times New Roman" w:cs="Times New Roman"/>
          <w:sz w:val="25"/>
          <w:szCs w:val="25"/>
          <w:lang w:val="ru-RU" w:eastAsia="ru-RU"/>
        </w:rPr>
        <w:t xml:space="preserve">-</w:t>
      </w:r>
      <w:r>
        <w:rPr>
          <w:rFonts w:ascii="Times New Roman" w:hAnsi="Times New Roman" w:eastAsia="Times New Roman" w:cs="Times New Roman"/>
          <w:sz w:val="25"/>
          <w:szCs w:val="25"/>
          <w:lang w:val="ru-RU" w:eastAsia="ru-RU"/>
        </w:rPr>
        <w:t xml:space="preserve">профилактическому ремонту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val="ru-RU" w:eastAsia="ru-RU"/>
        </w:rPr>
        <w:t xml:space="preserve"> индивидуального узла учета расхода тепловой энергии, в том числе на подготовку отопительной системы к зимнему сезону (далее – услуги)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в соответствии с Техн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ическим заданием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и Спецификацией (Приложения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№ 1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№ 2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к Контракт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у)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а Заказчик обязуется приня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ть и оплатить оказанные услуги.</w:t>
      </w:r>
      <w:r>
        <w:rPr>
          <w:rFonts w:ascii="Times New Roman" w:hAnsi="Times New Roman" w:eastAsia="Times New Roman" w:cs="Times New Roman"/>
          <w:b/>
          <w:sz w:val="25"/>
          <w:szCs w:val="25"/>
          <w14:ligatures w14:val="none"/>
        </w:rPr>
      </w:r>
      <w:r>
        <w:rPr>
          <w:rFonts w:ascii="Times New Roman" w:hAnsi="Times New Roman" w:eastAsia="Times New Roman" w:cs="Times New Roman"/>
          <w:b/>
          <w:sz w:val="25"/>
          <w:szCs w:val="25"/>
          <w14:ligatures w14:val="none"/>
        </w:rPr>
      </w:r>
    </w:p>
    <w:p>
      <w:pPr>
        <w:pStyle w:val="890"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1.2. 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Услуги оказываются Исполнителем в соответствии с требо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ваниями техн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ического задания (Приложение № 1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к Контракту), являющегося неотъемлемой частью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оказания услуг, действующими в Российской Федерации. </w:t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pStyle w:val="890"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1.3. </w:t>
      </w:r>
      <w:r>
        <w:rPr>
          <w:rFonts w:ascii="Times New Roman" w:hAnsi="Times New Roman" w:eastAsia="Times New Roman" w:cs="Times New Roman"/>
          <w:b/>
          <w:bCs/>
          <w:sz w:val="25"/>
          <w:szCs w:val="25"/>
          <w:lang w:eastAsia="ru-RU"/>
        </w:rPr>
        <w:t xml:space="preserve">Срок оказания услуг: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с даты заключения Контракта по 30.11.2026</w:t>
      </w:r>
      <w:r>
        <w:rPr>
          <w:rFonts w:ascii="Times New Roman" w:hAnsi="Times New Roman" w:eastAsia="Times New Roman" w:cs="Times New Roman"/>
          <w:bCs/>
          <w:color w:val="000000" w:themeColor="text1"/>
          <w:sz w:val="25"/>
          <w:szCs w:val="25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1.4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5"/>
          <w:szCs w:val="25"/>
          <w:lang w:eastAsia="ru-RU"/>
        </w:rPr>
        <w:t xml:space="preserve">Место оказания услуг: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г. Иркутск, ул. Академическая, д. 70;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                                             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г. Иркутск, ул. Академическая, д. 70А.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pStyle w:val="890"/>
        <w:numPr>
          <w:ilvl w:val="0"/>
          <w:numId w:val="26"/>
        </w:numPr>
        <w:ind w:right="-22"/>
        <w:jc w:val="center"/>
        <w:spacing w:after="0" w:line="0" w:lineRule="atLeast"/>
        <w:shd w:val="clear" w:color="auto" w:fill="ffffff"/>
        <w:rPr>
          <w:rFonts w:ascii="Times New Roman" w:hAnsi="Times New Roman" w:eastAsia="Times New Roman" w:cs="Times New Roman"/>
          <w:b/>
          <w:color w:val="000000"/>
          <w:spacing w:val="3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color w:val="000000"/>
          <w:spacing w:val="3"/>
          <w:sz w:val="25"/>
          <w:szCs w:val="25"/>
          <w:lang w:eastAsia="ru-RU"/>
        </w:rPr>
        <w:t xml:space="preserve">ЦЕНА КОНТРАКТА И ПОРЯДОК РАСЧЕТОВ</w:t>
      </w:r>
      <w:r>
        <w:rPr>
          <w:rFonts w:ascii="Times New Roman" w:hAnsi="Times New Roman" w:eastAsia="Times New Roman" w:cs="Times New Roman"/>
          <w:b/>
          <w:color w:val="000000"/>
          <w:spacing w:val="3"/>
          <w:sz w:val="25"/>
          <w:szCs w:val="25"/>
        </w:rPr>
      </w:r>
      <w:r>
        <w:rPr>
          <w:rFonts w:ascii="Times New Roman" w:hAnsi="Times New Roman" w:eastAsia="Times New Roman" w:cs="Times New Roman"/>
          <w:b/>
          <w:color w:val="000000"/>
          <w:spacing w:val="3"/>
          <w:sz w:val="25"/>
          <w:szCs w:val="25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2.1. Цена настоящего Контракта составляет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________________) рублей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копеек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в т.ч. НДС. </w:t>
      </w:r>
      <w:r>
        <w:rPr>
          <w:rFonts w:ascii="Times New Roman" w:hAnsi="Times New Roman" w:eastAsia="Times New Roman" w:cs="Times New Roman"/>
          <w:i/>
          <w:sz w:val="25"/>
          <w:szCs w:val="25"/>
          <w:lang w:eastAsia="ru-RU"/>
        </w:rPr>
        <w:t xml:space="preserve">(заполняется при условии наличия у Исполнителя обязанности по уплате НДС в соответствии с законодательством Российской Федерации о налогах</w:t>
      </w:r>
      <w:r>
        <w:rPr>
          <w:rFonts w:ascii="Times New Roman" w:hAnsi="Times New Roman" w:eastAsia="Times New Roman" w:cs="Times New Roman"/>
          <w:i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5"/>
          <w:szCs w:val="25"/>
          <w:lang w:eastAsia="ru-RU"/>
        </w:rPr>
        <w:t xml:space="preserve">и сборах. В случае если у Исполнителя в соответствии с законодательством Российской Федерации о налогах и сборах отсутствует обязанность по уплате налога на добавленную стоимость в настоящем пункте указывается «НДС не предусмотрено» с указанием основания).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2.2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Расчеты по Контракту будут производиться безналичным перечислением в срок, не более 10 (десяти) рабочих дней с даты подписания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Заказчиком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документов о приемке оказанных услуг (Акта или УПД).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Цена Контракта является твёрдой и н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е подлежит изменению в ходе его исполнения, за исключением случаев, предусмотренных ст. 95 Закона № 44-ФЗ.</w:t>
      </w:r>
      <w:r>
        <w:rPr>
          <w:rFonts w:ascii="Times New Roman" w:hAnsi="Times New Roman" w:eastAsia="Times New Roman" w:cs="Times New Roman"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. Сумма, подлежащая оплате Заказчиком, уменьшается на размер обязательных платежей в бюджеты бюджетной системы Российской Федерации (вкл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ючая налоги, сборы),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. Источник фин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ансирования: Федеральный бюджет.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. ПРАВА И ОБЯЗАННОСТИ СТОРОН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3.1. Заказчик вправе: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3.1.1. Проверять ход и качество оказания услуг, предусмотренных Контрактом, без вмешательства в оперативно-хозяйственную деятельность Исполнителя.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3.1.2. Заказчик вправе требовать от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Исполнителя надлежащего оказания услуг в соответствии с условиями настоящего Контракта и требованиями законодательства Российской Федерации, предъявляемыми к оказанию подобного рода услуг, а также требовать своевременного устранения выявленных недостатков.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3.1.3. Требовать от Исполнителя представления надлежащим образом оформленной отчетной документации и материалов, подтверждающих исполнение обязательств.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3.2. Заказчик обязан: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3.2.1. При поступлении запроса от Исполнителя, передать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Исполнителю имеющиеся исходные сведения, информацию, касающуюся оказания услуг, а также выполнить необходимые действия по обеспечению доступа представителей Исполнителя к месту оказания услуг для надлежащего исполнения обязательств по настоящему Контракту.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3.2.2. Обеспечить приемку оказанных услуг и провести экспертизу для проверки предоставленных Исполнителем результатов оказанных услуг, предусмотренных Контрактом, в части их соответствия условиям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3.2.3. 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3.2.4. Своевременно принять и оплатить надлежащим образом оказанные услуги в соответствии с Контрактом.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3.3. Исполнитель вправе: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3.3.1. Требовать своевременной оплаты оказанных услуг в соответствии с п</w:t>
      </w:r>
      <w:r>
        <w:rPr>
          <w:rFonts w:ascii="Times New Roman" w:hAnsi="Times New Roman" w:eastAsia="Times New Roman" w:cs="Times New Roman"/>
          <w:color w:val="000000" w:themeColor="text1"/>
          <w:sz w:val="25"/>
          <w:szCs w:val="25"/>
          <w:lang w:eastAsia="ru-RU"/>
        </w:rPr>
        <w:t xml:space="preserve">. </w:t>
      </w:r>
      <w:hyperlink r:id="rId10" w:tooltip="file:///C:\n.lavrikova\Рабочий%20стол\ЗАЯВКА%2044фз\УСЛУГИ,%20РАБОТЫ\2850%20вывоз%20быт.%20отходов%20Куйтун\2850%20док..doc#Par704" w:anchor="Par704" w:history="1">
        <w:r>
          <w:rPr>
            <w:rFonts w:ascii="Times New Roman" w:hAnsi="Times New Roman" w:eastAsia="Times New Roman" w:cs="Times New Roman"/>
            <w:color w:val="000000" w:themeColor="text1"/>
            <w:sz w:val="25"/>
            <w:szCs w:val="25"/>
            <w:lang w:eastAsia="ru-RU"/>
          </w:rPr>
          <w:t xml:space="preserve">2.2</w:t>
        </w:r>
        <w:r>
          <w:rPr>
            <w:rFonts w:ascii="Times New Roman" w:hAnsi="Times New Roman" w:eastAsia="Times New Roman" w:cs="Times New Roman"/>
            <w:color w:val="000000" w:themeColor="text1"/>
            <w:sz w:val="25"/>
            <w:szCs w:val="25"/>
            <w:lang w:eastAsia="ru-RU"/>
          </w:rPr>
          <w:t xml:space="preserve">.</w:t>
        </w:r>
      </w:hyperlink>
      <w:r>
        <w:rPr>
          <w:rFonts w:ascii="Times New Roman" w:hAnsi="Times New Roman" w:eastAsia="Times New Roman" w:cs="Times New Roman"/>
          <w:color w:val="000000" w:themeColor="text1"/>
          <w:sz w:val="25"/>
          <w:szCs w:val="25"/>
          <w:lang w:eastAsia="ru-RU"/>
        </w:rPr>
        <w:t xml:space="preserve"> Контракта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3.4. Исполнитель обязан: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3.4.1.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ab/>
        <w:t xml:space="preserve">Оказать услуги надлежащего качества в соответствии с действующими в Российской Федерации нормами, правилами, государственными стандартами, регулирующими правила и порядок оказания услуг, в объеме, в соответствии с Техническим задани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 w:themeColor="text1"/>
          <w:sz w:val="25"/>
          <w:szCs w:val="25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5"/>
          <w:szCs w:val="25"/>
          <w:lang w:eastAsia="ru-RU"/>
        </w:rPr>
        <w:t xml:space="preserve">Приложение № 1</w:t>
      </w:r>
      <w:r>
        <w:rPr>
          <w:rFonts w:ascii="Times New Roman" w:hAnsi="Times New Roman" w:eastAsia="Times New Roman" w:cs="Times New Roman"/>
          <w:color w:val="000000" w:themeColor="text1"/>
          <w:sz w:val="25"/>
          <w:szCs w:val="25"/>
          <w:lang w:eastAsia="ru-RU"/>
        </w:rPr>
        <w:t xml:space="preserve"> к Контракту). </w:t>
      </w:r>
      <w:r>
        <w:rPr>
          <w:rFonts w:ascii="Times New Roman" w:hAnsi="Times New Roman" w:eastAsia="Times New Roman" w:cs="Times New Roman"/>
          <w:color w:val="ff0000"/>
          <w:sz w:val="25"/>
          <w:szCs w:val="25"/>
        </w:rPr>
      </w:r>
      <w:r>
        <w:rPr>
          <w:rFonts w:ascii="Times New Roman" w:hAnsi="Times New Roman" w:eastAsia="Times New Roman" w:cs="Times New Roman"/>
          <w:color w:val="ff0000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3.4.2. В течение 2 (двух) рабочих дней с момента заключения Контракта предоставить Заказчику сведения о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б адресе места нахождения, телефоне, электронной почте, должности, Ф.И.О. лица, ответственного за надлежащее исполнение настоящего Контракта, кому может быть направлена информация о ходе исполнения Контракта, а также претензии к качеству оказываемых услуг.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3.4.3.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обязан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перед началом оказания услуг согласовать с Заказчиком график выполнения услуг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При оказании услуг соблюдать все необходимые меры пожарной безопасности, правила электробезопасности, санитарные нормы и правила, правила охраны труда и охраны окружающей среды в течение всего срока оказания услуг, вплоть до их завершения.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Осуществлять контроль качества оказываемых услуг в соответствии с действующими нормами и правилами. 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В случае нарушения Исполнителем т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ехнологии при оказании услуг, техники безопасности, правил пожарной безопасности при выполнении своих обязательств по Контракту, в результате чего имуществу Заказчика нанесен ущерб Исполнитель обязан компенсировать все убытки, возникшие в результате этого.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В случае предъявления третьими лицами к Заказчику требований, связанных с причинением им ущерба и/или нарушением их прав, возникших в ходе исполнения настоящего Контракта, Исп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олнитель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Исполнителем.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Устранить по требованию Заказчика за свой счет все выявленные при приемке услуг замечания и/или недостатки, ухудшившие результат услуг, в установленный Заказчиком срок.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Основанием для устранения возникающих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замечаний/недостатков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является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письменная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заявка уполномоч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енного представителя Заказчика.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Обеспечить привлечение квалифицированного персонала для организации и оказания услуг по настоящему Контракту.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3.4.9. При проведении на объекте газо-электросварочных и иных огневых работ оформить по соответствующей форме разрешение на производство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таких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работ, согласованное уполномоченным представителем Заказчика. 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3.4.10. Согласовывать с Заказчиком привлечение к исполне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нию своих обязательств по настоящему Контракту других лиц -  субподрядчиков, обладающих специальными знаниями, навыками, квалификацией, специальным оборудованием и т.п., по видам (содержанию), предусмотренных в Приложении № 1 к настоящему Контракту услуг. 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3.4.11. Обеспечивать надлежащий контроль за ходом оказания услуг, и нес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ответственность перед Заказчиком за неисполнение или ненадлежащее исполнение обязательств субподрядчиков. Привлечение субподрядчиков не влечет за собой изменения стоимости и объемов услуг по настоящему Контракту.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3.4.12.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Обеспечить при оказании услуг соблюдение требований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ссийской Федерации и Контрактом.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3.4.13.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ыявленные во время осмотров дефекты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обязуется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устранять по возможности немедленно или же устранить в течение 1 (одного) рабочего дня.</w:t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3.4.14. 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течение 3 (Трех) рабочих дней с момента получения от Заказчика акта сверки взаимных расчетов, подписать такой акт и направить в обратный адрес Заказчика тем же способом, которым акт получен от Заказчика или предоставить контррасчет.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При неполучении Заказчиком в установленный срок подписанного Исполнителем акта сверки взаимных расчетов или контррасчета, акт сверки взаимных расчетов считается принятым Исполнителем в редакции Заказчика.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color w:val="000000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/>
          <w:color w:val="000000"/>
          <w:sz w:val="25"/>
          <w:szCs w:val="25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color w:val="000000"/>
          <w:sz w:val="25"/>
          <w:szCs w:val="25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color w:val="000000"/>
          <w:sz w:val="25"/>
          <w:szCs w:val="25"/>
          <w:lang w:eastAsia="ru-RU"/>
        </w:rPr>
        <w:t xml:space="preserve">. ПОРЯДОК ОКАЗАНИЯ УСЛУГ, ПРИЕМКИ ИХ РЕЗУЛЬТАТОВ</w:t>
      </w:r>
      <w:r>
        <w:rPr>
          <w:rFonts w:ascii="Times New Roman" w:hAnsi="Times New Roman" w:eastAsia="Times New Roman" w:cs="Times New Roman"/>
          <w:b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/>
          <w:color w:val="000000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4.1. Расчетный период по Контракту – календарный месяц. По окончании оказания услуг, Исполнитель ежемесячно, в течение 5 (пяти) рабочих дней направляет Заказчику документ об исполнении Контракта (акт оказанных услуг или УПД).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При приемке оказанной услуги Заказчик обеспечивает проверку оказанной услуги на соответствие требованиям настоящего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4.2. Обязательным для обеих Сторон условием исполнения настоящего Контракта является проведение экспертизы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оказанной услуги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в порядке, предусмотренном Законом № 44-ФЗ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Экспертиза осуществляется Заказчиком в срок, не превышающий срок приемки оказанной услуги.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4.3. Исполнитель предоставляет Заказчику документы о приемке оказанной услуги в двух экземплярах.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4.4. Заказчик осуществляет приемку оказанной услуги, предусмотренной настоя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щим Контрактом, в части соответствия условиям Контракта, включая проведение силами Заказчика экспертизы соответствия оказанной услуги условиям Контракта, в течение 5 (пяти) рабочих дней с даты получения документов о приемке оказанной услуги от Исполнителя.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4.5. В случае если по результатам приемки оказанной услуги не установлено нарушений требований Контракта, Заказчик в течение 5 (пяти) рабочих дней подписывает документы о приемке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оказанной услуги и передает один экземпляр документа о приемке Исполнителю. При выявленных недостатках Заказчик направляет Исполнителю мотивированный отказ от приемки услуг и подписания акта сдачи-приемки оказанных услуг с перечнем выявленных недостатков.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4.6. Услуга считается принятой Заказчиком с момента подписания и утверждения Заказчиком документа о приемке оказанной услуги.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. ТРЕБОВАНИЯ К ГАРАНТИИ И ГАРАНТИЙНОМУ СРОКУ 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pStyle w:val="893"/>
        <w:ind w:firstLine="540"/>
        <w:jc w:val="both"/>
        <w:tabs>
          <w:tab w:val="left" w:pos="567" w:leader="none"/>
          <w:tab w:val="left" w:pos="8280" w:leader="none"/>
        </w:tabs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</w:t>
      </w:r>
      <w:r>
        <w:rPr>
          <w:rFonts w:ascii="Times New Roman" w:hAnsi="Times New Roman" w:cs="Times New Roman"/>
          <w:sz w:val="25"/>
          <w:szCs w:val="25"/>
        </w:rPr>
        <w:t xml:space="preserve">.1. Качество оказываемых услуг Исполнителем должно соответствовать действующим нормам и правилам.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93"/>
        <w:ind w:firstLine="540"/>
        <w:jc w:val="both"/>
        <w:tabs>
          <w:tab w:val="left" w:pos="8280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5.2.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Услуги оказываются в соответствии с нормативно-техническими требованиями действующих Правил, строительных и санитарных норм и правил, Стандартов и других законодательных и нормативно-техни</w:t>
      </w:r>
      <w:r>
        <w:rPr>
          <w:rFonts w:ascii="Times New Roman" w:hAnsi="Times New Roman" w:cs="Times New Roman"/>
          <w:sz w:val="25"/>
          <w:szCs w:val="25"/>
        </w:rPr>
        <w:t xml:space="preserve">ческих документов.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893"/>
        <w:ind w:firstLine="540"/>
        <w:jc w:val="both"/>
        <w:tabs>
          <w:tab w:val="left" w:pos="8280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5.3. Гарантия на оказанные услуги составляет 6 (шесть) месяцев с даты подписания документа о приемке Заказчиком.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895"/>
        <w:ind w:firstLine="567"/>
        <w:spacing w:before="0" w:after="0" w:line="240" w:lineRule="auto"/>
        <w:shd w:val="clear" w:color="auto" w:fill="auto"/>
        <w:widowControl w:val="off"/>
        <w:rPr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</w:rPr>
        <w:t xml:space="preserve">5.4. Устранение дефектов, выявленных в период гарантийного срока производится за счет Исполнителя в срок, установленный Заказчиком в извещении о выявлении таких дефектов.</w:t>
      </w:r>
      <w:r>
        <w:rPr>
          <w:color w:val="000000" w:themeColor="text1"/>
          <w:sz w:val="25"/>
          <w:szCs w:val="25"/>
        </w:rPr>
      </w:r>
      <w:r>
        <w:rPr>
          <w:color w:val="000000" w:themeColor="text1"/>
          <w:sz w:val="25"/>
          <w:szCs w:val="25"/>
        </w:rPr>
      </w:r>
    </w:p>
    <w:p>
      <w:pPr>
        <w:jc w:val="left"/>
        <w:spacing w:after="60" w:line="240" w:lineRule="auto"/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6. ОТВЕТСТВЕННОСТЬ СТОРОН</w:t>
      </w:r>
      <w:r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6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.1. В случае неисполнения или ненадлежащего исполнения обязательств, установленных Контрактом Исполнитель уплачивает Заказчику неустойку (пени, штрафы). Пеня начисляется за каждый день просрочки исполнения Исполнителем обязательства, предусмотренного Контр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а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ктом, начиная со дня, следующего после дня истечения установленного Контрактом срока исполнения обязательства, и устанавливается в размере 1/300 ключевой ставки Центрального банка Российской Федерации от цены Контракта, уменьшенной на сумму, пропорциональн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у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ю объему обязательств, предусмотренных Контрактом и фактически исполненных Исполнителем.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обязательств (в том числе гарантийного обязательства), предусмотренных Контрактом. Размер штрафа устанавливается Контрактом в виде фиксированной суммы – 10 (десять) процентов цены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  <w:r/>
    </w:p>
    <w:p>
      <w:pPr>
        <w:ind w:firstLine="567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6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а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а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 и составляет 1000 рублей.</w:t>
      </w:r>
      <w:r>
        <w:rPr>
          <w:rFonts w:ascii="Times New Roman" w:hAnsi="Times New Roman" w:eastAsia="Times New Roman" w:cs="Times New Roman"/>
          <w:sz w:val="25"/>
          <w:szCs w:val="25"/>
        </w:rPr>
      </w:r>
      <w:r/>
    </w:p>
    <w:p>
      <w:pPr>
        <w:ind w:firstLine="567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6.3. Уплата неустойки не освобождает Стороны от исполнения обязательств по настоящему Контракту или устранения нарушений, если иное не предусмотрено действующим законодательством РФ.</w:t>
      </w:r>
      <w:r>
        <w:rPr>
          <w:rFonts w:ascii="Times New Roman" w:hAnsi="Times New Roman" w:eastAsia="Times New Roman" w:cs="Times New Roman"/>
          <w:sz w:val="25"/>
          <w:szCs w:val="25"/>
        </w:rPr>
      </w:r>
      <w:r/>
    </w:p>
    <w:p>
      <w:pPr>
        <w:ind w:firstLine="567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5"/>
          <w:szCs w:val="25"/>
        </w:rPr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xml:space="preserve">6.5.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color w:val="000000"/>
          <w:sz w:val="25"/>
          <w:szCs w:val="25"/>
          <w:lang w:eastAsia="ru-RU"/>
        </w:rPr>
        <w:t xml:space="preserve">7. ОБСТОЯТЕЛЬСТВА НЕПРЕОДОЛИМОЙ СИЛЫ</w:t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7.1. Стороны освобождаются от ответственности за ненадлежащее исполнение</w:t>
      </w: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 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непреодолимой силы и если эти обстоятельства непосредственно повлияли на исполнение настоящего Контракта.</w:t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7.2.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7.3. Сторона, для которой создалась невозможность исполнения обязательств по Контракту вследствие обстоятельств непреодолимой силы, должна о наступлении этих обстоятельств письменно известить другую Сторону без промедления, однако не позднее 1</w:t>
      </w: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0</w:t>
      </w: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 (десяти) дней с момента их наступления. </w:t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7.3.1. Извещение должно содержа</w:t>
      </w: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ть данные о наступлении и о характере обстоятельств  и возможных последствиях. Сторона также без промедления, должна письменно известить другую Сторону о прекращении этих обстоятельств, однако не позднее 10 (десяти) дней с момента прекращения их действия. </w:t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7.3.2. Не извещение или несвоевременное извещение другой Стороны Стороной, для которой создалась невозможность исполнения обязательств по Контракту, о наступлении </w:t>
      </w:r>
      <w:r>
        <w:rPr>
          <w:rFonts w:ascii="Times New Roman" w:hAnsi="Times New Roman" w:eastAsia="Times New Roman" w:cs="Times New Roman"/>
          <w:bCs/>
          <w:sz w:val="25"/>
          <w:szCs w:val="25"/>
        </w:rPr>
        <w:t xml:space="preserve">обстоятельств, освобождающих её от ответственности, влечет за собой утрату права для этой Стороны ссылаться на эти обстоятельства.</w:t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Cs/>
          <w:sz w:val="25"/>
          <w:szCs w:val="25"/>
        </w:rPr>
      </w:r>
    </w:p>
    <w:p>
      <w:pPr>
        <w:jc w:val="center"/>
        <w:spacing w:after="6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8. ПОРЯДОК РАЗРЕШЕНИЯ СПОРОВ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.2. Претензия в письменной форме направляется Стороне, допустившей нарушение условий Контракта. 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.3. В случае направления претензии, в ней перечисляются доп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8.4.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Срок рассмотрения писем, уведомлений или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претензий не может превышать 7 (семи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) календарных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.5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Сторона должна предоставить ответ на документ, направляемый при применении мер ответственности и совершении иных действий, связанных с нарушением условий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онтракта, по существу в срок не позднее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7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(семи)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календарных дней с даты получения такого документа.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.6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 При неурегулировании Сторонами спора в досудебном порядке, спор разрешается в судебном порядке в Арбитражном суде Иркутской области.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both"/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  <w:outlineLvl w:val="5"/>
      </w:pP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  <w:lang w:eastAsia="ru-RU"/>
        </w:rPr>
        <w:t xml:space="preserve">9. ИЗМЕНЕНИЕ И РАСТОРЖЕНИЕ КОНТРАКТА</w:t>
      </w: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.1. Любые изменения и дополнения к настоящему Контракту возможны только в случаях, прямо предусмотренных законом и имеют силу только при условии их оформления в письменном виде и подписания Сторонами в случаях, предусмотренных статьей 95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Закона № 44-ФЗ.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установленном ст. 95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Закона № 44-ФЗ.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 w:eastAsia="Times New Roman" w:cs="Times New Roman"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color w:val="000000"/>
          <w:sz w:val="25"/>
          <w:szCs w:val="25"/>
        </w:rPr>
      </w:r>
    </w:p>
    <w:p>
      <w:pPr>
        <w:ind w:firstLine="567"/>
        <w:jc w:val="center"/>
        <w:spacing w:after="12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  <w:lang w:eastAsia="ru-RU"/>
        </w:rPr>
        <w:t xml:space="preserve">10. ОСОБЫЕ УСЛОВИЯ</w:t>
      </w: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10.1. Настоящий Контракт вступает в силу с момента подписания его Ст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оронами, действует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5"/>
          <w:szCs w:val="25"/>
          <w:lang w:eastAsia="ru-RU"/>
        </w:rPr>
        <w:t xml:space="preserve">до</w:t>
      </w:r>
      <w:r>
        <w:rPr>
          <w:rFonts w:ascii="Times New Roman" w:hAnsi="Times New Roman" w:eastAsia="Times New Roman" w:cs="Times New Roman"/>
          <w:b/>
          <w:bCs/>
          <w:color w:val="000000"/>
          <w:sz w:val="25"/>
          <w:szCs w:val="25"/>
          <w:lang w:eastAsia="ru-RU"/>
        </w:rPr>
        <w:t xml:space="preserve"> ___________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, а в части неисполненных обязательств до момента надлежащего их исполнения.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10.2. При изменении у одной из Сторон местонахождения, наименования, банковских и других реквизитов она обязана в течение 3 рабочих дней письменно известить об этом другую Сторону.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10.3. Настоящий Контракт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10.4. Заказчик устанавливает к Исполнителю единые требования, установленные частями 1, 1.1. статьи 31 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Закона № 44-ФЗ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, а Исполнитель подтверждает свое соответствие указанным требованиям в полном объеме.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10.5. Любая корреспонденция, которую одна Сторона направляет другой Стороне в соответствии с Контрактом, направля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законом 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№ 63-ФЗ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 от 6 апреля 2011 «Об электронной подписи».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10.6. В соответствии с п. 1 ст. 6 Федерального закона 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№ 63-ФЗ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 от 06.04.2011 «Об электронной подписи» и ст. 160 Гражданского кодекса Российской Федерации, Контракт, дополнительные соглашени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я, соглашения о расторжении и документы о приемке поставленного товара (выполненной работы, оказанной услуги) по Контракту, могут быть подписаны квалифицированной электронной подписью в форме электронного документа в системе «Контур.Диадок» (при наличии).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10.7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. Все приложения к настоящему Контракту являются его неотъемлемой частью.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10.8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. При исполне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нии настоящего Контракта не допускается перемена Исполнителя, за исключением случая, если новый Исполнитель является правопреемником Исполнителя по настоящему Контракту вследствие реорганизации Исполнителя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10.9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Контракту.</w:t>
      </w:r>
      <w:r>
        <w:rPr>
          <w:rFonts w:ascii="Times New Roman" w:hAnsi="Times New Roman" w:eastAsia="Times New Roman" w:cs="Times New Roman"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10.10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. Во всем, что не предусмотрено настоящим Контрактом, Стороны руководствуются законода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тельством Российской Федерации.</w:t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10.11. Неотъемлемой частью настоящего Контракта являются следующие приложения: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</w:rPr>
      </w:pP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           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Приложение № 1 –</w:t>
      </w:r>
      <w:r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  <w:lang w:eastAsia="ru-RU"/>
        </w:rPr>
        <w:t xml:space="preserve">Техническое задание.</w:t>
      </w:r>
      <w:r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</w:rPr>
      </w:r>
      <w:r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</w:rPr>
      </w:r>
    </w:p>
    <w:p>
      <w:pPr>
        <w:ind w:firstLine="709"/>
        <w:jc w:val="both"/>
        <w:widowControl w:val="off"/>
        <w:tabs>
          <w:tab w:val="left" w:pos="709" w:leader="none"/>
        </w:tabs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</w:rPr>
      </w:pP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           Приложение № 2</w:t>
      </w:r>
      <w:r>
        <w:rPr>
          <w:rFonts w:ascii="Times New Roman" w:hAnsi="Times New Roman" w:eastAsia="Times New Roman" w:cs="Times New Roman"/>
          <w:color w:val="000000"/>
          <w:sz w:val="25"/>
          <w:szCs w:val="25"/>
          <w:lang w:eastAsia="ru-RU"/>
        </w:rPr>
        <w:t xml:space="preserve"> –</w:t>
      </w:r>
      <w:r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  <w:lang w:eastAsia="ru-RU"/>
        </w:rPr>
        <w:t xml:space="preserve">Спецификация.</w:t>
      </w:r>
      <w:r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</w:rPr>
      </w:r>
      <w:r>
        <w:rPr>
          <w:rFonts w:ascii="Times New Roman" w:hAnsi="Times New Roman" w:eastAsia="Times New Roman" w:cs="Times New Roman"/>
          <w:color w:val="000000"/>
          <w:spacing w:val="3"/>
          <w:sz w:val="25"/>
          <w:szCs w:val="25"/>
        </w:rPr>
      </w:r>
    </w:p>
    <w:p>
      <w:pPr>
        <w:jc w:val="both"/>
        <w:spacing w:after="6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color w:val="000000"/>
          <w:sz w:val="25"/>
          <w:szCs w:val="25"/>
          <w:lang w:eastAsia="ru-RU"/>
        </w:rPr>
        <w:t xml:space="preserve">               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. ЮРИДИЧЕСКИЕ АДРЕСА И ПЛАТЕЖНЫЕ РЕКВИЗИТЫ СТОРОН</w:t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  <w:r>
        <w:rPr>
          <w:rFonts w:ascii="Times New Roman" w:hAnsi="Times New Roman" w:eastAsia="Times New Roman" w:cs="Times New Roman"/>
          <w:b/>
          <w:sz w:val="25"/>
          <w:szCs w:val="25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6"/>
        <w:gridCol w:w="534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left="35" w:hanging="35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___________________/_____________/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528" w:type="dxa"/>
            <w:textDirection w:val="lrTb"/>
            <w:noWrap w:val="false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03"/>
            </w:tblGrid>
            <w:tr>
              <w:tblPrEx/>
              <w:trPr/>
              <w:tc>
                <w:tcPr>
                  <w:tcW w:w="5103" w:type="dxa"/>
                  <w:textDirection w:val="lrTb"/>
                  <w:noWrap w:val="false"/>
                </w:tcPr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Управление Федеральной службы государственной регистрации, кадастра и 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картографии по Иркутской области (Управление Росреестра по Иркутской области)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664056, Иркутская область, г. Иркутск, 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ул. Академическая, 70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Тел. 8 (3952) 450-100, 450-200;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эл. почта: 38_upr@rosreestr.ru,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ИНН 3808114653, КПП 381201001,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ОГРН 1043801066760, ОКТМО 25701000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РАСХОДНЫЙ СЧЕТ 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Получатель - УФК по Приморскому краю (УПРАВЛЕНИЕ РОСРЕЕСТРА ПО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ИРКУТСКОЙ ОБЛАСТИ, л/с 03341А39050)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ИНН 3808114653 / КПП 381201001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ОКТМО 25701000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Наименование Банка получателя – ОКЦ № 1 ДАЛЬНЕВОСТОЧНОГО ГУ БАНКА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РОССИИ//УФК по Приморскому краю, г. Владивосток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Сокращенное наименование Банка получателя - ОКЦ № 1 ДГУ БАНКА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РОССИИ//УФК по Приморскому краю, г. Владивосток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БИК ТОФК – 010507002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Номер банковского счета (ЕКС) - 40102810545370000012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Номер казначейского счета - 03211643000000012010</w:t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ДОХОДНЫЙ СЧЕТ 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Получатель - УФК по Иркутской области (Управление федеральной службы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государственной регистрации, кадастра и картографии по Иркутской области, л/с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04341А39050)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ИНН 3808114653 / КПП 381201001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ОКТМО 25701000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Наименование Банка получателя - ОКЦ № 4 Сибирского ГУ Банка России//УФК по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Иркутской области г. Иркутск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Сокращенное наименование Банка получателя - ОКЦ № 4 СибГУ Банка России//УФК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по Иркутской области г. Иркутск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БИК Банка получателя - 012520101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Номер банковского счета (ЕКС) 40102810145370000026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Номер казначейского счета 03100643000000013400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nos" w:hAnsi="Tinos" w:cs="Tinos"/>
                      <w:sz w:val="22"/>
                      <w:szCs w:val="22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К</w:t>
                  </w: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БК 321 116 07010 01 9000 140 - штрафы, неустойки, пени, уплаченные в случае просрочки исполнения поставщиком (подрядчиком, исполнителем) обязательств, предусмотренных госуд</w:t>
                  </w: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арственным контрактом, заключенным федеральным государственным органом, федеральным </w:t>
                  </w: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казенным учреждением, государственной корпорацией (иные штрафы).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К</w:t>
                  </w: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БК 321 116 07090 01 9000 140 -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</w:t>
                  </w:r>
                  <w:r>
                    <w:rPr>
                      <w:rFonts w:ascii="Tinos" w:hAnsi="Tinos" w:eastAsia="Tinos" w:cs="Tinos"/>
                      <w:color w:val="000000"/>
                      <w:sz w:val="22"/>
                      <w:szCs w:val="22"/>
                      <w:lang w:eastAsia="ru-RU"/>
                    </w:rPr>
                    <w:t xml:space="preserve">ральным банком Российской Федерации, государственной корпорацией (иные штрафы).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highlight w:val="none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highlight w:val="none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highlight w:val="none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02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________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_________________/____________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/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r>
                </w:p>
              </w:tc>
            </w:tr>
          </w:tbl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6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both"/>
        <w:spacing w:after="6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both"/>
        <w:spacing w:after="6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hd w:val="nil" w:color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395"/>
        <w:jc w:val="right"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осударственному контракту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4395"/>
        <w:jc w:val="right"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«___»  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 2026 года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на оказание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услуг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по техническому обслуживанию 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регламентно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-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профилактическому ремонту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 индивидуального узла учета расхода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тепловой энергии, в том числе на подготовку отопительной системы к зимнему сезону</w:t>
      </w:r>
      <w:r>
        <w:rPr>
          <w:rFonts w:ascii="Times New Roman" w:hAnsi="Times New Roman" w:eastAsia="Times New Roman" w:cs="Times New Roman"/>
          <w:b/>
          <w14:ligatures w14:val="none"/>
        </w:rPr>
      </w:r>
      <w:r>
        <w:rPr>
          <w:rFonts w:ascii="Times New Roman" w:hAnsi="Times New Roman" w:eastAsia="Times New Roman" w:cs="Times New Roman"/>
          <w:b/>
          <w14:ligatures w14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1. Предмет Контракта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казание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слуг по техническому обслуживанию и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регламентно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профилактическому ремонту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индивидуального узла учета расхода тепловой энергии, в том числе на подготовку отопительной системы к зимнему сезону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color w:val="000000"/>
          <w:sz w:val="23"/>
          <w:szCs w:val="23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2. Код ОКПД2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43.22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 Место оказания услуг: 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  <w14:ligatures w14:val="none"/>
        </w:rPr>
      </w:r>
    </w:p>
    <w:p>
      <w:pPr>
        <w:pStyle w:val="890"/>
        <w:numPr>
          <w:ilvl w:val="0"/>
          <w:numId w:val="29"/>
        </w:numPr>
        <w:ind w:right="0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г. Иркутск, ул. Академическая, 70;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</w:p>
    <w:p>
      <w:pPr>
        <w:pStyle w:val="890"/>
        <w:numPr>
          <w:ilvl w:val="0"/>
          <w:numId w:val="29"/>
        </w:numPr>
        <w:ind w:right="0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г. Иркутск, ул. Академическая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, 70А.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4.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Срок оказания услуг: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с даты заключения Контракта по 30.11.2026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5. Наименование установленного оборудования (индивидуального теплового пункта):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14:ligatures w14:val="none"/>
        </w:rPr>
      </w:r>
    </w:p>
    <w:p>
      <w:pPr>
        <w:ind w:left="567" w:right="0" w:firstLine="0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по адресу: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г. Иркутск, ул. Академическая, 70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: узел учета тепловой энергии на базе теплосчетчика: ВЗЛТ TGPB - 026М № 1111205;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</w:p>
    <w:p>
      <w:pPr>
        <w:ind w:left="567" w:right="0" w:firstLine="0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по адресу: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г. Иркутск, ул. Академическая, 70А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: узел учета тепловой энергии на базе теплосчетчика: ТЭМ - 104 № 1241874.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6.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 Перечень услуг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В ходе оказания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слуг по техническому обслуживанию и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регламентно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профилактическому ремонту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индивидуального узла учета расхода тепловой энергии, в том числе на подготовку отопительной системы к зимнему сезону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 в помещениях Управления Росреестра по Иркутской области Исполнитель выполняет: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- распечатку ведомостей теплопотребления, со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ставление отчета и защиту его в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теплоснабжающей организации;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- контроль технического состояния оборудования ИТП (раз в неделю);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- оперативное реагирование на возникновение чрезвычайных ситуаций в ИТП;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 - проверку плотности всех соединений с подтяжкой болтов, замена втулок, очистка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измерительных участков и механических фильтров;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7.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Техническое обслуживание и регл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аментно-профилактический ремонт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индивидуального узла учета расхода тепловой энергии должен проводиться согласно: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- инструкций по эксплуатации заводов-изготовителей;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- руководящих документов;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- строительных норм и правил (СНиП);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- правилам эксплуатации электроустановок;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- правилам пожарной безопасности;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 - правилам и инструкций по охране труда для специалистов, осуществляющих техническое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обслуживание и регламентно - профилактический ремонт индивидуального теплового пункта и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другим требованиям действующего законодательства и Заказчика.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8. 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Техническ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ое обслуживание и регл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аментно-профилактический ремонт 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индивидуального узла учета расхода теплов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eastAsia="ru-RU"/>
        </w:rPr>
        <w:t xml:space="preserve">ой энергии должен проводиться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</w:rPr>
        <w:t xml:space="preserve"> с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</w:rPr>
        <w:t xml:space="preserve">соблюдением правил внутреннего трудового распо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</w:rPr>
        <w:t xml:space="preserve">рядка, контрольно – пропускного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3"/>
          <w:szCs w:val="23"/>
          <w:lang w:eastAsia="ru-RU"/>
        </w:rPr>
        <w:t xml:space="preserve">режима Заказчика.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9. Гарантийный срок.</w:t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szCs w:val="23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Исполнитель гарантирует Заказчику качество оказанных услуг в соответствии с требованиями, предусмотренными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  <w:t xml:space="preserve">Контрактом.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Качество оказываемых услуг Исполнителем должно соответствовать действующим нормам и правилам.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Гарантия на оказанные услуги составляет 6 (шесть) месяцев с даты подписания документа о приемке Заказчиком.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  <w:t xml:space="preserve">Устранение дефектов, выявленных в период гарантийного срока производится за счет Исполнителя в срок, установленный Заказчиком в извещении о выявлении таких дефектов.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tabs>
          <w:tab w:val="left" w:pos="782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24"/>
        <w:gridCol w:w="4940"/>
      </w:tblGrid>
      <w:tr>
        <w:tblPrEx/>
        <w:trPr/>
        <w:tc>
          <w:tcPr>
            <w:tcW w:w="4524" w:type="dxa"/>
            <w:textDirection w:val="lrTb"/>
            <w:noWrap w:val="false"/>
          </w:tcPr>
          <w:p>
            <w:pPr>
              <w:ind w:right="-1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right="-1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right="-1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________________/_____________/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940" w:type="dxa"/>
            <w:textDirection w:val="lrTb"/>
            <w:noWrap w:val="false"/>
          </w:tcPr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2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2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_______________________/______________/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395"/>
        <w:jc w:val="right"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осударственному контракту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4395"/>
        <w:jc w:val="right"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«__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_»  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 2026 года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Спецификация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spacing w:after="0" w:line="240" w:lineRule="auto"/>
        <w:tabs>
          <w:tab w:val="left" w:pos="-4860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W w:w="103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3820"/>
        <w:gridCol w:w="708"/>
        <w:gridCol w:w="1276"/>
        <w:gridCol w:w="1559"/>
        <w:gridCol w:w="2297"/>
      </w:tblGrid>
      <w:tr>
        <w:tblPrEx/>
        <w:trPr/>
        <w:tc>
          <w:tcPr>
            <w:tcW w:w="6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3820" w:type="dxa"/>
            <w:vAlign w:val="center"/>
            <w:textDirection w:val="lrTb"/>
            <w:noWrap w:val="false"/>
          </w:tcPr>
          <w:p>
            <w:pPr>
              <w:ind w:firstLine="2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Наименование услуги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ind w:left="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за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 мес.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руб.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(с НДС при наличии)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297" w:type="dxa"/>
            <w:vAlign w:val="center"/>
            <w:textDirection w:val="lrTb"/>
            <w:noWrap w:val="false"/>
          </w:tcPr>
          <w:p>
            <w:pPr>
              <w:ind w:firstLine="2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Общая стоимость услуг, руб.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(с НДС при наличии)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6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3820" w:type="dxa"/>
            <w:vAlign w:val="center"/>
            <w:textDirection w:val="lrTb"/>
            <w:noWrap w:val="false"/>
          </w:tcPr>
          <w:p>
            <w:pPr>
              <w:ind w:firstLine="2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Услуги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по техническому обслуживанию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регламентно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профилактическому ремонту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индивидуального узла учета расхода тепловой энергии, в том числе на подготовку отопительной системы к зимнему сезону (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по адресу: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г. Иркутск, ул. Академическая, 70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: узел учета тепловой энергии на базе теплосчетчика: ВЗЛТ TGPB - 026М № 1111205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Мес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297" w:type="dxa"/>
            <w:vAlign w:val="center"/>
            <w:vMerge w:val="restart"/>
            <w:textDirection w:val="lrTb"/>
            <w:noWrap w:val="false"/>
          </w:tcPr>
          <w:p>
            <w:pPr>
              <w:ind w:firstLine="2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6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3820" w:type="dxa"/>
            <w:vAlign w:val="center"/>
            <w:vMerge w:val="restart"/>
            <w:textDirection w:val="lrTb"/>
            <w:noWrap w:val="false"/>
          </w:tcPr>
          <w:p>
            <w:pPr>
              <w:ind w:firstLine="24"/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Услуги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по техническому обслуживанию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регламентно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профилактическому ремонту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индивидуального узла учета расхода тепловой энергии, в том числе на подготовку отопительной системы к зимнему сезону (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по адресу: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г. Иркутск, ул. Академическая, 70А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: узел учета тепловой энергии на базе теплосчетчика: ТЭМ - 104 № 1241874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Мес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297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3"/>
        </w:trPr>
        <w:tc>
          <w:tcPr>
            <w:gridSpan w:val="6"/>
            <w:tcW w:w="10343" w:type="dxa"/>
            <w:vAlign w:val="center"/>
            <w:textDirection w:val="lrTb"/>
            <w:noWrap w:val="false"/>
          </w:tcPr>
          <w:p>
            <w:pPr>
              <w:ind w:firstLine="28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24"/>
        <w:gridCol w:w="4940"/>
      </w:tblGrid>
      <w:tr>
        <w:tblPrEx/>
        <w:trPr/>
        <w:tc>
          <w:tcPr>
            <w:tcW w:w="4524" w:type="dxa"/>
            <w:textDirection w:val="lrTb"/>
            <w:noWrap w:val="false"/>
          </w:tcPr>
          <w:p>
            <w:pPr>
              <w:ind w:right="-1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right="-1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right="-1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________________/_____________/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940" w:type="dxa"/>
            <w:textDirection w:val="lrTb"/>
            <w:noWrap w:val="false"/>
          </w:tcPr>
          <w:p>
            <w:pPr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2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2"/>
              <w:jc w:val="both"/>
              <w:spacing w:after="6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_______________________/______________/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851" w:right="851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Verdana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83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03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23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43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3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83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03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3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43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20"/>
  </w:num>
  <w:num w:numId="5">
    <w:abstractNumId w:val="13"/>
  </w:num>
  <w:num w:numId="6">
    <w:abstractNumId w:val="11"/>
  </w:num>
  <w:num w:numId="7">
    <w:abstractNumId w:val="18"/>
  </w:num>
  <w:num w:numId="8">
    <w:abstractNumId w:val="8"/>
  </w:num>
  <w:num w:numId="9">
    <w:abstractNumId w:val="2"/>
  </w:num>
  <w:num w:numId="10">
    <w:abstractNumId w:val="14"/>
  </w:num>
  <w:num w:numId="11">
    <w:abstractNumId w:val="22"/>
  </w:num>
  <w:num w:numId="12">
    <w:abstractNumId w:val="9"/>
  </w:num>
  <w:num w:numId="13">
    <w:abstractNumId w:val="10"/>
  </w:num>
  <w:num w:numId="14">
    <w:abstractNumId w:val="15"/>
  </w:num>
  <w:num w:numId="15">
    <w:abstractNumId w:val="3"/>
  </w:num>
  <w:num w:numId="16">
    <w:abstractNumId w:val="24"/>
  </w:num>
  <w:num w:numId="17">
    <w:abstractNumId w:val="7"/>
  </w:num>
  <w:num w:numId="18">
    <w:abstractNumId w:val="4"/>
  </w:num>
  <w:num w:numId="19">
    <w:abstractNumId w:val="12"/>
  </w:num>
  <w:num w:numId="20">
    <w:abstractNumId w:val="0"/>
  </w:num>
  <w:num w:numId="21">
    <w:abstractNumId w:val="21"/>
  </w:num>
  <w:num w:numId="22">
    <w:abstractNumId w:val="1"/>
  </w:num>
  <w:num w:numId="23">
    <w:abstractNumId w:val="25"/>
  </w:num>
  <w:num w:numId="24">
    <w:abstractNumId w:val="6"/>
  </w:num>
  <w:num w:numId="25">
    <w:abstractNumId w:val="5"/>
  </w:num>
  <w:num w:numId="26">
    <w:abstractNumId w:val="23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Heading 1 Char"/>
    <w:basedOn w:val="887"/>
    <w:link w:val="885"/>
    <w:uiPriority w:val="9"/>
    <w:rPr>
      <w:rFonts w:ascii="Arial" w:hAnsi="Arial" w:eastAsia="Arial" w:cs="Arial"/>
      <w:sz w:val="40"/>
      <w:szCs w:val="40"/>
    </w:rPr>
  </w:style>
  <w:style w:type="character" w:styleId="713">
    <w:name w:val="Heading 2 Char"/>
    <w:basedOn w:val="887"/>
    <w:link w:val="886"/>
    <w:uiPriority w:val="9"/>
    <w:rPr>
      <w:rFonts w:ascii="Arial" w:hAnsi="Arial" w:eastAsia="Arial" w:cs="Arial"/>
      <w:sz w:val="34"/>
    </w:rPr>
  </w:style>
  <w:style w:type="paragraph" w:styleId="714">
    <w:name w:val="Heading 3"/>
    <w:basedOn w:val="884"/>
    <w:next w:val="884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5">
    <w:name w:val="Heading 3 Char"/>
    <w:basedOn w:val="887"/>
    <w:link w:val="714"/>
    <w:uiPriority w:val="9"/>
    <w:rPr>
      <w:rFonts w:ascii="Arial" w:hAnsi="Arial" w:eastAsia="Arial" w:cs="Arial"/>
      <w:sz w:val="30"/>
      <w:szCs w:val="30"/>
    </w:rPr>
  </w:style>
  <w:style w:type="paragraph" w:styleId="716">
    <w:name w:val="Heading 4"/>
    <w:basedOn w:val="884"/>
    <w:next w:val="884"/>
    <w:link w:val="7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7">
    <w:name w:val="Heading 4 Char"/>
    <w:basedOn w:val="887"/>
    <w:link w:val="716"/>
    <w:uiPriority w:val="9"/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884"/>
    <w:next w:val="884"/>
    <w:link w:val="7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9">
    <w:name w:val="Heading 5 Char"/>
    <w:basedOn w:val="887"/>
    <w:link w:val="718"/>
    <w:uiPriority w:val="9"/>
    <w:rPr>
      <w:rFonts w:ascii="Arial" w:hAnsi="Arial" w:eastAsia="Arial" w:cs="Arial"/>
      <w:b/>
      <w:bCs/>
      <w:sz w:val="24"/>
      <w:szCs w:val="24"/>
    </w:rPr>
  </w:style>
  <w:style w:type="paragraph" w:styleId="720">
    <w:name w:val="Heading 6"/>
    <w:basedOn w:val="884"/>
    <w:next w:val="884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1">
    <w:name w:val="Heading 6 Char"/>
    <w:basedOn w:val="887"/>
    <w:link w:val="720"/>
    <w:uiPriority w:val="9"/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884"/>
    <w:next w:val="884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3">
    <w:name w:val="Heading 7 Char"/>
    <w:basedOn w:val="887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4">
    <w:name w:val="Heading 8"/>
    <w:basedOn w:val="884"/>
    <w:next w:val="884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5">
    <w:name w:val="Heading 8 Char"/>
    <w:basedOn w:val="887"/>
    <w:link w:val="724"/>
    <w:uiPriority w:val="9"/>
    <w:rPr>
      <w:rFonts w:ascii="Arial" w:hAnsi="Arial" w:eastAsia="Arial" w:cs="Arial"/>
      <w:i/>
      <w:iCs/>
      <w:sz w:val="22"/>
      <w:szCs w:val="22"/>
    </w:rPr>
  </w:style>
  <w:style w:type="paragraph" w:styleId="726">
    <w:name w:val="Heading 9"/>
    <w:basedOn w:val="884"/>
    <w:next w:val="884"/>
    <w:link w:val="7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7">
    <w:name w:val="Heading 9 Char"/>
    <w:basedOn w:val="887"/>
    <w:link w:val="726"/>
    <w:uiPriority w:val="9"/>
    <w:rPr>
      <w:rFonts w:ascii="Arial" w:hAnsi="Arial" w:eastAsia="Arial" w:cs="Arial"/>
      <w:i/>
      <w:iCs/>
      <w:sz w:val="21"/>
      <w:szCs w:val="21"/>
    </w:rPr>
  </w:style>
  <w:style w:type="paragraph" w:styleId="728">
    <w:name w:val="No Spacing"/>
    <w:uiPriority w:val="1"/>
    <w:qFormat/>
    <w:pPr>
      <w:spacing w:before="0" w:after="0" w:line="240" w:lineRule="auto"/>
    </w:pPr>
  </w:style>
  <w:style w:type="paragraph" w:styleId="729">
    <w:name w:val="Title"/>
    <w:basedOn w:val="884"/>
    <w:next w:val="884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>
    <w:name w:val="Title Char"/>
    <w:basedOn w:val="887"/>
    <w:link w:val="729"/>
    <w:uiPriority w:val="10"/>
    <w:rPr>
      <w:sz w:val="48"/>
      <w:szCs w:val="48"/>
    </w:rPr>
  </w:style>
  <w:style w:type="paragraph" w:styleId="731">
    <w:name w:val="Subtitle"/>
    <w:basedOn w:val="884"/>
    <w:next w:val="884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>
    <w:name w:val="Subtitle Char"/>
    <w:basedOn w:val="887"/>
    <w:link w:val="731"/>
    <w:uiPriority w:val="11"/>
    <w:rPr>
      <w:sz w:val="24"/>
      <w:szCs w:val="24"/>
    </w:rPr>
  </w:style>
  <w:style w:type="paragraph" w:styleId="733">
    <w:name w:val="Quote"/>
    <w:basedOn w:val="884"/>
    <w:next w:val="884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4"/>
    <w:next w:val="884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paragraph" w:styleId="737">
    <w:name w:val="Header"/>
    <w:basedOn w:val="884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Header Char"/>
    <w:basedOn w:val="887"/>
    <w:link w:val="737"/>
    <w:uiPriority w:val="99"/>
  </w:style>
  <w:style w:type="paragraph" w:styleId="739">
    <w:name w:val="Footer"/>
    <w:basedOn w:val="884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>
    <w:name w:val="Footer Char"/>
    <w:basedOn w:val="887"/>
    <w:link w:val="739"/>
    <w:uiPriority w:val="99"/>
  </w:style>
  <w:style w:type="paragraph" w:styleId="741">
    <w:name w:val="Caption"/>
    <w:basedOn w:val="884"/>
    <w:next w:val="884"/>
    <w:link w:val="7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2">
    <w:name w:val="Caption Char"/>
    <w:basedOn w:val="741"/>
    <w:link w:val="739"/>
    <w:uiPriority w:val="99"/>
  </w:style>
  <w:style w:type="table" w:styleId="743">
    <w:name w:val="Table Grid Light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2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3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4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5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6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7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9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0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1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2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3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4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6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7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8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9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0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1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8">
    <w:name w:val="Hyperlink"/>
    <w:uiPriority w:val="99"/>
    <w:unhideWhenUsed/>
    <w:rPr>
      <w:color w:val="0000ff" w:themeColor="hyperlink"/>
      <w:u w:val="single"/>
    </w:rPr>
  </w:style>
  <w:style w:type="character" w:styleId="869">
    <w:name w:val="Footnote Text Char"/>
    <w:link w:val="904"/>
    <w:uiPriority w:val="99"/>
    <w:rPr>
      <w:sz w:val="18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7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qFormat/>
  </w:style>
  <w:style w:type="paragraph" w:styleId="885">
    <w:name w:val="Heading 1"/>
    <w:next w:val="884"/>
    <w:link w:val="896"/>
    <w:uiPriority w:val="9"/>
    <w:unhideWhenUsed/>
    <w:qFormat/>
    <w:pPr>
      <w:ind w:left="10" w:hanging="10"/>
      <w:keepLines/>
      <w:keepNext/>
      <w:spacing w:after="10" w:line="270" w:lineRule="auto"/>
      <w:outlineLvl w:val="0"/>
    </w:pPr>
    <w:rPr>
      <w:rFonts w:ascii="Times New Roman" w:hAnsi="Times New Roman" w:eastAsia="Times New Roman" w:cs="Times New Roman"/>
      <w:color w:val="000000"/>
      <w:sz w:val="20"/>
      <w:lang w:eastAsia="ru-RU"/>
    </w:rPr>
  </w:style>
  <w:style w:type="paragraph" w:styleId="886">
    <w:name w:val="Heading 2"/>
    <w:basedOn w:val="884"/>
    <w:next w:val="884"/>
    <w:link w:val="897"/>
    <w:uiPriority w:val="9"/>
    <w:unhideWhenUsed/>
    <w:qFormat/>
    <w:pPr>
      <w:jc w:val="both"/>
      <w:keepLines/>
      <w:keepNext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  <w:style w:type="character" w:styleId="887" w:default="1">
    <w:name w:val="Default Paragraph Font"/>
    <w:uiPriority w:val="1"/>
    <w:semiHidden/>
    <w:unhideWhenUsed/>
  </w:style>
  <w:style w:type="table" w:styleId="8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9" w:default="1">
    <w:name w:val="No List"/>
    <w:uiPriority w:val="99"/>
    <w:semiHidden/>
    <w:unhideWhenUsed/>
  </w:style>
  <w:style w:type="paragraph" w:styleId="890">
    <w:name w:val="List Paragraph"/>
    <w:basedOn w:val="884"/>
    <w:link w:val="892"/>
    <w:uiPriority w:val="34"/>
    <w:qFormat/>
    <w:pPr>
      <w:contextualSpacing/>
      <w:ind w:left="720"/>
    </w:pPr>
  </w:style>
  <w:style w:type="table" w:styleId="891">
    <w:name w:val="Table Grid"/>
    <w:basedOn w:val="888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2" w:customStyle="1">
    <w:name w:val="Абзац списка Знак"/>
    <w:basedOn w:val="887"/>
    <w:link w:val="890"/>
    <w:uiPriority w:val="34"/>
  </w:style>
  <w:style w:type="paragraph" w:styleId="893" w:customStyle="1">
    <w:name w:val="ConsPlusNormal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94" w:customStyle="1">
    <w:name w:val="Знак Знак1 Знак Знак Знак Знак"/>
    <w:basedOn w:val="884"/>
    <w:pPr>
      <w:spacing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895" w:customStyle="1">
    <w:name w:val="Заголовок №6"/>
    <w:basedOn w:val="884"/>
    <w:pPr>
      <w:jc w:val="both"/>
      <w:spacing w:before="660" w:after="480" w:line="24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  <w:shd w:val="clear" w:color="auto" w:fill="ffffff"/>
      <w:lang w:eastAsia="ar-SA"/>
    </w:rPr>
  </w:style>
  <w:style w:type="character" w:styleId="896" w:customStyle="1">
    <w:name w:val="Заголовок 1 Знак"/>
    <w:basedOn w:val="887"/>
    <w:link w:val="885"/>
    <w:uiPriority w:val="9"/>
    <w:rPr>
      <w:rFonts w:ascii="Times New Roman" w:hAnsi="Times New Roman" w:eastAsia="Times New Roman" w:cs="Times New Roman"/>
      <w:color w:val="000000"/>
      <w:sz w:val="20"/>
      <w:lang w:eastAsia="ru-RU"/>
    </w:rPr>
  </w:style>
  <w:style w:type="character" w:styleId="897" w:customStyle="1">
    <w:name w:val="Заголовок 2 Знак"/>
    <w:basedOn w:val="887"/>
    <w:link w:val="886"/>
    <w:uiPriority w:val="9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  <w:style w:type="numbering" w:styleId="898" w:customStyle="1">
    <w:name w:val="Нет списка1"/>
    <w:next w:val="889"/>
    <w:uiPriority w:val="99"/>
    <w:semiHidden/>
    <w:unhideWhenUsed/>
  </w:style>
  <w:style w:type="character" w:styleId="899">
    <w:name w:val="Emphasis"/>
    <w:basedOn w:val="887"/>
    <w:uiPriority w:val="20"/>
    <w:qFormat/>
    <w:rPr>
      <w:i/>
      <w:iCs/>
    </w:rPr>
  </w:style>
  <w:style w:type="paragraph" w:styleId="900">
    <w:name w:val="Balloon Text"/>
    <w:basedOn w:val="884"/>
    <w:link w:val="901"/>
    <w:uiPriority w:val="99"/>
    <w:semiHidden/>
    <w:unhideWhenUsed/>
    <w:pPr>
      <w:jc w:val="both"/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901" w:customStyle="1">
    <w:name w:val="Текст выноски Знак"/>
    <w:basedOn w:val="887"/>
    <w:link w:val="90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02">
    <w:name w:val="Body Text Indent"/>
    <w:basedOn w:val="884"/>
    <w:link w:val="903"/>
    <w:pPr>
      <w:ind w:left="283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3" w:customStyle="1">
    <w:name w:val="Основной текст с отступом Знак"/>
    <w:basedOn w:val="887"/>
    <w:link w:val="90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footnote text"/>
    <w:basedOn w:val="884"/>
    <w:link w:val="905"/>
    <w:uiPriority w:val="99"/>
    <w:semiHidden/>
    <w:unhideWhenUsed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05" w:customStyle="1">
    <w:name w:val="Текст сноски Знак"/>
    <w:basedOn w:val="887"/>
    <w:link w:val="90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06">
    <w:name w:val="footnote reference"/>
    <w:basedOn w:val="887"/>
    <w:uiPriority w:val="99"/>
    <w:semiHidden/>
    <w:unhideWhenUsed/>
    <w:rPr>
      <w:vertAlign w:val="superscript"/>
    </w:rPr>
  </w:style>
  <w:style w:type="paragraph" w:styleId="907">
    <w:name w:val="Body Text 2"/>
    <w:basedOn w:val="884"/>
    <w:link w:val="908"/>
    <w:uiPriority w:val="99"/>
    <w:unhideWhenUsed/>
    <w:pPr>
      <w:jc w:val="both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8" w:customStyle="1">
    <w:name w:val="Основной текст 2 Знак"/>
    <w:basedOn w:val="887"/>
    <w:link w:val="90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9">
    <w:name w:val="Normal (Web)"/>
    <w:basedOn w:val="88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910" w:customStyle="1">
    <w:name w:val="Нет списка2"/>
    <w:next w:val="889"/>
    <w:uiPriority w:val="99"/>
    <w:semiHidden/>
    <w:unhideWhenUsed/>
  </w:style>
  <w:style w:type="table" w:styleId="911" w:customStyle="1">
    <w:name w:val="Сетка таблицы1"/>
    <w:basedOn w:val="888"/>
    <w:next w:val="89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2" w:customStyle="1">
    <w:name w:val="Сетка таблицы2"/>
    <w:basedOn w:val="888"/>
    <w:next w:val="89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3" w:customStyle="1">
    <w:name w:val="Сетка таблицы3"/>
    <w:basedOn w:val="888"/>
    <w:next w:val="89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14" w:customStyle="1">
    <w:name w:val="Нет списка3"/>
    <w:next w:val="889"/>
    <w:uiPriority w:val="99"/>
    <w:semiHidden/>
    <w:unhideWhenUsed/>
  </w:style>
  <w:style w:type="table" w:styleId="915" w:customStyle="1">
    <w:name w:val="Сетка таблицы4"/>
    <w:basedOn w:val="888"/>
    <w:next w:val="89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6" w:customStyle="1">
    <w:name w:val="ty-product-feature__suffix"/>
    <w:basedOn w:val="88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file:///C:\n.lavrikova\&#1056;&#1072;&#1073;&#1086;&#1095;&#1080;&#1081;%20&#1089;&#1090;&#1086;&#1083;\&#1047;&#1040;&#1071;&#1042;&#1050;&#1040;%2044&#1092;&#1079;\&#1059;&#1057;&#1051;&#1059;&#1043;&#1048;,%20&#1056;&#1040;&#1041;&#1054;&#1058;&#1067;\2850%20&#1074;&#1099;&#1074;&#1086;&#1079;%20&#1073;&#1099;&#1090;.%20&#1086;&#1090;&#1093;&#1086;&#1076;&#1086;&#1074;%20&#1050;&#1091;&#1081;&#1090;&#1091;&#1085;\2850%20&#1076;&#1086;&#1082;..do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A27B1-B252-413C-A2DE-B13C2B08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Блинникова Ольга Анатольевна</dc:creator>
  <cp:keywords/>
  <dc:description/>
  <cp:lastModifiedBy>Евдокимова</cp:lastModifiedBy>
  <cp:revision>18</cp:revision>
  <dcterms:created xsi:type="dcterms:W3CDTF">2024-01-25T08:19:00Z</dcterms:created>
  <dcterms:modified xsi:type="dcterms:W3CDTF">2026-03-17T03:43:17Z</dcterms:modified>
</cp:coreProperties>
</file>