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Обоснование раз</w:t>
      </w:r>
      <w:r>
        <w:rPr>
          <w:rFonts w:ascii="Tinos" w:hAnsi="Tinos" w:eastAsia="Tinos" w:cs="Tinos"/>
          <w:sz w:val="24"/>
          <w:szCs w:val="24"/>
        </w:rPr>
        <w:t xml:space="preserve">мера платы с учетом ч.6</w:t>
      </w:r>
      <w:r>
        <w:rPr>
          <w:rFonts w:ascii="Tinos" w:hAnsi="Tinos" w:eastAsia="Tinos" w:cs="Tinos"/>
          <w:sz w:val="24"/>
          <w:szCs w:val="24"/>
        </w:rPr>
        <w:t xml:space="preserve"> ст.22 ФЗ-44 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«О контрактной системе в сфере закупок, товаров, услуг, для обеспечения государственных и муниципальных нужд»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Обоснование начальной (максимальной) цены контракта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b w:val="0"/>
          <w:bCs w:val="0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mes New Roman" w:hAnsi="Times New Roman" w:eastAsia="Calibri" w:cs="Times New Roman" w:eastAsiaTheme="minorHAnsi"/>
          <w:bCs/>
          <w:color w:val="auto"/>
          <w:sz w:val="24"/>
          <w:szCs w:val="24"/>
          <w:lang w:val="ru-RU" w:eastAsia="ru-RU" w:bidi="ar-SA"/>
        </w:rPr>
        <w:t xml:space="preserve">Техническое обслуживание и ремонт охранно-пожарной сигнализации</w:t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</w:rPr>
      </w:r>
      <w:r>
        <w:rPr>
          <w:rFonts w:ascii="Tinos" w:hAnsi="Tinos" w:cs="Tinos"/>
          <w:b w:val="0"/>
          <w:bCs w:val="0"/>
          <w:color w:val="000000" w:themeColor="text1"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bCs/>
          <w:i/>
          <w:sz w:val="24"/>
          <w:szCs w:val="24"/>
        </w:rPr>
      </w:pPr>
      <w:r>
        <w:rPr>
          <w:rFonts w:ascii="Tinos" w:hAnsi="Tinos" w:cs="Tinos"/>
          <w:i/>
          <w:iCs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bCs/>
          <w:i/>
          <w:sz w:val="24"/>
          <w:szCs w:val="24"/>
        </w:rPr>
      </w:pPr>
      <w:r>
        <w:rPr>
          <w:rFonts w:ascii="Tinos" w:hAnsi="Tinos" w:cs="Tinos"/>
          <w:i/>
          <w:iCs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</w:p>
    <w:p>
      <w:pPr>
        <w:jc w:val="center"/>
        <w:spacing w:after="120" w:line="240" w:lineRule="auto"/>
        <w:rPr>
          <w:rFonts w:ascii="Tinos" w:hAnsi="Tinos" w:cs="Tinos"/>
          <w:i/>
          <w:iCs/>
          <w:sz w:val="24"/>
          <w:szCs w:val="24"/>
        </w:rPr>
      </w:pPr>
      <w:r>
        <w:rPr>
          <w:rFonts w:ascii="Tinos" w:hAnsi="Tinos" w:eastAsia="Tinos" w:cs="Tinos"/>
          <w:i/>
          <w:iCs/>
          <w:sz w:val="24"/>
          <w:szCs w:val="24"/>
          <w:lang w:eastAsia="ru-RU"/>
        </w:rPr>
      </w:r>
      <w:r>
        <w:rPr>
          <w:rFonts w:ascii="Tinos" w:hAnsi="Tinos" w:cs="Tinos"/>
          <w:i/>
          <w:iCs/>
          <w:sz w:val="24"/>
          <w:szCs w:val="24"/>
        </w:rPr>
      </w:r>
      <w:r>
        <w:rPr>
          <w:rFonts w:ascii="Tinos" w:hAnsi="Tinos" w:cs="Tinos"/>
          <w:i/>
          <w:iCs/>
          <w:sz w:val="24"/>
          <w:szCs w:val="24"/>
        </w:rPr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11595"/>
      </w:tblGrid>
      <w:tr>
        <w:tblPrEx/>
        <w:trPr>
          <w:trHeight w:val="20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Основные характеристики объекта закупки 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1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оставляемы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й Товар должен быть новым (Товаром, который не был в употреблении, в ремонте, в том числе который не был восстановлен, у которого не были восстановлены потребительские свойства), в неповрежденной упаковке, с сопроводительной документацией на русском языке.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131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Используемый метод определения НМЦК с обоснованием:    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1595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Метод сопоставим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ых рыночных цен (анализа рынка).</w:t>
            </w:r>
            <w:r>
              <w:rPr>
                <w:rFonts w:ascii="Tinos" w:hAnsi="Tinos" w:eastAsia="Tinos" w:cs="Tinos"/>
                <w:sz w:val="24"/>
                <w:szCs w:val="24"/>
              </w:rPr>
              <w:br/>
              <w:t xml:space="preserve">В соответствии с ч.6 статьи 22 Федерального закона от 05.04.2013 N 44-Ф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.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3544" w:type="dxa"/>
            <w:textDirection w:val="lrTb"/>
            <w:noWrap w:val="false"/>
          </w:tcPr>
          <w:p>
            <w:pPr>
              <w:jc w:val="both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Расчет НМЦК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13" w:type="dxa"/>
              <w:top w:w="113" w:type="dxa"/>
              <w:right w:w="113" w:type="dxa"/>
              <w:bottom w:w="113" w:type="dxa"/>
            </w:tcMar>
            <w:tcW w:w="1159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Calibri" w:cs="Times New Roman" w:eastAsiaTheme="minorHAnsi"/>
                <w:bCs/>
                <w:color w:val="auto"/>
                <w:sz w:val="24"/>
                <w:szCs w:val="24"/>
                <w:lang w:val="ru-RU" w:eastAsia="ru-RU" w:bidi="ar-SA"/>
              </w:rPr>
              <w:t xml:space="preserve">Техническое обслуживание и ремонт охранно-пожарной сигнализации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- 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6995,07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руб.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 (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за 6 месяца</w:t>
            </w:r>
            <w:r>
              <w:rPr>
                <w:rFonts w:ascii="Tinos" w:hAnsi="Tinos" w:eastAsia="Tinos" w:cs="Tinos"/>
                <w:color w:val="auto"/>
                <w:sz w:val="24"/>
                <w:szCs w:val="24"/>
                <w:highlight w:val="none"/>
              </w:rPr>
              <w:t xml:space="preserve"> - 41970,42)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руб.</w:t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/>
              <w:widowControl w:val="off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(расчет приложен в виде отдельного файла Приложение №1)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</w:tbl>
    <w:p>
      <w:pPr>
        <w:ind w:right="8250"/>
        <w:spacing w:before="120" w:after="120" w:line="240" w:lineRule="auto"/>
        <w:tabs>
          <w:tab w:val="left" w:pos="13438" w:leader="none"/>
        </w:tabs>
        <w:rPr>
          <w:rFonts w:ascii="Tinos" w:hAnsi="Tinos" w:cs="Tinos"/>
          <w:bCs/>
          <w:sz w:val="24"/>
          <w:szCs w:val="24"/>
        </w:rPr>
      </w:pPr>
      <w:r>
        <w:rPr>
          <w:rFonts w:ascii="Tinos" w:hAnsi="Tinos" w:eastAsia="Tinos" w:cs="Tinos"/>
          <w:bCs/>
          <w:sz w:val="24"/>
          <w:szCs w:val="24"/>
          <w:lang w:eastAsia="ru-RU"/>
        </w:rPr>
      </w:r>
      <w:r>
        <w:rPr>
          <w:rFonts w:ascii="Tinos" w:hAnsi="Tinos" w:cs="Tinos"/>
          <w:bCs/>
          <w:sz w:val="24"/>
          <w:szCs w:val="24"/>
        </w:rPr>
      </w:r>
      <w:r>
        <w:rPr>
          <w:rFonts w:ascii="Tinos" w:hAnsi="Tinos" w:cs="Tinos"/>
          <w:bCs/>
          <w:sz w:val="24"/>
          <w:szCs w:val="24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lang w:eastAsia="ru-RU"/>
        </w:rPr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</w:rPr>
      </w:pPr>
      <w:r>
        <w:rPr>
          <w:rFonts w:ascii="Tinos" w:hAnsi="Tinos" w:eastAsia="Tinos" w:cs="Tinos"/>
          <w:sz w:val="26"/>
          <w:szCs w:val="26"/>
          <w:lang w:eastAsia="ru-RU"/>
        </w:rPr>
      </w:r>
      <w:r>
        <w:rPr>
          <w:rFonts w:ascii="Tinos" w:hAnsi="Tinos" w:cs="Tinos"/>
          <w:sz w:val="26"/>
          <w:szCs w:val="26"/>
        </w:rPr>
      </w:r>
      <w:r>
        <w:rPr>
          <w:rFonts w:ascii="Tinos" w:hAnsi="Tinos" w:cs="Tinos"/>
          <w:sz w:val="26"/>
          <w:szCs w:val="26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sz w:val="26"/>
          <w:szCs w:val="26"/>
          <w:highlight w:val="none"/>
          <w:lang w:eastAsia="ru-RU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spacing w:after="0" w:line="240" w:lineRule="auto"/>
        <w:rPr>
          <w:rFonts w:ascii="Tinos" w:hAnsi="Tinos" w:cs="Tinos"/>
          <w:sz w:val="26"/>
          <w:szCs w:val="26"/>
          <w:highlight w:val="none"/>
        </w:rPr>
      </w:pPr>
      <w:r>
        <w:rPr>
          <w:rFonts w:ascii="Tinos" w:hAnsi="Tinos" w:eastAsia="Tinos" w:cs="Tinos"/>
          <w:sz w:val="26"/>
          <w:szCs w:val="26"/>
          <w:highlight w:val="none"/>
          <w:lang w:eastAsia="ru-RU"/>
        </w:rPr>
      </w:r>
      <w:r>
        <w:rPr>
          <w:rFonts w:ascii="Tinos" w:hAnsi="Tinos" w:cs="Tinos"/>
          <w:sz w:val="26"/>
          <w:szCs w:val="26"/>
          <w:highlight w:val="none"/>
        </w:rPr>
      </w:r>
      <w:r>
        <w:rPr>
          <w:rFonts w:ascii="Tinos" w:hAnsi="Tinos" w:cs="Tinos"/>
          <w:sz w:val="26"/>
          <w:szCs w:val="26"/>
          <w:highlight w:val="none"/>
        </w:rPr>
      </w:r>
    </w:p>
    <w:p>
      <w:pPr>
        <w:ind w:right="-29"/>
        <w:jc w:val="right"/>
        <w:spacing w:after="0" w:afterAutospacing="0" w:line="240" w:lineRule="auto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pPr>
        <w:ind w:right="-29"/>
        <w:jc w:val="right"/>
        <w:spacing w:after="0" w:afterAutospacing="0" w:line="240" w:lineRule="auto"/>
        <w:rPr>
          <w:rFonts w:ascii="Tinos" w:hAnsi="Tinos" w:eastAsia="Tinos" w:cs="Tinos"/>
          <w:sz w:val="24"/>
          <w:szCs w:val="24"/>
          <w:highlight w:val="none"/>
          <w:lang w:eastAsia="ru-RU"/>
        </w:rPr>
      </w:pP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  <w:r>
        <w:rPr>
          <w:rFonts w:ascii="Tinos" w:hAnsi="Tinos" w:eastAsia="Tinos" w:cs="Tinos"/>
          <w:sz w:val="24"/>
          <w:szCs w:val="24"/>
          <w:highlight w:val="none"/>
          <w:lang w:eastAsia="ru-RU"/>
        </w:rPr>
      </w:r>
    </w:p>
    <w:p>
      <w:pPr>
        <w:ind w:right="-29"/>
        <w:jc w:val="right"/>
        <w:spacing w:after="0" w:afterAutospacing="0" w:line="240" w:lineRule="auto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4"/>
          <w:szCs w:val="24"/>
          <w:lang w:eastAsia="ru-RU"/>
        </w:rPr>
        <w:t xml:space="preserve">П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риложение № 1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jc w:val="right"/>
        <w:spacing w:after="0" w:afterAutospacing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к обоснованию начальной (максимальной) цены контракта,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right"/>
        <w:spacing w:after="0" w:afterAutospacing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цены контракта, заключаемого с единственным поставщиком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right"/>
        <w:spacing w:after="0" w:afterAutospacing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(подрядчиком, исполнителем) на 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поверку геодезических приборов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right"/>
        <w:spacing w:after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  <w:lang w:eastAsia="ru-RU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center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Расчет начальной (максимальной) цены контракта методом сопоставимых рыночных цен (анализ рынка)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В соответствии с пунктом 3.7.1 приказа Минэкономразвития России от 2 октября 2013 г. № 567 «Об утверждении методических рекомендаций по применению метод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ов определения начальной (максимальной) цены контракта, цены контракта, заключаемого с единственным поставщиком (подрядчиком, исполнителем)» направлены запросы о предоставлении ценовой Информации исполнителям, обладающим опытом оказания аналогичных услуг.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В целях определения НМЦК был осуществлен сбор ценовой информации среди 3 поставщиков, осуществляющих поставки товаров (выполнение работ, оказание услуг), являющихся объектом закупки.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720"/>
        <w:jc w:val="both"/>
        <w:spacing w:after="0" w:line="360" w:lineRule="auto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При расчете использовался </w:t>
      </w: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метод «сопоставимых рыночных цен (анализ рынка)»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, согласно предоставленным коммерческим предложениям Исполнителями, обладающими опытом оказания аналогичных услуг, выполнен расчет, в результате которого определяется стоимость </w:t>
      </w:r>
      <w:r>
        <w:rPr>
          <w:rFonts w:ascii="Tinos" w:hAnsi="Tinos" w:eastAsia="Tinos" w:cs="Tinos"/>
          <w:color w:val="000000"/>
          <w:sz w:val="22"/>
          <w:szCs w:val="22"/>
          <w:lang w:eastAsia="ru-RU"/>
        </w:rPr>
        <w:t xml:space="preserve">оказания услуг по с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опровождению систем информационного обеспечения деятельности.</w:t>
      </w: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ind w:firstLine="851"/>
        <w:jc w:val="both"/>
        <w:spacing w:after="0" w:line="360" w:lineRule="auto"/>
        <w:rPr>
          <w:rFonts w:ascii="Tinos" w:hAnsi="Tinos" w:cs="Tinos"/>
          <w:sz w:val="22"/>
          <w:szCs w:val="22"/>
        </w:rPr>
        <w:outlineLvl w:val="0"/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Начальная (максимальная) цена контракта была определена по формуле: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left="5664" w:firstLine="708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position w:val="-24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4000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3909025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28.25pt;height:31.5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где: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851"/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position w:val="-10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238125"/>
                <wp:effectExtent l="0" t="0" r="9525" b="9525"/>
                <wp:docPr id="2" name="Рисунок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8279834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76274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3.25pt;height:18.7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НМЦК,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определяемая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методом сопоставимых рыночных цен (анализа рынка);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0" t="0" r="9525" b="9525"/>
                <wp:docPr id="3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889199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23824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9.75pt;height:11.2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- количество (объем) закупаемого товара (работы, услуги);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0" t="0" r="9525" b="9525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2738960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23824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9.75pt;height:11.2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количество значений, используемых в расчете;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0" t="0" r="9525" b="9525"/>
                <wp:docPr id="5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131714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5725" cy="16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6.75pt;height:12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номер источника ценовой информации;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540"/>
        <w:jc w:val="both"/>
        <w:spacing w:after="0" w:line="360" w:lineRule="auto"/>
        <w:widowControl w:val="off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38125"/>
                <wp:effectExtent l="0" t="0" r="0" b="9525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532552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52399" cy="238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2.00pt;height:18.7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- цена единицы товара, работы, услуг представленная в источнике с номером </w:t>
      </w: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0" t="0" r="9525" b="9525"/>
                <wp:docPr id="7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5085733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85725" cy="161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6.75pt;height:12.7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firstLine="567"/>
        <w:jc w:val="both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В целях определения однородности совокупности значений цен, используемых в расчете начальной (максимальной) цены контракта, определен коэффициент вариации цен по следующей формуле: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709"/>
        <w:jc w:val="both"/>
        <w:spacing w:after="0" w:line="360" w:lineRule="auto"/>
        <w:rPr>
          <w:rFonts w:ascii="Tinos" w:hAnsi="Tinos" w:cs="Tinos"/>
          <w:sz w:val="22"/>
          <w:szCs w:val="22"/>
        </w:rPr>
        <w:outlineLvl w:val="0"/>
      </w:pPr>
      <w:r>
        <w:rPr>
          <w:rFonts w:ascii="Tinos" w:hAnsi="Tinos" w:eastAsia="Tinos" w:cs="Tinos"/>
          <w:sz w:val="22"/>
          <w:szCs w:val="22"/>
          <w:lang w:eastAsia="ru-RU"/>
        </w:rPr>
      </w:r>
      <w:r>
        <w:rPr>
          <w:rFonts w:ascii="Tinos" w:hAnsi="Tinos" w:eastAsia="Tinos" w:cs="Tinos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29070" cy="627321"/>
                <wp:effectExtent l="0" t="0" r="4445" b="0"/>
                <wp:docPr id="8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3475480" name="Рисунок 2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33499" cy="629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104.65pt;height:49.40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где: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  <w:outlineLvl w:val="0"/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V – коэффициент вариации,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fldChar w:fldCharType="begin"/>
      </w:r>
      <w:r>
        <w:rPr>
          <w:rFonts w:ascii="Tinos" w:hAnsi="Tinos" w:eastAsia="Tinos" w:cs="Tinos"/>
          <w:sz w:val="22"/>
          <w:szCs w:val="22"/>
          <w:lang w:eastAsia="ru-RU"/>
        </w:rPr>
        <w:instrText xml:space="preserve"> QUOTE </w:instrText>
      </w:r>
      <w:r>
        <w:rPr>
          <w:rFonts w:ascii="Tinos" w:hAnsi="Tinos" w:eastAsia="Tinos" w:cs="Tinos"/>
          <w:position w:val="-45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609600"/>
                <wp:effectExtent l="0" t="0" r="0" b="0"/>
                <wp:docPr id="9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4777878" name="Рисунок 2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49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06.50pt;height:48.00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instrText xml:space="preserve"> </w:instrText>
      </w:r>
      <w:r>
        <w:rPr>
          <w:rFonts w:ascii="Tinos" w:hAnsi="Tinos" w:eastAsia="Tinos" w:cs="Tinos"/>
          <w:sz w:val="22"/>
          <w:szCs w:val="22"/>
          <w:lang w:eastAsia="ru-RU"/>
        </w:rPr>
        <w:fldChar w:fldCharType="separate"/>
      </w:r>
      <w:r>
        <w:rPr>
          <w:rFonts w:ascii="Tinos" w:hAnsi="Tinos" w:eastAsia="Tinos" w:cs="Tinos"/>
          <w:position w:val="-45"/>
          <w:sz w:val="22"/>
          <w:szCs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39702" cy="637954"/>
                <wp:effectExtent l="0" t="0" r="0" b="0"/>
                <wp:docPr id="10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7571114" name="Рисунок 2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49" cy="6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105.49pt;height:50.23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nos" w:hAnsi="Tinos" w:eastAsia="Tinos" w:cs="Tinos"/>
          <w:sz w:val="22"/>
          <w:szCs w:val="22"/>
          <w:lang w:eastAsia="ru-RU"/>
        </w:rPr>
        <w:fldChar w:fldCharType="end"/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– среднеквадратичное отклонение,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ц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i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– цена услуги, указанная в источнике с номером i,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right="650" w:firstLine="567"/>
        <w:spacing w:after="0" w:line="36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ц – средняя арифметическая величина цены услуги,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jc w:val="both"/>
        <w:spacing w:after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n – количество значений, используемых в расчете.</w:t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both"/>
        <w:spacing w:after="0" w:line="240" w:lineRule="auto"/>
        <w:rPr>
          <w:rFonts w:ascii="Tinos" w:hAnsi="Tinos" w:eastAsia="Tinos" w:cs="Tinos"/>
          <w:sz w:val="22"/>
          <w:szCs w:val="22"/>
          <w:highlight w:val="none"/>
          <w:lang w:eastAsia="ru-RU"/>
        </w:rPr>
      </w:pP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  <w:lang w:eastAsia="ru-RU"/>
        </w:rPr>
      </w:r>
      <w:r>
        <w:rPr>
          <w:rFonts w:ascii="Tinos" w:hAnsi="Tinos" w:eastAsia="Tinos" w:cs="Tinos"/>
          <w:sz w:val="22"/>
          <w:szCs w:val="22"/>
          <w:highlight w:val="none"/>
          <w:lang w:eastAsia="ru-RU"/>
        </w:rPr>
      </w:r>
    </w:p>
    <w:tbl>
      <w:tblPr>
        <w:tblStyle w:val="699"/>
        <w:tblW w:w="0" w:type="auto"/>
        <w:tblLayout w:type="fixed"/>
        <w:tblLook w:val="04A0" w:firstRow="1" w:lastRow="0" w:firstColumn="1" w:lastColumn="0" w:noHBand="0" w:noVBand="1"/>
      </w:tblPr>
      <w:tblGrid>
        <w:gridCol w:w="2092"/>
        <w:gridCol w:w="1134"/>
        <w:gridCol w:w="1701"/>
        <w:gridCol w:w="1847"/>
        <w:gridCol w:w="1608"/>
        <w:gridCol w:w="1789"/>
        <w:gridCol w:w="1623"/>
        <w:gridCol w:w="1670"/>
        <w:gridCol w:w="1891"/>
      </w:tblGrid>
      <w:tr>
        <w:tblPrEx/>
        <w:trPr/>
        <w:tc>
          <w:tcPr>
            <w:gridSpan w:val="9"/>
            <w:tcW w:w="1535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color w:val="auto"/>
                <w:sz w:val="22"/>
                <w:szCs w:val="22"/>
              </w:rPr>
              <w:t xml:space="preserve">Расчет начальной (максимальной) цены контракта методом сопоставимых рыночных цен (анализа рынка)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tcW w:w="2092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Характеристика  ценовой информации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Кол-во объектов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Цена единицы за 1 ед.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, указанная в источнике №1, (руб.)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textDirection w:val="lrTb"/>
            <w:noWrap w:val="false"/>
          </w:tcPr>
          <w:p>
            <w:pPr>
              <w:ind w:left="142" w:right="0" w:firstLine="0"/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Цена единицы за  1ед.,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 указанная в источнике №2, (руб.)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608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Цена единицы за 1 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ед.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, указанная в источнике №3, (руб.)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Средняя арифметическая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величина цены 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Среднее квадратичное отклонение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Коэффициент вариации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(%)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891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t xml:space="preserve">НМЦК за. Ед. (руб.)    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63421" cy="616689"/>
                      <wp:effectExtent l="0" t="0" r="0" b="0"/>
                      <wp:docPr id="1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18544511" name="Рисунок 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67621" cy="6191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0" o:spid="_x0000_s10" type="#_x0000_t75" style="width:83.73pt;height:48.56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209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Техническое обслуживание и ремонт охранно-пожарной сигнализации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  <w:t xml:space="preserve">9 объектов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  <w:t xml:space="preserve">(6 мес.)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769,98</w:t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 xml:space="preserve">(за 6 месяцев - 4619,88)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84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cs="Tinos"/>
                <w:color w:val="auto"/>
                <w:sz w:val="22"/>
                <w:szCs w:val="22"/>
              </w:rPr>
              <w:t xml:space="preserve">783,12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 xml:space="preserve">(за 6 месяцев - 4698,72)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608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778,59</w:t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nos" w:hAnsi="Tinos" w:eastAsia="Tinos" w:cs="Tinos"/>
                <w:b w:val="0"/>
                <w:bCs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</w:p>
          <w:p>
            <w:pPr>
              <w:jc w:val="center"/>
              <w:rPr>
                <w:rFonts w:ascii="Tinos" w:hAnsi="Tinos" w:cs="Tinos"/>
                <w:color w:val="auto"/>
                <w:sz w:val="22"/>
                <w:szCs w:val="22"/>
              </w:rPr>
            </w:pPr>
            <w:r>
              <w:rPr>
                <w:rFonts w:ascii="Tinos" w:hAnsi="Tinos" w:eastAsia="Tinos" w:cs="Tinos"/>
                <w:b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</w:r>
            <w:r>
              <w:rPr>
                <w:rFonts w:ascii="Tinos" w:hAnsi="Tinos" w:eastAsia="Tinos" w:cs="Tinos"/>
                <w:b w:val="0"/>
                <w:i w:val="0"/>
                <w:strike w:val="0"/>
                <w:color w:val="auto"/>
                <w:sz w:val="22"/>
                <w:szCs w:val="22"/>
                <w:highlight w:val="none"/>
                <w:u w:val="none"/>
                <w:vertAlign w:val="baseline"/>
              </w:rPr>
              <w:t xml:space="preserve">(за 6 месяцев - 4671,54)</w:t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</w:rPr>
            </w:r>
          </w:p>
        </w:tc>
        <w:tc>
          <w:tcPr>
            <w:tcW w:w="17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777,23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(за 6 месяцев - 4663,38)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6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6,6747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</w:rPr>
              <w:br/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(за 6 месяцев - 40,0484)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67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0,86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8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6995,07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 (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за 6 месяцев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 - 41970,42)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</w:tr>
      <w:tr>
        <w:tblPrEx/>
        <w:trPr/>
        <w:tc>
          <w:tcPr>
            <w:gridSpan w:val="8"/>
            <w:tcW w:w="134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ИТОГО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  <w:tc>
          <w:tcPr>
            <w:tcW w:w="189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6995,07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 (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за 6 месяцев</w:t>
            </w:r>
            <w:r>
              <w:rPr>
                <w:rFonts w:ascii="Tinos" w:hAnsi="Tinos" w:eastAsia="Tinos" w:cs="Tinos"/>
                <w:color w:val="auto"/>
                <w:sz w:val="22"/>
                <w:szCs w:val="22"/>
                <w:highlight w:val="none"/>
              </w:rPr>
              <w:t xml:space="preserve"> - 41970,42)</w:t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  <w:r>
              <w:rPr>
                <w:rFonts w:ascii="Tinos" w:hAnsi="Tinos" w:cs="Tinos"/>
                <w:color w:val="auto"/>
                <w:sz w:val="22"/>
                <w:szCs w:val="22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Tinos" w:hAnsi="Tinos" w:cs="Tinos"/>
          <w:sz w:val="22"/>
          <w:szCs w:val="22"/>
          <w:highlight w:val="none"/>
        </w:rPr>
      </w:pP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  <w:r>
        <w:rPr>
          <w:rFonts w:ascii="Tinos" w:hAnsi="Tinos" w:cs="Tinos"/>
          <w:sz w:val="22"/>
          <w:szCs w:val="22"/>
          <w:highlight w:val="none"/>
        </w:rPr>
      </w:r>
    </w:p>
    <w:p>
      <w:pPr>
        <w:jc w:val="both"/>
        <w:keepLines/>
        <w:spacing w:after="0" w:afterAutospacing="0" w:line="240" w:lineRule="auto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ind w:left="-283" w:right="0" w:firstLine="360"/>
        <w:jc w:val="both"/>
        <w:spacing w:after="0" w:line="360" w:lineRule="auto"/>
        <w:widowControl w:val="off"/>
        <w:rPr>
          <w:rFonts w:ascii="Tinos" w:hAnsi="Tinos" w:cs="Tinos"/>
          <w:color w:val="0d0d0d" w:themeColor="text1" w:themeTint="F2"/>
          <w:sz w:val="22"/>
          <w:szCs w:val="22"/>
        </w:rPr>
      </w:pP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        Коэффициент вариации цены по каждой позиции не превышает 33%, таким образом, совокупность значений, используемых в расчете, при определении НМЦК является однородной.</w:t>
      </w:r>
      <w:r>
        <w:rPr>
          <w:rFonts w:ascii="Tinos" w:hAnsi="Tinos" w:cs="Tinos"/>
          <w:color w:val="0d0d0d" w:themeColor="text1" w:themeTint="F2"/>
          <w:sz w:val="22"/>
          <w:szCs w:val="22"/>
        </w:rPr>
      </w:r>
      <w:r>
        <w:rPr>
          <w:rFonts w:ascii="Tinos" w:hAnsi="Tinos" w:cs="Tinos"/>
          <w:color w:val="0d0d0d" w:themeColor="text1" w:themeTint="F2"/>
          <w:sz w:val="22"/>
          <w:szCs w:val="22"/>
        </w:rPr>
      </w:r>
    </w:p>
    <w:p>
      <w:pPr>
        <w:ind w:left="-283" w:right="0" w:firstLine="360"/>
        <w:jc w:val="both"/>
        <w:rPr>
          <w:rFonts w:ascii="Tinos" w:hAnsi="Tinos" w:cs="Tinos"/>
          <w:color w:val="0d0d0d" w:themeColor="text1" w:themeTint="F2"/>
          <w:sz w:val="22"/>
          <w:szCs w:val="22"/>
          <w:highlight w:val="none"/>
        </w:rPr>
      </w:pP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        НМЦК включает все расходы, которые может понести Исполнитель при осуществлении им своих обязательств в полном объеме и надлежащего качества, в том числе все подлежащие уплате налоги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.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 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с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боры и другие обязательные платежи, а также иные расходы, связанные с исполнением контракта</w:t>
      </w:r>
      <w:r>
        <w:rPr>
          <w:rFonts w:ascii="Tinos" w:hAnsi="Tinos" w:eastAsia="Tinos" w:cs="Tinos"/>
          <w:color w:val="0d0d0d" w:themeColor="text1" w:themeTint="F2"/>
          <w:sz w:val="22"/>
          <w:szCs w:val="22"/>
        </w:rPr>
        <w:t xml:space="preserve">.</w:t>
      </w:r>
      <w:r>
        <w:rPr>
          <w:rFonts w:ascii="Tinos" w:hAnsi="Tinos" w:cs="Tinos"/>
          <w:color w:val="0d0d0d" w:themeColor="text1" w:themeTint="F2"/>
          <w:sz w:val="22"/>
          <w:szCs w:val="22"/>
          <w:highlight w:val="none"/>
        </w:rPr>
      </w:r>
      <w:r>
        <w:rPr>
          <w:rFonts w:ascii="Tinos" w:hAnsi="Tinos" w:cs="Tinos"/>
          <w:color w:val="0d0d0d" w:themeColor="text1" w:themeTint="F2"/>
          <w:sz w:val="22"/>
          <w:szCs w:val="22"/>
          <w:highlight w:val="none"/>
        </w:rPr>
      </w:r>
      <w:r>
        <w:rPr>
          <w:rFonts w:ascii="Tinos" w:hAnsi="Tinos" w:cs="Tinos"/>
          <w:color w:val="0d0d0d" w:themeColor="text1" w:themeTint="F2"/>
          <w:sz w:val="22"/>
          <w:szCs w:val="22"/>
          <w:highlight w:val="none"/>
        </w:rPr>
      </w:r>
      <w:r/>
      <w:r>
        <w:rPr>
          <w:rFonts w:ascii="Tinos" w:hAnsi="Tinos" w:cs="Tinos"/>
          <w:color w:val="0d0d0d" w:themeColor="text1" w:themeTint="F2"/>
          <w:sz w:val="22"/>
          <w:szCs w:val="22"/>
        </w:rPr>
      </w:r>
      <w:r>
        <w:rPr>
          <w:rFonts w:ascii="Tinos" w:hAnsi="Tinos" w:cs="Tinos"/>
          <w:color w:val="0d0d0d" w:themeColor="text1" w:themeTint="F2"/>
          <w:sz w:val="22"/>
          <w:szCs w:val="22"/>
        </w:rPr>
      </w:r>
      <w:r>
        <w:rPr>
          <w:rFonts w:ascii="Tinos" w:hAnsi="Tinos" w:cs="Tinos"/>
          <w:color w:val="0d0d0d" w:themeColor="text1" w:themeTint="F2"/>
          <w:sz w:val="22"/>
          <w:szCs w:val="22"/>
          <w:highlight w:val="none"/>
        </w:rPr>
      </w:r>
    </w:p>
    <w:sectPr>
      <w:footerReference w:type="default" r:id="rId8"/>
      <w:footnotePr/>
      <w:endnotePr/>
      <w:type w:val="nextPage"/>
      <w:pgSz w:w="16840" w:h="11907" w:orient="landscape"/>
      <w:pgMar w:top="992" w:right="567" w:bottom="710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inos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3"/>
    <w:next w:val="84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4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3"/>
    <w:next w:val="843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4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3"/>
    <w:next w:val="843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4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3"/>
    <w:next w:val="843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4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3"/>
    <w:next w:val="843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4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3"/>
    <w:next w:val="843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4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3"/>
    <w:next w:val="843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4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3"/>
    <w:next w:val="843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4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3"/>
    <w:next w:val="843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4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3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3"/>
    <w:next w:val="843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4"/>
    <w:link w:val="685"/>
    <w:uiPriority w:val="10"/>
    <w:rPr>
      <w:sz w:val="48"/>
      <w:szCs w:val="48"/>
    </w:rPr>
  </w:style>
  <w:style w:type="paragraph" w:styleId="687">
    <w:name w:val="Subtitle"/>
    <w:basedOn w:val="843"/>
    <w:next w:val="843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4"/>
    <w:link w:val="687"/>
    <w:uiPriority w:val="11"/>
    <w:rPr>
      <w:sz w:val="24"/>
      <w:szCs w:val="24"/>
    </w:rPr>
  </w:style>
  <w:style w:type="paragraph" w:styleId="689">
    <w:name w:val="Quote"/>
    <w:basedOn w:val="843"/>
    <w:next w:val="843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3"/>
    <w:next w:val="843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3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4"/>
    <w:link w:val="693"/>
    <w:uiPriority w:val="99"/>
  </w:style>
  <w:style w:type="paragraph" w:styleId="695">
    <w:name w:val="Footer"/>
    <w:basedOn w:val="843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4"/>
    <w:link w:val="695"/>
    <w:uiPriority w:val="99"/>
  </w:style>
  <w:style w:type="paragraph" w:styleId="697">
    <w:name w:val="Caption"/>
    <w:basedOn w:val="843"/>
    <w:next w:val="843"/>
    <w:link w:val="6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5">
    <w:name w:val="Hyperlink"/>
    <w:uiPriority w:val="99"/>
    <w:unhideWhenUsed/>
    <w:rPr>
      <w:color w:val="0000ff" w:themeColor="hyperlink"/>
      <w:u w:val="single"/>
    </w:rPr>
  </w:style>
  <w:style w:type="paragraph" w:styleId="826">
    <w:name w:val="footnote text"/>
    <w:basedOn w:val="843"/>
    <w:link w:val="827"/>
    <w:uiPriority w:val="99"/>
    <w:semiHidden/>
    <w:unhideWhenUsed/>
    <w:pPr>
      <w:spacing w:after="40" w:line="240" w:lineRule="auto"/>
    </w:pPr>
    <w:rPr>
      <w:sz w:val="18"/>
    </w:rPr>
  </w:style>
  <w:style w:type="character" w:styleId="827">
    <w:name w:val="Footnote Text Char"/>
    <w:link w:val="826"/>
    <w:uiPriority w:val="99"/>
    <w:rPr>
      <w:sz w:val="18"/>
    </w:rPr>
  </w:style>
  <w:style w:type="character" w:styleId="828">
    <w:name w:val="footnote reference"/>
    <w:basedOn w:val="844"/>
    <w:uiPriority w:val="99"/>
    <w:unhideWhenUsed/>
    <w:rPr>
      <w:vertAlign w:val="superscript"/>
    </w:rPr>
  </w:style>
  <w:style w:type="paragraph" w:styleId="829">
    <w:name w:val="endnote text"/>
    <w:basedOn w:val="843"/>
    <w:link w:val="830"/>
    <w:uiPriority w:val="99"/>
    <w:semiHidden/>
    <w:unhideWhenUsed/>
    <w:pPr>
      <w:spacing w:after="0" w:line="240" w:lineRule="auto"/>
    </w:pPr>
    <w:rPr>
      <w:sz w:val="20"/>
    </w:rPr>
  </w:style>
  <w:style w:type="character" w:styleId="830">
    <w:name w:val="Endnote Text Char"/>
    <w:link w:val="829"/>
    <w:uiPriority w:val="99"/>
    <w:rPr>
      <w:sz w:val="20"/>
    </w:rPr>
  </w:style>
  <w:style w:type="character" w:styleId="831">
    <w:name w:val="endnote reference"/>
    <w:basedOn w:val="844"/>
    <w:uiPriority w:val="99"/>
    <w:semiHidden/>
    <w:unhideWhenUsed/>
    <w:rPr>
      <w:vertAlign w:val="superscript"/>
    </w:rPr>
  </w:style>
  <w:style w:type="paragraph" w:styleId="832">
    <w:name w:val="toc 1"/>
    <w:basedOn w:val="843"/>
    <w:next w:val="843"/>
    <w:uiPriority w:val="39"/>
    <w:unhideWhenUsed/>
    <w:pPr>
      <w:ind w:left="0" w:right="0" w:firstLine="0"/>
      <w:spacing w:after="57"/>
    </w:pPr>
  </w:style>
  <w:style w:type="paragraph" w:styleId="833">
    <w:name w:val="toc 2"/>
    <w:basedOn w:val="843"/>
    <w:next w:val="843"/>
    <w:uiPriority w:val="39"/>
    <w:unhideWhenUsed/>
    <w:pPr>
      <w:ind w:left="283" w:right="0" w:firstLine="0"/>
      <w:spacing w:after="57"/>
    </w:pPr>
  </w:style>
  <w:style w:type="paragraph" w:styleId="834">
    <w:name w:val="toc 3"/>
    <w:basedOn w:val="843"/>
    <w:next w:val="843"/>
    <w:uiPriority w:val="39"/>
    <w:unhideWhenUsed/>
    <w:pPr>
      <w:ind w:left="567" w:right="0" w:firstLine="0"/>
      <w:spacing w:after="57"/>
    </w:pPr>
  </w:style>
  <w:style w:type="paragraph" w:styleId="835">
    <w:name w:val="toc 4"/>
    <w:basedOn w:val="843"/>
    <w:next w:val="843"/>
    <w:uiPriority w:val="39"/>
    <w:unhideWhenUsed/>
    <w:pPr>
      <w:ind w:left="850" w:right="0" w:firstLine="0"/>
      <w:spacing w:after="57"/>
    </w:pPr>
  </w:style>
  <w:style w:type="paragraph" w:styleId="836">
    <w:name w:val="toc 5"/>
    <w:basedOn w:val="843"/>
    <w:next w:val="843"/>
    <w:uiPriority w:val="39"/>
    <w:unhideWhenUsed/>
    <w:pPr>
      <w:ind w:left="1134" w:right="0" w:firstLine="0"/>
      <w:spacing w:after="57"/>
    </w:pPr>
  </w:style>
  <w:style w:type="paragraph" w:styleId="837">
    <w:name w:val="toc 6"/>
    <w:basedOn w:val="843"/>
    <w:next w:val="843"/>
    <w:uiPriority w:val="39"/>
    <w:unhideWhenUsed/>
    <w:pPr>
      <w:ind w:left="1417" w:right="0" w:firstLine="0"/>
      <w:spacing w:after="57"/>
    </w:pPr>
  </w:style>
  <w:style w:type="paragraph" w:styleId="838">
    <w:name w:val="toc 7"/>
    <w:basedOn w:val="843"/>
    <w:next w:val="843"/>
    <w:uiPriority w:val="39"/>
    <w:unhideWhenUsed/>
    <w:pPr>
      <w:ind w:left="1701" w:right="0" w:firstLine="0"/>
      <w:spacing w:after="57"/>
    </w:pPr>
  </w:style>
  <w:style w:type="paragraph" w:styleId="839">
    <w:name w:val="toc 8"/>
    <w:basedOn w:val="843"/>
    <w:next w:val="843"/>
    <w:uiPriority w:val="39"/>
    <w:unhideWhenUsed/>
    <w:pPr>
      <w:ind w:left="1984" w:right="0" w:firstLine="0"/>
      <w:spacing w:after="57"/>
    </w:pPr>
  </w:style>
  <w:style w:type="paragraph" w:styleId="840">
    <w:name w:val="toc 9"/>
    <w:basedOn w:val="843"/>
    <w:next w:val="843"/>
    <w:uiPriority w:val="39"/>
    <w:unhideWhenUsed/>
    <w:pPr>
      <w:ind w:left="2268" w:right="0" w:firstLine="0"/>
      <w:spacing w:after="57"/>
    </w:pPr>
  </w:style>
  <w:style w:type="paragraph" w:styleId="841">
    <w:name w:val="TOC Heading"/>
    <w:uiPriority w:val="39"/>
    <w:unhideWhenUsed/>
  </w:style>
  <w:style w:type="paragraph" w:styleId="842">
    <w:name w:val="table of figures"/>
    <w:basedOn w:val="843"/>
    <w:next w:val="843"/>
    <w:uiPriority w:val="99"/>
    <w:unhideWhenUsed/>
    <w:pPr>
      <w:spacing w:after="0" w:afterAutospacing="0"/>
    </w:pPr>
  </w:style>
  <w:style w:type="paragraph" w:styleId="843" w:default="1">
    <w:name w:val="Normal"/>
    <w:qFormat/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Balloon Text"/>
    <w:basedOn w:val="843"/>
    <w:link w:val="84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8" w:customStyle="1">
    <w:name w:val="Текст выноски Знак"/>
    <w:basedOn w:val="844"/>
    <w:link w:val="84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media2.sv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media3.sv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bgan_vp</cp:lastModifiedBy>
  <cp:revision>49</cp:revision>
  <dcterms:created xsi:type="dcterms:W3CDTF">2019-12-11T13:37:00Z</dcterms:created>
  <dcterms:modified xsi:type="dcterms:W3CDTF">2026-06-30T09:04:43Z</dcterms:modified>
</cp:coreProperties>
</file>