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7935" w:leader="none"/>
          <w:tab w:val="left" w:pos="8220" w:leader="none"/>
          <w:tab w:val="left" w:pos="8385" w:leader="none"/>
        </w:tabs>
        <w:jc w:val="center"/>
        <w:rPr>
          <w:lang w:val="ru-RU" w:eastAsia="zh-CN" w:bidi="ar-SA"/>
        </w:rPr>
      </w:pPr>
      <w:r>
        <w:rPr>
          <w:color w:val="000000"/>
          <w:sz w:val="26"/>
          <w:szCs w:val="26"/>
          <w:lang w:val="ru-RU" w:eastAsia="zh-CN" w:bidi="ar-SA"/>
        </w:rPr>
        <w:t xml:space="preserve">Техническое задание                                                                                                         </w:t>
      </w:r>
    </w:p>
    <w:p>
      <w:pPr>
        <w:pStyle w:val="Normal"/>
        <w:ind w:firstLine="709" w:left="0" w:right="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  <w:lang w:val="ru-RU"/>
        </w:rPr>
        <w:t>Требования к качеству, техническим характеристикам товара, работ, услуг, требования к безопасности товара, работ, услуг, требования к функциональным характеристикам (потребительским свойствам) товара, требования к размерам, упаковке, отгрузке товара, требования к результатам работ</w:t>
      </w:r>
    </w:p>
    <w:p>
      <w:pPr>
        <w:pStyle w:val="Normal"/>
        <w:ind w:firstLine="72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42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00"/>
        <w:gridCol w:w="3000"/>
        <w:gridCol w:w="4545"/>
        <w:gridCol w:w="5265"/>
      </w:tblGrid>
      <w:tr>
        <w:trPr>
          <w:trHeight w:val="389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1134" w:leader="none"/>
              </w:tabs>
              <w:spacing w:lineRule="auto" w:line="276"/>
              <w:jc w:val="center"/>
              <w:rPr/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1134" w:leader="none"/>
              </w:tabs>
              <w:spacing w:lineRule="auto" w:line="276"/>
              <w:jc w:val="center"/>
              <w:rPr/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1134" w:leader="none"/>
              </w:tabs>
              <w:spacing w:lineRule="auto" w:line="276"/>
              <w:jc w:val="center"/>
              <w:rPr/>
            </w:pPr>
            <w:r>
              <w:rPr>
                <w:b/>
                <w:sz w:val="24"/>
                <w:szCs w:val="24"/>
                <w:lang w:eastAsia="en-US"/>
              </w:rPr>
              <w:t>Технические характеристики товара</w:t>
            </w:r>
          </w:p>
        </w:tc>
      </w:tr>
      <w:tr>
        <w:trPr>
          <w:trHeight w:val="389" w:hRule="atLeast"/>
        </w:trPr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3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eastAsia="Calibri" w:cs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Показатели с максимальными</w:t>
            </w:r>
          </w:p>
          <w:p>
            <w:pPr>
              <w:pStyle w:val="Normal"/>
              <w:spacing w:lineRule="auto" w:line="276"/>
              <w:jc w:val="center"/>
              <w:rPr/>
            </w:pPr>
            <w:r>
              <w:rPr>
                <w:b/>
                <w:sz w:val="22"/>
                <w:szCs w:val="22"/>
                <w:lang w:eastAsia="en-US"/>
              </w:rPr>
              <w:t>и (или) минимальными значениями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b/>
                <w:sz w:val="22"/>
                <w:szCs w:val="22"/>
                <w:lang w:eastAsia="en-US"/>
              </w:rPr>
              <w:t>Показатели, значения которых не могут изменяться</w:t>
            </w:r>
          </w:p>
        </w:tc>
      </w:tr>
      <w:tr>
        <w:trPr>
          <w:trHeight w:val="1697" w:hRule="atLeast"/>
        </w:trPr>
        <w:tc>
          <w:tcPr>
            <w:tcW w:w="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Диспенсер для туалетной бумаги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cs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before="0" w:after="60"/>
              <w:ind w:hanging="0" w:left="0" w:right="0"/>
              <w:jc w:val="center"/>
              <w:rPr>
                <w:rFonts w:ascii="Times New Roman" w:hAnsi="Times New Roman" w:cs="Times New Roman"/>
                <w:color w:themeColor="text1" w:val="000000"/>
                <w:sz w:val="21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Ширина — </w:t>
            </w:r>
            <w:hyperlink r:id="rId2" w:tgtFrame="Показать все товары с этой характеристикой">
              <w:r>
                <w:rPr>
                  <w:rStyle w:val="Hyperlink"/>
                  <w:rFonts w:eastAsia="Times New Roman" w:cs="Times New Roman"/>
                  <w:color w:themeColor="text1" w:val="000000"/>
                  <w:sz w:val="24"/>
                  <w:szCs w:val="24"/>
                  <w:u w:val="none"/>
                </w:rPr>
                <w:t>340 мм</w:t>
              </w:r>
            </w:hyperlink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spacing w:before="0" w:after="60"/>
              <w:ind w:hanging="0" w:left="0" w:right="0"/>
              <w:jc w:val="center"/>
              <w:rPr>
                <w:rFonts w:ascii="Times New Roman" w:hAnsi="Times New Roman" w:cs="Times New Roman"/>
                <w:color w:themeColor="text1" w:val="000000"/>
                <w:sz w:val="21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Высота — </w:t>
            </w:r>
            <w:hyperlink r:id="rId3" w:tgtFrame="Показать все товары с этой характеристикой">
              <w:r>
                <w:rPr>
                  <w:rStyle w:val="Hyperlink"/>
                  <w:rFonts w:eastAsia="Times New Roman" w:cs="Times New Roman"/>
                  <w:color w:themeColor="text1" w:val="000000"/>
                  <w:sz w:val="24"/>
                  <w:szCs w:val="24"/>
                  <w:u w:val="none"/>
                </w:rPr>
                <w:t>400 мм</w:t>
              </w:r>
            </w:hyperlink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Глубина — </w:t>
            </w:r>
            <w:hyperlink r:id="rId4" w:tgtFrame="Показать все товары с этой характеристикой">
              <w:r>
                <w:rPr>
                  <w:rStyle w:val="Hyperlink"/>
                  <w:rFonts w:eastAsia="Times New Roman" w:cs="Times New Roman"/>
                  <w:color w:themeColor="text1" w:val="000000"/>
                  <w:sz w:val="24"/>
                  <w:szCs w:val="24"/>
                  <w:u w:val="none"/>
                </w:rPr>
                <w:t>140 мм</w:t>
              </w:r>
            </w:hyperlink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.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60"/>
              <w:ind w:hanging="0" w:left="0" w:right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Диспенсерная система — </w:t>
            </w:r>
            <w:hyperlink r:id="rId5" w:tgtFrame="Показать все товары с этой характеристикой">
              <w:r>
                <w:rPr>
                  <w:rStyle w:val="Hyperlink"/>
                  <w:rFonts w:eastAsia="Times New Roman" w:cs="Times New Roman"/>
                  <w:color w:themeColor="text1" w:val="000000"/>
                  <w:sz w:val="24"/>
                  <w:szCs w:val="24"/>
                  <w:u w:val="none"/>
                </w:rPr>
                <w:t>T1</w:t>
              </w:r>
            </w:hyperlink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spacing w:before="0" w:after="60"/>
              <w:ind w:hanging="0" w:left="0" w:right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Вид расходных материалов — </w:t>
            </w:r>
            <w:hyperlink r:id="rId6" w:tgtFrame="Показать все товары с этой характеристикой">
              <w:r>
                <w:rPr>
                  <w:rStyle w:val="Hyperlink"/>
                  <w:rFonts w:eastAsia="Times New Roman" w:cs="Times New Roman"/>
                  <w:color w:themeColor="text1" w:val="000000"/>
                  <w:sz w:val="24"/>
                  <w:szCs w:val="24"/>
                  <w:u w:val="none"/>
                </w:rPr>
                <w:t>рулонный с втулкой</w:t>
              </w:r>
            </w:hyperlink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spacing w:before="0" w:after="60"/>
              <w:ind w:hanging="0" w:left="0" w:right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Вместимость — </w:t>
            </w:r>
            <w:hyperlink r:id="rId7" w:tgtFrame="Показать все товары с этой характеристикой">
              <w:r>
                <w:rPr>
                  <w:rStyle w:val="Hyperlink"/>
                  <w:rFonts w:eastAsia="Times New Roman" w:cs="Times New Roman"/>
                  <w:color w:themeColor="text1" w:val="000000"/>
                  <w:sz w:val="24"/>
                  <w:szCs w:val="24"/>
                  <w:u w:val="none"/>
                </w:rPr>
                <w:t>1 пач./рулонов</w:t>
              </w:r>
            </w:hyperlink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spacing w:before="0" w:after="60"/>
              <w:ind w:hanging="0" w:left="0" w:right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Материал корпуса — </w:t>
            </w:r>
            <w:hyperlink r:id="rId8" w:tgtFrame="Показать все товары с этой характеристикой">
              <w:r>
                <w:rPr>
                  <w:rStyle w:val="Hyperlink"/>
                  <w:rFonts w:eastAsia="Times New Roman" w:cs="Times New Roman"/>
                  <w:color w:themeColor="text1" w:val="000000"/>
                  <w:sz w:val="24"/>
                  <w:szCs w:val="24"/>
                  <w:u w:val="none"/>
                </w:rPr>
                <w:t>ударопрочный пластик ABS</w:t>
              </w:r>
            </w:hyperlink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spacing w:before="0" w:after="60"/>
              <w:ind w:hanging="0" w:left="0" w:right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Цвет корпуса — </w:t>
            </w:r>
            <w:hyperlink r:id="rId9" w:tgtFrame="Показать все товары с этой характеристикой">
              <w:r>
                <w:rPr>
                  <w:rStyle w:val="Hyperlink"/>
                  <w:rFonts w:eastAsia="Times New Roman" w:cs="Times New Roman"/>
                  <w:color w:themeColor="text1" w:val="000000"/>
                  <w:sz w:val="24"/>
                  <w:szCs w:val="24"/>
                  <w:u w:val="none"/>
                </w:rPr>
                <w:t>белый</w:t>
              </w:r>
            </w:hyperlink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spacing w:before="0" w:after="60"/>
              <w:ind w:hanging="0" w:left="0" w:right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Тип закрывания — </w:t>
            </w:r>
            <w:hyperlink r:id="rId10" w:tgtFrame="Показать все товары с этой характеристикой">
              <w:r>
                <w:rPr>
                  <w:rStyle w:val="Hyperlink"/>
                  <w:rFonts w:eastAsia="Times New Roman" w:cs="Times New Roman"/>
                  <w:color w:themeColor="text1" w:val="000000"/>
                  <w:sz w:val="24"/>
                  <w:szCs w:val="24"/>
                  <w:u w:val="none"/>
                </w:rPr>
                <w:t>пластиковый ключ</w:t>
              </w:r>
            </w:hyperlink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spacing w:before="0" w:after="60"/>
              <w:ind w:hanging="0" w:left="0" w:right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Комплектация — </w:t>
            </w:r>
            <w:hyperlink r:id="rId11" w:tgtFrame="Показать все товары с этой характеристикой">
              <w:r>
                <w:rPr>
                  <w:rStyle w:val="Hyperlink"/>
                  <w:rFonts w:eastAsia="Times New Roman" w:cs="Times New Roman"/>
                  <w:color w:themeColor="text1" w:val="000000"/>
                  <w:sz w:val="24"/>
                  <w:szCs w:val="24"/>
                  <w:u w:val="none"/>
                </w:rPr>
                <w:t>крепежные материалы</w:t>
              </w:r>
            </w:hyperlink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spacing w:before="0" w:after="60"/>
              <w:ind w:hanging="0" w:left="0" w:right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Контроль остатка бумаги — </w:t>
            </w:r>
            <w:hyperlink r:id="rId12" w:tgtFrame="Показать все товары с этой характеристикой">
              <w:r>
                <w:rPr>
                  <w:rStyle w:val="Hyperlink"/>
                  <w:rFonts w:eastAsia="Times New Roman" w:cs="Times New Roman"/>
                  <w:color w:themeColor="text1" w:val="000000"/>
                  <w:sz w:val="24"/>
                  <w:szCs w:val="24"/>
                  <w:u w:val="none"/>
                </w:rPr>
                <w:t>да</w:t>
              </w:r>
            </w:hyperlink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spacing w:before="0" w:after="60"/>
              <w:ind w:hanging="0" w:left="0" w:right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Зубцы для бесконтактного отрыва бумаги — </w:t>
            </w:r>
            <w:hyperlink r:id="rId13" w:tgtFrame="Показать все товары с этой характеристикой">
              <w:r>
                <w:rPr>
                  <w:rStyle w:val="Hyperlink"/>
                  <w:rFonts w:eastAsia="Times New Roman" w:cs="Times New Roman"/>
                  <w:color w:themeColor="text1" w:val="000000"/>
                  <w:sz w:val="24"/>
                  <w:szCs w:val="24"/>
                  <w:u w:val="none"/>
                </w:rPr>
                <w:t>да</w:t>
              </w:r>
            </w:hyperlink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spacing w:before="0" w:after="60"/>
              <w:ind w:hanging="0" w:left="0" w:right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Самозахлопывающийся замок — </w:t>
            </w:r>
            <w:hyperlink r:id="rId14" w:tgtFrame="Показать все товары с этой характеристикой">
              <w:r>
                <w:rPr>
                  <w:rStyle w:val="Hyperlink"/>
                  <w:rFonts w:eastAsia="Times New Roman" w:cs="Times New Roman"/>
                  <w:color w:themeColor="text1" w:val="000000"/>
                  <w:sz w:val="24"/>
                  <w:szCs w:val="24"/>
                  <w:u w:val="none"/>
                </w:rPr>
                <w:t>да</w:t>
              </w:r>
            </w:hyperlink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spacing w:before="0" w:after="60"/>
              <w:ind w:hanging="0" w:left="0" w:right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Скрытый замок — </w:t>
            </w:r>
            <w:hyperlink r:id="rId15" w:tgtFrame="Показать все товары с этой характеристикой">
              <w:r>
                <w:rPr>
                  <w:rStyle w:val="Hyperlink"/>
                  <w:rFonts w:eastAsia="Times New Roman" w:cs="Times New Roman"/>
                  <w:color w:themeColor="text1" w:val="000000"/>
                  <w:sz w:val="24"/>
                  <w:szCs w:val="24"/>
                  <w:u w:val="none"/>
                </w:rPr>
                <w:t>да</w:t>
              </w:r>
            </w:hyperlink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spacing w:before="0" w:after="60"/>
              <w:ind w:hanging="0" w:left="0" w:right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Антивандальный корпус — </w:t>
            </w:r>
            <w:hyperlink r:id="rId16" w:tgtFrame="Показать все товары с этой характеристикой">
              <w:r>
                <w:rPr>
                  <w:rStyle w:val="Hyperlink"/>
                  <w:rFonts w:eastAsia="Times New Roman" w:cs="Times New Roman"/>
                  <w:color w:themeColor="text1" w:val="000000"/>
                  <w:sz w:val="24"/>
                  <w:szCs w:val="24"/>
                  <w:u w:val="none"/>
                </w:rPr>
                <w:t>да</w:t>
              </w:r>
            </w:hyperlink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.</w:t>
            </w:r>
          </w:p>
        </w:tc>
      </w:tr>
    </w:tbl>
    <w:p>
      <w:pPr>
        <w:pStyle w:val="Normal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exact" w:line="360"/>
        <w:ind w:hanging="0" w:left="-142" w:right="0"/>
        <w:jc w:val="both"/>
        <w:rPr>
          <w:sz w:val="24"/>
          <w:szCs w:val="24"/>
        </w:rPr>
      </w:pPr>
      <w:r>
        <w:rPr>
          <w:b/>
          <w:sz w:val="24"/>
          <w:szCs w:val="24"/>
          <w:lang w:val="ru-RU"/>
        </w:rPr>
        <w:t>Требование к качеству товара</w:t>
      </w:r>
      <w:r>
        <w:rPr>
          <w:sz w:val="24"/>
          <w:szCs w:val="24"/>
          <w:lang w:val="ru-RU"/>
        </w:rPr>
        <w:t>: товар должен быть новым, строго соответствовать техническим регламентам, применяемым к поставляемым товарам и не иметь дефектов, связанных с оформлением, материалами и качеством изготовления.</w:t>
      </w:r>
    </w:p>
    <w:p>
      <w:pPr>
        <w:pStyle w:val="Normal"/>
        <w:spacing w:lineRule="exact" w:line="360"/>
        <w:ind w:hanging="0" w:left="-142" w:right="0"/>
        <w:jc w:val="both"/>
        <w:rPr>
          <w:color w:val="FF0000"/>
          <w:sz w:val="24"/>
          <w:szCs w:val="24"/>
        </w:rPr>
      </w:pPr>
      <w:r>
        <w:rPr>
          <w:sz w:val="24"/>
          <w:szCs w:val="24"/>
          <w:lang w:val="ru-RU"/>
        </w:rPr>
        <w:t>Требования к упаковке: упаковка поставляемых товаров должна соответствовать действующим стандартам и обеспечивать сохранность товаров при транспортировке, отгрузке и хранении.</w:t>
      </w:r>
    </w:p>
    <w:p>
      <w:pPr>
        <w:pStyle w:val="Normal"/>
        <w:ind w:firstLine="709" w:left="0" w:right="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jc w:val="both"/>
        <w:rPr>
          <w:color w:val="000000"/>
          <w:sz w:val="20"/>
          <w:szCs w:val="20"/>
          <w:highlight w:val="none"/>
          <w:lang w:val="ru-RU"/>
        </w:rPr>
      </w:pPr>
      <w:r>
        <w:rPr>
          <w:color w:val="000000"/>
          <w:sz w:val="20"/>
          <w:szCs w:val="20"/>
          <w:lang w:val="ru-RU"/>
        </w:rPr>
      </w:r>
    </w:p>
    <w:p>
      <w:pPr>
        <w:pStyle w:val="Normal"/>
        <w:jc w:val="both"/>
        <w:rPr>
          <w:color w:val="000000"/>
          <w:sz w:val="20"/>
          <w:szCs w:val="20"/>
          <w:highlight w:val="none"/>
          <w:lang w:val="ru-RU"/>
        </w:rPr>
      </w:pPr>
      <w:r>
        <w:rPr>
          <w:color w:val="000000"/>
          <w:sz w:val="20"/>
          <w:szCs w:val="20"/>
          <w:lang w:val="ru-RU"/>
        </w:rPr>
      </w:r>
    </w:p>
    <w:p>
      <w:pPr>
        <w:pStyle w:val="Normal"/>
        <w:jc w:val="both"/>
        <w:rPr>
          <w:color w:val="000000"/>
          <w:sz w:val="20"/>
          <w:szCs w:val="20"/>
          <w:highlight w:val="none"/>
          <w:lang w:val="ru-RU"/>
        </w:rPr>
      </w:pPr>
      <w:r>
        <w:rPr>
          <w:color w:val="000000"/>
          <w:sz w:val="20"/>
          <w:szCs w:val="20"/>
          <w:lang w:val="ru-RU"/>
        </w:rPr>
      </w:r>
    </w:p>
    <w:p>
      <w:pPr>
        <w:pStyle w:val="Normal"/>
        <w:jc w:val="both"/>
        <w:rPr>
          <w:color w:val="000000"/>
          <w:sz w:val="20"/>
          <w:szCs w:val="20"/>
          <w:highlight w:val="none"/>
          <w:lang w:val="ru-RU"/>
        </w:rPr>
      </w:pPr>
      <w:r>
        <w:rPr>
          <w:color w:val="000000"/>
          <w:sz w:val="20"/>
          <w:szCs w:val="20"/>
          <w:lang w:val="ru-RU"/>
        </w:rPr>
      </w:r>
    </w:p>
    <w:p>
      <w:pPr>
        <w:pStyle w:val="Normal"/>
        <w:jc w:val="both"/>
        <w:rPr>
          <w:color w:val="000000"/>
          <w:sz w:val="20"/>
          <w:szCs w:val="20"/>
          <w:highlight w:val="none"/>
          <w:lang w:val="ru-RU"/>
        </w:rPr>
      </w:pPr>
      <w:r>
        <w:rPr>
          <w:color w:val="000000"/>
          <w:sz w:val="20"/>
          <w:szCs w:val="20"/>
          <w:lang w:val="ru-RU"/>
        </w:rPr>
      </w:r>
    </w:p>
    <w:sectPr>
      <w:type w:val="nextPage"/>
      <w:pgSz w:orient="landscape" w:w="15840" w:h="12240"/>
      <w:pgMar w:left="1077" w:right="624" w:gutter="0" w:header="0" w:top="1135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zh-CN" w:bidi="ar-SA"/>
    </w:rPr>
  </w:style>
  <w:style w:type="paragraph" w:styleId="Heading1">
    <w:name w:val="Heading 1"/>
    <w:basedOn w:val="Normal"/>
    <w:uiPriority w:val="9"/>
    <w:qFormat/>
    <w:pPr>
      <w:keepNext w:val="true"/>
      <w:numPr>
        <w:ilvl w:val="0"/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uiPriority w:val="9"/>
    <w:unhideWhenUsed/>
    <w:qFormat/>
    <w:pPr>
      <w:keepNext w:val="true"/>
      <w:numPr>
        <w:ilvl w:val="1"/>
        <w:numId w:val="1"/>
      </w:numPr>
      <w:jc w:val="center"/>
      <w:outlineLvl w:val="1"/>
    </w:pPr>
    <w:rPr/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3z1">
    <w:name w:val="WW8Num3z1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3z4">
    <w:name w:val="WW8Num3z4"/>
    <w:qFormat/>
    <w:rPr>
      <w:rFonts w:ascii="Courier New" w:hAnsi="Courier New" w:cs="Courier New"/>
    </w:rPr>
  </w:style>
  <w:style w:type="character" w:styleId="WW8Num4z0">
    <w:name w:val="WW8Num4z0"/>
    <w:qFormat/>
    <w:rPr>
      <w:b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Symbol" w:hAnsi="Symbol" w:cs="Symbol"/>
      <w:sz w:val="20"/>
    </w:rPr>
  </w:style>
  <w:style w:type="character" w:styleId="WW8Num7z1">
    <w:name w:val="WW8Num7z1"/>
    <w:qFormat/>
    <w:rPr>
      <w:rFonts w:ascii="Courier New" w:hAnsi="Courier New" w:cs="Courier New"/>
      <w:sz w:val="20"/>
    </w:rPr>
  </w:style>
  <w:style w:type="character" w:styleId="WW8Num7z2">
    <w:name w:val="WW8Num7z2"/>
    <w:qFormat/>
    <w:rPr>
      <w:rFonts w:ascii="Wingdings" w:hAnsi="Wingdings" w:cs="Wingdings"/>
      <w:sz w:val="20"/>
    </w:rPr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/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/>
  </w:style>
  <w:style w:type="character" w:styleId="WW8Num15z0">
    <w:name w:val="WW8Num15z0"/>
    <w:qFormat/>
    <w:rPr>
      <w:rFonts w:ascii="Wingdings" w:hAnsi="Wingdings" w:cs="Wingdings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/>
  </w:style>
  <w:style w:type="character" w:styleId="WW8Num17z0">
    <w:name w:val="WW8Num17z0"/>
    <w:qFormat/>
    <w:rPr>
      <w:rFonts w:ascii="Wingdings" w:hAnsi="Wingdings" w:cs="Wingdings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9z0">
    <w:name w:val="WW8Num19z0"/>
    <w:qFormat/>
    <w:rPr>
      <w:rFonts w:ascii="Wingdings" w:hAnsi="Wingdings" w:cs="Wingdings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20z0">
    <w:name w:val="WW8Num20z0"/>
    <w:qFormat/>
    <w:rPr/>
  </w:style>
  <w:style w:type="character" w:styleId="WW8Num21z0">
    <w:name w:val="WW8Num21z0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0">
    <w:name w:val="WW8Num23z0"/>
    <w:qFormat/>
    <w:rPr/>
  </w:style>
  <w:style w:type="character" w:styleId="WW8Num24z0">
    <w:name w:val="WW8Num24z0"/>
    <w:qFormat/>
    <w:rPr>
      <w:rFonts w:ascii="Wingdings" w:hAnsi="Wingdings" w:cs="Wingdings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5z0">
    <w:name w:val="WW8Num25z0"/>
    <w:qFormat/>
    <w:rPr>
      <w:rFonts w:ascii="Wingdings" w:hAnsi="Wingdings" w:cs="Wingdings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6z0">
    <w:name w:val="WW8Num26z0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7z0">
    <w:name w:val="WW8Num27z0"/>
    <w:qFormat/>
    <w:rPr>
      <w:rFonts w:ascii="Wingdings" w:hAnsi="Wingdings" w:cs="Wingdings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3">
    <w:name w:val="WW8Num27z3"/>
    <w:qFormat/>
    <w:rPr>
      <w:rFonts w:ascii="Symbol" w:hAnsi="Symbol" w:cs="Symbol"/>
    </w:rPr>
  </w:style>
  <w:style w:type="character" w:styleId="Style7">
    <w:name w:val="Основной шрифт абзаца"/>
    <w:qFormat/>
    <w:rPr/>
  </w:style>
  <w:style w:type="character" w:styleId="Itemtext1">
    <w:name w:val="itemtext1"/>
    <w:qFormat/>
    <w:rPr>
      <w:rFonts w:ascii="Tahoma" w:hAnsi="Tahoma" w:cs="Tahoma"/>
      <w:color w:val="000000"/>
      <w:sz w:val="20"/>
      <w:szCs w:val="20"/>
    </w:rPr>
  </w:style>
  <w:style w:type="character" w:styleId="Style8">
    <w:name w:val="Текст сноски Знак"/>
    <w:basedOn w:val="Style7"/>
    <w:qFormat/>
    <w:rPr/>
  </w:style>
  <w:style w:type="character" w:styleId="Emphasis">
    <w:name w:val="Emphasis"/>
    <w:qFormat/>
    <w:rPr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widowControl w:val="false"/>
      <w:jc w:val="both"/>
    </w:pPr>
    <w:rPr>
      <w:sz w:val="24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uiPriority w:val="35"/>
    <w:semiHidden/>
    <w:unhideWhenUsed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20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/>
    <w:rPr>
      <w:sz w:val="20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Style12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harChar1CharChar1CharChar">
    <w:name w:val="Char Char Знак Знак1 Char Char1 Знак Знак Char Char"/>
    <w:basedOn w:val="Normal"/>
    <w:qFormat/>
    <w:pPr>
      <w:spacing w:before="100" w:after="100"/>
    </w:pPr>
    <w:rPr>
      <w:rFonts w:ascii="Tahoma" w:hAnsi="Tahoma" w:cs="Tahoma"/>
      <w:sz w:val="20"/>
      <w:lang w:val="en-US"/>
    </w:rPr>
  </w:style>
  <w:style w:type="paragraph" w:styleId="2">
    <w:name w:val="Основной текст с отступом 2"/>
    <w:basedOn w:val="Normal"/>
    <w:qFormat/>
    <w:pPr>
      <w:spacing w:lineRule="auto" w:line="480" w:before="0" w:after="120"/>
      <w:ind w:hanging="0" w:left="283" w:right="0"/>
    </w:pPr>
    <w:rPr/>
  </w:style>
  <w:style w:type="paragraph" w:styleId="3">
    <w:name w:val="Стиль3"/>
    <w:basedOn w:val="2"/>
    <w:qFormat/>
    <w:pPr>
      <w:widowControl w:val="false"/>
      <w:tabs>
        <w:tab w:val="clear" w:pos="720"/>
        <w:tab w:val="left" w:pos="1307" w:leader="none"/>
      </w:tabs>
      <w:spacing w:lineRule="auto" w:line="240" w:before="0" w:after="0"/>
      <w:ind w:hanging="0" w:left="1080" w:right="0"/>
      <w:jc w:val="both"/>
    </w:pPr>
    <w:rPr>
      <w:sz w:val="24"/>
      <w:szCs w:val="24"/>
    </w:rPr>
  </w:style>
  <w:style w:type="paragraph" w:styleId="Style13">
    <w:name w:val="Обычный (веб)"/>
    <w:basedOn w:val="Normal"/>
    <w:qFormat/>
    <w:pPr>
      <w:spacing w:before="100" w:after="100"/>
    </w:pPr>
    <w:rPr>
      <w:sz w:val="24"/>
      <w:szCs w:val="24"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31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Arial" w:cs="Calibri"/>
      <w:b/>
      <w:bCs/>
      <w:color w:val="auto"/>
      <w:kern w:val="0"/>
      <w:sz w:val="22"/>
      <w:szCs w:val="22"/>
      <w:lang w:val="ru-RU" w:eastAsia="zh-CN" w:bidi="ar-SA"/>
    </w:rPr>
  </w:style>
  <w:style w:type="paragraph" w:styleId="Style14">
    <w:name w:val="А_обычный"/>
    <w:basedOn w:val="Normal"/>
    <w:qFormat/>
    <w:pPr>
      <w:ind w:firstLine="709" w:left="0" w:right="0"/>
      <w:jc w:val="both"/>
    </w:pPr>
    <w:rPr>
      <w:sz w:val="24"/>
      <w:szCs w:val="24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officemag.ru/catalog/1350/?filter=prop-shirina-340-mm" TargetMode="External"/><Relationship Id="rId3" Type="http://schemas.openxmlformats.org/officeDocument/2006/relationships/hyperlink" Target="https://www.officemag.ru/catalog/1350/?filter=prop-vysota-400-mm" TargetMode="External"/><Relationship Id="rId4" Type="http://schemas.openxmlformats.org/officeDocument/2006/relationships/hyperlink" Target="https://www.officemag.ru/catalog/1350/?filter=prop-glubina-140-mm" TargetMode="External"/><Relationship Id="rId5" Type="http://schemas.openxmlformats.org/officeDocument/2006/relationships/hyperlink" Target="https://www.officemag.ru/catalog/1350/?filter=prop-dispensernaya_sistema-t1" TargetMode="External"/><Relationship Id="rId6" Type="http://schemas.openxmlformats.org/officeDocument/2006/relationships/hyperlink" Target="https://www.officemag.ru/catalog/1350/?filter=prop-vid_raskhodnykh_materialov-rulonnyy_s_vtulkoy" TargetMode="External"/><Relationship Id="rId7" Type="http://schemas.openxmlformats.org/officeDocument/2006/relationships/hyperlink" Target="https://www.officemag.ru/catalog/1350/?filter=prop-vmestimost-1-pach_rulonov" TargetMode="External"/><Relationship Id="rId8" Type="http://schemas.openxmlformats.org/officeDocument/2006/relationships/hyperlink" Target="https://www.officemag.ru/catalog/1350/?filter=prop-material_korpusa-udaroprochnyy_plastik_abs" TargetMode="External"/><Relationship Id="rId9" Type="http://schemas.openxmlformats.org/officeDocument/2006/relationships/hyperlink" Target="https://www.officemag.ru/catalog/1350/?filter=prop-tsvet_korpusa-belyy" TargetMode="External"/><Relationship Id="rId10" Type="http://schemas.openxmlformats.org/officeDocument/2006/relationships/hyperlink" Target="https://www.officemag.ru/catalog/1350/?filter=prop-tip_zakryvaniya-plastikovyy_klyuch" TargetMode="External"/><Relationship Id="rId11" Type="http://schemas.openxmlformats.org/officeDocument/2006/relationships/hyperlink" Target="https://www.officemag.ru/catalog/1350/?filter=prop-komplektatsiya-krepezhnye_materialy" TargetMode="External"/><Relationship Id="rId12" Type="http://schemas.openxmlformats.org/officeDocument/2006/relationships/hyperlink" Target="https://www.officemag.ru/catalog/1350/?filter=prop-kontrol_ostatka_bumagi-da" TargetMode="External"/><Relationship Id="rId13" Type="http://schemas.openxmlformats.org/officeDocument/2006/relationships/hyperlink" Target="https://www.officemag.ru/catalog/1350/?filter=prop-udobnye_zubtsy_dlya_beskontaktnogo_otryva_bumagi-da" TargetMode="External"/><Relationship Id="rId14" Type="http://schemas.openxmlformats.org/officeDocument/2006/relationships/hyperlink" Target="https://www.officemag.ru/catalog/1350/?filter=prop-samozakhlopyvayushchiysya_zamok-da" TargetMode="External"/><Relationship Id="rId15" Type="http://schemas.openxmlformats.org/officeDocument/2006/relationships/hyperlink" Target="https://www.officemag.ru/catalog/1350/?filter=prop-skrytyy_zamok-da" TargetMode="External"/><Relationship Id="rId16" Type="http://schemas.openxmlformats.org/officeDocument/2006/relationships/hyperlink" Target="https://www.officemag.ru/catalog/1350/?filter=prop-antivandalnyy_korpus-da" TargetMode="Externa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LibreOffice/7.6.7.2$Linux_X86_64 LibreOffice_project/60$Build-2</Application>
  <AppVersion>15.0000</AppVersion>
  <Pages>1</Pages>
  <Words>157</Words>
  <Characters>1167</Characters>
  <CharactersWithSpaces>1417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2021-12-20T10:13:00Z</dcterms:created>
  <dc:creator>Палата</dc:creator>
  <dc:description/>
  <dc:language>ru-RU</dc:language>
  <cp:lastModifiedBy/>
  <dcterms:modified xsi:type="dcterms:W3CDTF">2026-09-07T13:20:04Z</dcterms:modified>
  <cp:revision>28</cp:revision>
  <dc:subject/>
  <dc:title>МИНИСТЕРСТВО ЮСТИЦИИ РФ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