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391212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 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441AD8">
        <w:rPr>
          <w:rFonts w:ascii="PT Astra Serif" w:hAnsi="PT Astra Serif"/>
          <w:sz w:val="18"/>
          <w:szCs w:val="18"/>
          <w:lang w:eastAsia="ru-RU"/>
        </w:rPr>
        <w:t>фоторамки</w:t>
      </w:r>
      <w:r w:rsidR="00F0498E" w:rsidRPr="00F0498E">
        <w:rPr>
          <w:rFonts w:ascii="PT Astra Serif" w:hAnsi="PT Astra Serif"/>
          <w:sz w:val="18"/>
          <w:szCs w:val="18"/>
          <w:lang w:eastAsia="ru-RU"/>
        </w:rPr>
        <w:t xml:space="preserve">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дополнительного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Поставщика, указанный в 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течении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5944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265"/>
        <w:gridCol w:w="410"/>
        <w:gridCol w:w="410"/>
        <w:gridCol w:w="267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00489A" w:rsidTr="00F45D69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712D" w:rsidRPr="0000489A" w:rsidTr="00136FFE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00489A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00489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0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/Без НДС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00489A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 , сборов и других обязательных платежей, расходов на уплату налогов, НДС</w:t>
            </w:r>
            <w:r w:rsidR="00F0498E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 xml:space="preserve">/Без НДС, </w:t>
            </w:r>
            <w:r w:rsidRPr="0000489A">
              <w:rPr>
                <w:rFonts w:ascii="PT Astra Serif" w:eastAsia="Times New Roman" w:hAnsi="PT Astra Serif" w:cs="Arial"/>
                <w:bCs/>
                <w:sz w:val="18"/>
                <w:szCs w:val="18"/>
                <w:lang w:eastAsia="ru-RU"/>
              </w:rPr>
              <w:t>а также тары при необходимости</w:t>
            </w:r>
          </w:p>
        </w:tc>
      </w:tr>
      <w:tr w:rsidR="002E3E06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E06" w:rsidRPr="0000489A" w:rsidRDefault="002E3E06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E06" w:rsidRPr="00F0498E" w:rsidRDefault="002E3E06" w:rsidP="00A83E96">
            <w:pPr>
              <w:spacing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0498E">
              <w:rPr>
                <w:rFonts w:ascii="PT Astra Serif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E06" w:rsidRPr="008C1D3E" w:rsidRDefault="00441AD8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AD8">
              <w:rPr>
                <w:rFonts w:ascii="PT Astra Serif" w:hAnsi="PT Astra Serif"/>
                <w:sz w:val="24"/>
                <w:szCs w:val="24"/>
              </w:rPr>
              <w:t>Фоторамка 21х30, А</w:t>
            </w:r>
            <w:proofErr w:type="gramStart"/>
            <w:r w:rsidRPr="00441AD8">
              <w:rPr>
                <w:rFonts w:ascii="PT Astra Serif" w:hAnsi="PT Astra Serif"/>
                <w:sz w:val="24"/>
                <w:szCs w:val="24"/>
              </w:rPr>
              <w:t>4</w:t>
            </w:r>
            <w:proofErr w:type="gramEnd"/>
            <w:r w:rsidRPr="00441AD8">
              <w:rPr>
                <w:rFonts w:ascii="PT Astra Serif" w:hAnsi="PT Astra Serif"/>
                <w:sz w:val="24"/>
                <w:szCs w:val="24"/>
              </w:rPr>
              <w:t>, пластик, темно-коричневая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441AD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E06" w:rsidRPr="008C1D3E" w:rsidRDefault="00441AD8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3E06" w:rsidRPr="0000489A" w:rsidRDefault="002E3E06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441AD8" w:rsidRPr="0000489A" w:rsidTr="00136FFE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AD8" w:rsidRPr="0000489A" w:rsidRDefault="00441AD8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D8" w:rsidRPr="00F0498E" w:rsidRDefault="00441AD8" w:rsidP="00A83E96">
            <w:pPr>
              <w:spacing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AD8" w:rsidRPr="008C1D3E" w:rsidRDefault="00441AD8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41AD8">
              <w:rPr>
                <w:rFonts w:ascii="PT Astra Serif" w:hAnsi="PT Astra Serif"/>
                <w:sz w:val="24"/>
                <w:szCs w:val="24"/>
              </w:rPr>
              <w:t>Фоторамка 21х30, А</w:t>
            </w:r>
            <w:proofErr w:type="gramStart"/>
            <w:r w:rsidRPr="00441AD8">
              <w:rPr>
                <w:rFonts w:ascii="PT Astra Serif" w:hAnsi="PT Astra Serif"/>
                <w:sz w:val="24"/>
                <w:szCs w:val="24"/>
              </w:rPr>
              <w:t>4</w:t>
            </w:r>
            <w:proofErr w:type="gramEnd"/>
            <w:r w:rsidRPr="00441AD8">
              <w:rPr>
                <w:rFonts w:ascii="PT Astra Serif" w:hAnsi="PT Astra Serif"/>
                <w:sz w:val="24"/>
                <w:szCs w:val="24"/>
              </w:rPr>
              <w:t>, пластик, белая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D8" w:rsidRDefault="00441AD8" w:rsidP="00D22606">
            <w:pPr>
              <w:spacing w:line="240" w:lineRule="auto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AD8" w:rsidRPr="008C1D3E" w:rsidRDefault="00441AD8" w:rsidP="00D2260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1AD8" w:rsidRPr="0000489A" w:rsidRDefault="00441AD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41AD8" w:rsidRPr="0000489A" w:rsidRDefault="00441AD8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  <w:tr w:rsidR="005035DB" w:rsidRPr="0000489A" w:rsidTr="00B31F02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  <w:tc>
          <w:tcPr>
            <w:tcW w:w="12256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00489A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441AD8">
        <w:rPr>
          <w:rFonts w:ascii="PT Astra Serif" w:eastAsia="Times New Roman" w:hAnsi="PT Astra Serif"/>
          <w:sz w:val="16"/>
          <w:szCs w:val="16"/>
          <w:lang w:eastAsia="ru-RU"/>
        </w:rPr>
        <w:t>в течении10 (Десяти</w:t>
      </w:r>
      <w:bookmarkStart w:id="0" w:name="_GoBack"/>
      <w:bookmarkEnd w:id="0"/>
      <w:r w:rsidR="00136FFE">
        <w:rPr>
          <w:rFonts w:ascii="PT Astra Serif" w:eastAsia="Times New Roman" w:hAnsi="PT Astra Serif"/>
          <w:sz w:val="16"/>
          <w:szCs w:val="16"/>
          <w:lang w:eastAsia="ru-RU"/>
        </w:rPr>
        <w:t>) рабочих дней.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085B73" w:rsidRPr="0000489A" w:rsidRDefault="00085B73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C601DB" w:rsidRPr="0000489A" w:rsidRDefault="00C601DB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8413C7" w:rsidRPr="0000489A" w:rsidRDefault="008413C7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lastRenderedPageBreak/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784" w:rsidRDefault="003E4784" w:rsidP="008D77B0">
      <w:pPr>
        <w:spacing w:after="0" w:line="240" w:lineRule="auto"/>
      </w:pPr>
      <w:r>
        <w:separator/>
      </w:r>
    </w:p>
  </w:endnote>
  <w:endnote w:type="continuationSeparator" w:id="0">
    <w:p w:rsidR="003E4784" w:rsidRDefault="003E4784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784" w:rsidRDefault="003E4784" w:rsidP="008D77B0">
      <w:pPr>
        <w:spacing w:after="0" w:line="240" w:lineRule="auto"/>
      </w:pPr>
      <w:r>
        <w:separator/>
      </w:r>
    </w:p>
  </w:footnote>
  <w:footnote w:type="continuationSeparator" w:id="0">
    <w:p w:rsidR="003E4784" w:rsidRDefault="003E4784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3A95"/>
    <w:rsid w:val="000945E7"/>
    <w:rsid w:val="000A1CEE"/>
    <w:rsid w:val="000B5EDA"/>
    <w:rsid w:val="000C0792"/>
    <w:rsid w:val="000C549D"/>
    <w:rsid w:val="000C57F8"/>
    <w:rsid w:val="000D045C"/>
    <w:rsid w:val="000D06EC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6FFE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1F22"/>
    <w:rsid w:val="002C4B8A"/>
    <w:rsid w:val="002E1B8A"/>
    <w:rsid w:val="002E1F3F"/>
    <w:rsid w:val="002E3E06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3E4784"/>
    <w:rsid w:val="004132CB"/>
    <w:rsid w:val="004134A6"/>
    <w:rsid w:val="00423A56"/>
    <w:rsid w:val="00440AB4"/>
    <w:rsid w:val="00440DE3"/>
    <w:rsid w:val="00441AD8"/>
    <w:rsid w:val="00441C33"/>
    <w:rsid w:val="0044563F"/>
    <w:rsid w:val="00446B15"/>
    <w:rsid w:val="00453ECC"/>
    <w:rsid w:val="0046659A"/>
    <w:rsid w:val="00471FA0"/>
    <w:rsid w:val="004740BA"/>
    <w:rsid w:val="004851DD"/>
    <w:rsid w:val="00486060"/>
    <w:rsid w:val="004867C1"/>
    <w:rsid w:val="004914B5"/>
    <w:rsid w:val="004A0022"/>
    <w:rsid w:val="004A047A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C4AC8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7EEB"/>
    <w:rsid w:val="006C1CE6"/>
    <w:rsid w:val="006D4175"/>
    <w:rsid w:val="006D4AD5"/>
    <w:rsid w:val="006D54B6"/>
    <w:rsid w:val="006D68D5"/>
    <w:rsid w:val="006E39DF"/>
    <w:rsid w:val="006F6011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7847"/>
    <w:rsid w:val="00800BA5"/>
    <w:rsid w:val="00803289"/>
    <w:rsid w:val="00804D38"/>
    <w:rsid w:val="00806263"/>
    <w:rsid w:val="0080761C"/>
    <w:rsid w:val="008218E7"/>
    <w:rsid w:val="00821E17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76D04"/>
    <w:rsid w:val="00884758"/>
    <w:rsid w:val="0089531A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593C"/>
    <w:rsid w:val="009975F9"/>
    <w:rsid w:val="009A5CFB"/>
    <w:rsid w:val="009A62F4"/>
    <w:rsid w:val="009B0541"/>
    <w:rsid w:val="009B53CB"/>
    <w:rsid w:val="009B6C97"/>
    <w:rsid w:val="009B71A9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70977"/>
    <w:rsid w:val="00B715FD"/>
    <w:rsid w:val="00B756CC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0471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0498E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3071-0527-4258-86E1-AB131317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5325</Words>
  <Characters>30359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5</cp:revision>
  <cp:lastPrinted>2025-11-11T03:13:00Z</cp:lastPrinted>
  <dcterms:created xsi:type="dcterms:W3CDTF">2026-05-19T08:07:00Z</dcterms:created>
  <dcterms:modified xsi:type="dcterms:W3CDTF">2026-06-24T07:16:00Z</dcterms:modified>
</cp:coreProperties>
</file>