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Поставщик обязуется </w:t>
      </w:r>
      <w:r w:rsidRPr="00F32846">
        <w:rPr>
          <w:b/>
          <w:color w:val="000000"/>
          <w:sz w:val="22"/>
          <w:szCs w:val="22"/>
        </w:rPr>
        <w:t>поставить</w:t>
      </w:r>
      <w:r w:rsidR="0069458A" w:rsidRPr="00F32846">
        <w:rPr>
          <w:b/>
          <w:color w:val="000000"/>
          <w:sz w:val="22"/>
          <w:szCs w:val="22"/>
        </w:rPr>
        <w:t xml:space="preserve"> </w:t>
      </w:r>
      <w:r w:rsidR="00F32846" w:rsidRPr="00F32846">
        <w:rPr>
          <w:b/>
          <w:color w:val="000000"/>
          <w:sz w:val="22"/>
          <w:szCs w:val="22"/>
        </w:rPr>
        <w:t xml:space="preserve">стенты для коронарных артерий, выделяющий лекарственное средство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32846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32846">
        <w:rPr>
          <w:color w:val="000000"/>
          <w:sz w:val="22"/>
          <w:szCs w:val="22"/>
        </w:rPr>
        <w:t xml:space="preserve">в течение </w:t>
      </w:r>
      <w:r w:rsidR="00F32846" w:rsidRPr="00F32846">
        <w:rPr>
          <w:color w:val="000000"/>
          <w:sz w:val="22"/>
          <w:szCs w:val="22"/>
        </w:rPr>
        <w:t>5 рабочих</w:t>
      </w:r>
      <w:r w:rsidR="009D0569" w:rsidRPr="00F32846">
        <w:rPr>
          <w:color w:val="000000"/>
          <w:sz w:val="22"/>
          <w:szCs w:val="22"/>
        </w:rPr>
        <w:t xml:space="preserve"> дней с даты подписания</w:t>
      </w:r>
      <w:r w:rsidR="004537B9" w:rsidRPr="00F32846">
        <w:rPr>
          <w:color w:val="000000"/>
          <w:sz w:val="22"/>
          <w:szCs w:val="22"/>
        </w:rPr>
        <w:t xml:space="preserve"> Договора</w:t>
      </w:r>
      <w:r w:rsidR="009D0569" w:rsidRPr="00F32846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32846">
        <w:rPr>
          <w:color w:val="000000"/>
          <w:sz w:val="22"/>
          <w:szCs w:val="22"/>
        </w:rPr>
        <w:t>2.2</w:t>
      </w:r>
      <w:r w:rsidR="00E844ED" w:rsidRPr="00F32846">
        <w:rPr>
          <w:color w:val="000000"/>
          <w:sz w:val="22"/>
          <w:szCs w:val="22"/>
        </w:rPr>
        <w:t>.</w:t>
      </w:r>
      <w:r w:rsidRPr="00F32846">
        <w:rPr>
          <w:color w:val="000000"/>
          <w:sz w:val="22"/>
          <w:szCs w:val="22"/>
        </w:rPr>
        <w:t xml:space="preserve"> Настоящий</w:t>
      </w:r>
      <w:r w:rsidR="00B3314E" w:rsidRPr="00F32846">
        <w:rPr>
          <w:sz w:val="22"/>
          <w:szCs w:val="22"/>
        </w:rPr>
        <w:t xml:space="preserve"> </w:t>
      </w:r>
      <w:r w:rsidR="004537B9" w:rsidRPr="00F32846">
        <w:rPr>
          <w:sz w:val="22"/>
          <w:szCs w:val="22"/>
        </w:rPr>
        <w:t xml:space="preserve">Договор </w:t>
      </w:r>
      <w:r w:rsidR="00B3314E" w:rsidRPr="00F32846">
        <w:rPr>
          <w:sz w:val="22"/>
          <w:szCs w:val="22"/>
        </w:rPr>
        <w:t>действует</w:t>
      </w:r>
      <w:r w:rsidR="00F32846" w:rsidRPr="00F32846">
        <w:rPr>
          <w:sz w:val="22"/>
          <w:szCs w:val="22"/>
        </w:rPr>
        <w:t xml:space="preserve"> до 01.09.2026 г</w:t>
      </w:r>
      <w:r w:rsidR="00B3314E" w:rsidRPr="00F32846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F32846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F32846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32846">
        <w:rPr>
          <w:sz w:val="22"/>
          <w:szCs w:val="22"/>
        </w:rPr>
        <w:t>3.4. Расчет</w:t>
      </w:r>
      <w:r w:rsidR="0024195E" w:rsidRPr="00F32846">
        <w:rPr>
          <w:sz w:val="22"/>
          <w:szCs w:val="22"/>
        </w:rPr>
        <w:t>ы</w:t>
      </w:r>
      <w:r w:rsidRPr="00F32846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24195E" w:rsidRPr="00F32846">
        <w:rPr>
          <w:sz w:val="22"/>
          <w:szCs w:val="22"/>
        </w:rPr>
        <w:t>5</w:t>
      </w:r>
      <w:r w:rsidRPr="00F32846">
        <w:rPr>
          <w:sz w:val="22"/>
          <w:szCs w:val="22"/>
        </w:rPr>
        <w:t xml:space="preserve"> (</w:t>
      </w:r>
      <w:r w:rsidR="0024195E" w:rsidRPr="00F32846">
        <w:rPr>
          <w:sz w:val="22"/>
          <w:szCs w:val="22"/>
        </w:rPr>
        <w:t>пяти</w:t>
      </w:r>
      <w:r w:rsidRPr="00F32846">
        <w:rPr>
          <w:sz w:val="22"/>
          <w:szCs w:val="22"/>
        </w:rPr>
        <w:t xml:space="preserve">) рабочих дней с даты подписания </w:t>
      </w:r>
      <w:r w:rsidR="00F92E84" w:rsidRPr="00F32846">
        <w:rPr>
          <w:sz w:val="22"/>
          <w:szCs w:val="22"/>
        </w:rPr>
        <w:t xml:space="preserve">сторонами </w:t>
      </w:r>
      <w:r w:rsidRPr="00F32846">
        <w:rPr>
          <w:sz w:val="22"/>
          <w:szCs w:val="22"/>
        </w:rPr>
        <w:t>акт</w:t>
      </w:r>
      <w:r w:rsidR="00F92E84" w:rsidRPr="00F32846">
        <w:rPr>
          <w:sz w:val="22"/>
          <w:szCs w:val="22"/>
        </w:rPr>
        <w:t>а</w:t>
      </w:r>
      <w:r w:rsidRPr="00F32846">
        <w:rPr>
          <w:sz w:val="22"/>
          <w:szCs w:val="22"/>
        </w:rPr>
        <w:t xml:space="preserve"> приемки товаров</w:t>
      </w:r>
      <w:r w:rsidR="00236C40" w:rsidRPr="00F32846">
        <w:rPr>
          <w:sz w:val="22"/>
          <w:szCs w:val="22"/>
        </w:rPr>
        <w:t>,</w:t>
      </w:r>
      <w:r w:rsidRPr="00F32846">
        <w:rPr>
          <w:sz w:val="22"/>
          <w:szCs w:val="22"/>
        </w:rPr>
        <w:t xml:space="preserve"> работ</w:t>
      </w:r>
      <w:r w:rsidR="00236C40" w:rsidRPr="00F32846">
        <w:rPr>
          <w:sz w:val="22"/>
          <w:szCs w:val="22"/>
        </w:rPr>
        <w:t>,</w:t>
      </w:r>
      <w:r w:rsidRPr="00F32846">
        <w:rPr>
          <w:sz w:val="22"/>
          <w:szCs w:val="22"/>
        </w:rPr>
        <w:t xml:space="preserve"> услуг</w:t>
      </w:r>
      <w:r w:rsidR="00236C40" w:rsidRPr="00F32846">
        <w:rPr>
          <w:sz w:val="22"/>
          <w:szCs w:val="22"/>
        </w:rPr>
        <w:t xml:space="preserve"> (ф. 0510452</w:t>
      </w:r>
      <w:r w:rsidR="00F92E84" w:rsidRPr="00F3284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>
        <w:rPr>
          <w:rFonts w:ascii="Times New Roman" w:hAnsi="Times New Roman" w:cs="Times New Roman"/>
          <w:sz w:val="22"/>
          <w:szCs w:val="22"/>
          <w:highlight w:val="yellow"/>
        </w:rPr>
        <w:t>- в течение 20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электронной почт</w:t>
      </w:r>
      <w:r w:rsidR="005669C0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акта </w:t>
      </w:r>
      <w:r w:rsidRPr="00F92E84">
        <w:rPr>
          <w:sz w:val="22"/>
          <w:szCs w:val="22"/>
          <w:highlight w:val="yellow"/>
        </w:rPr>
        <w:t>приемки товаров, работ, услуг (ф. 0510452</w:t>
      </w:r>
      <w:r>
        <w:rPr>
          <w:sz w:val="22"/>
          <w:szCs w:val="22"/>
        </w:rPr>
        <w:t>)</w:t>
      </w:r>
      <w:r w:rsidRPr="00F92E84">
        <w:rPr>
          <w:sz w:val="22"/>
          <w:szCs w:val="22"/>
        </w:rPr>
        <w:t xml:space="preserve"> производится Заказчиком в одностороннем порядке.</w:t>
      </w:r>
    </w:p>
    <w:p w:rsidR="003D27FE" w:rsidRPr="00F32846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5.2</w:t>
      </w:r>
      <w:r w:rsidRPr="00F32846">
        <w:rPr>
          <w:bCs/>
          <w:sz w:val="22"/>
          <w:szCs w:val="22"/>
        </w:rPr>
        <w:t xml:space="preserve">. По факту приемки Товара Заказчик на </w:t>
      </w:r>
      <w:r w:rsidR="00F92E84" w:rsidRPr="00F32846">
        <w:rPr>
          <w:bCs/>
          <w:sz w:val="22"/>
          <w:szCs w:val="22"/>
        </w:rPr>
        <w:t>товаросопроводительных документах</w:t>
      </w:r>
      <w:r w:rsidRPr="00F32846">
        <w:rPr>
          <w:bCs/>
          <w:sz w:val="22"/>
          <w:szCs w:val="22"/>
        </w:rPr>
        <w:t xml:space="preserve"> </w:t>
      </w:r>
      <w:r w:rsidR="00F92E84" w:rsidRPr="00F32846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F32846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F32846">
        <w:rPr>
          <w:bCs/>
          <w:sz w:val="22"/>
          <w:szCs w:val="22"/>
        </w:rPr>
        <w:t xml:space="preserve">5.3. </w:t>
      </w:r>
      <w:r w:rsidR="00B3314E" w:rsidRPr="00F32846">
        <w:rPr>
          <w:bCs/>
          <w:sz w:val="22"/>
          <w:szCs w:val="22"/>
        </w:rPr>
        <w:t xml:space="preserve"> </w:t>
      </w:r>
      <w:r w:rsidRPr="00F32846">
        <w:rPr>
          <w:b/>
          <w:bCs/>
          <w:sz w:val="22"/>
          <w:szCs w:val="22"/>
        </w:rPr>
        <w:t>Ответственное лицо</w:t>
      </w:r>
      <w:r w:rsidRPr="009B42DA">
        <w:rPr>
          <w:b/>
          <w:bCs/>
          <w:sz w:val="22"/>
          <w:szCs w:val="22"/>
        </w:rPr>
        <w:t xml:space="preserve">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496E0B" w:rsidRDefault="00496E0B" w:rsidP="00496E0B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F32846" w:rsidRPr="00F32846">
        <w:rPr>
          <w:b/>
          <w:bCs/>
          <w:color w:val="000000"/>
          <w:spacing w:val="-1"/>
          <w:sz w:val="22"/>
          <w:szCs w:val="22"/>
        </w:rPr>
        <w:t>Остаточный срок годности на момент поставки не менее 9 месяцев.</w:t>
      </w:r>
    </w:p>
    <w:p w:rsidR="009D30D3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B3314E" w:rsidRPr="00F92E84">
        <w:rPr>
          <w:sz w:val="22"/>
          <w:szCs w:val="22"/>
        </w:rPr>
        <w:lastRenderedPageBreak/>
        <w:t>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0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0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lastRenderedPageBreak/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  <w:r w:rsidR="00CE3AE4">
        <w:rPr>
          <w:sz w:val="22"/>
          <w:szCs w:val="22"/>
        </w:rPr>
        <w:t>___/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4E0DF9" w:rsidRDefault="004E0DF9" w:rsidP="00F32846">
      <w:pPr>
        <w:tabs>
          <w:tab w:val="left" w:pos="708"/>
        </w:tabs>
        <w:spacing w:line="216" w:lineRule="auto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2126"/>
        <w:gridCol w:w="1134"/>
        <w:gridCol w:w="992"/>
        <w:gridCol w:w="993"/>
        <w:gridCol w:w="1275"/>
      </w:tblGrid>
      <w:tr w:rsidR="00F32846" w:rsidRPr="0079766C" w:rsidTr="00F32846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F32846" w:rsidRPr="0079766C" w:rsidRDefault="00F32846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3147" w:type="dxa"/>
            <w:shd w:val="clear" w:color="000000" w:fill="FFFFFF"/>
            <w:hideMark/>
          </w:tcPr>
          <w:p w:rsidR="00F32846" w:rsidRPr="0079766C" w:rsidRDefault="00F32846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Наименование товара</w:t>
            </w:r>
          </w:p>
        </w:tc>
        <w:tc>
          <w:tcPr>
            <w:tcW w:w="2126" w:type="dxa"/>
            <w:shd w:val="clear" w:color="000000" w:fill="FFFFFF"/>
          </w:tcPr>
          <w:p w:rsidR="00F32846" w:rsidRPr="0079766C" w:rsidRDefault="00F32846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КТРУ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2846" w:rsidRPr="0079766C" w:rsidRDefault="00F32846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Ед. изм</w:t>
            </w:r>
          </w:p>
        </w:tc>
        <w:tc>
          <w:tcPr>
            <w:tcW w:w="992" w:type="dxa"/>
            <w:shd w:val="clear" w:color="000000" w:fill="FFFFFF"/>
            <w:hideMark/>
          </w:tcPr>
          <w:p w:rsidR="00F32846" w:rsidRPr="0079766C" w:rsidRDefault="00F32846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 xml:space="preserve">Кол-во </w:t>
            </w:r>
          </w:p>
        </w:tc>
        <w:tc>
          <w:tcPr>
            <w:tcW w:w="993" w:type="dxa"/>
            <w:shd w:val="clear" w:color="000000" w:fill="FFFFFF"/>
          </w:tcPr>
          <w:p w:rsidR="00F32846" w:rsidRPr="0079766C" w:rsidRDefault="00F32846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Цена</w:t>
            </w:r>
          </w:p>
        </w:tc>
        <w:tc>
          <w:tcPr>
            <w:tcW w:w="1275" w:type="dxa"/>
            <w:shd w:val="clear" w:color="000000" w:fill="FFFFFF"/>
          </w:tcPr>
          <w:p w:rsidR="00F32846" w:rsidRPr="0079766C" w:rsidRDefault="00F32846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Сумма</w:t>
            </w:r>
          </w:p>
        </w:tc>
      </w:tr>
      <w:tr w:rsidR="00F32846" w:rsidRPr="0079766C" w:rsidTr="00F32846">
        <w:trPr>
          <w:trHeight w:val="758"/>
        </w:trPr>
        <w:tc>
          <w:tcPr>
            <w:tcW w:w="534" w:type="dxa"/>
            <w:shd w:val="clear" w:color="000000" w:fill="FFFFFF"/>
            <w:hideMark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 w:rsidRPr="0079766C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  <w:p w:rsidR="00F32846" w:rsidRPr="0079766C" w:rsidRDefault="00F32846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shd w:val="clear" w:color="000000" w:fill="FFFFFF"/>
          </w:tcPr>
          <w:p w:rsidR="00F32846" w:rsidRPr="0079766C" w:rsidRDefault="00F32846" w:rsidP="00806BB1">
            <w:pPr>
              <w:rPr>
                <w:sz w:val="18"/>
                <w:szCs w:val="18"/>
                <w:highlight w:val="yellow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>Штука</w:t>
            </w: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000000" w:fill="FFFFFF"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93" w:type="dxa"/>
            <w:shd w:val="clear" w:color="000000" w:fill="FFFFFF"/>
          </w:tcPr>
          <w:p w:rsidR="00F32846" w:rsidRPr="0079766C" w:rsidRDefault="00F32846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79766C" w:rsidRDefault="00F32846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F32846" w:rsidRPr="00F930CB" w:rsidTr="00F32846">
        <w:trPr>
          <w:trHeight w:val="1059"/>
        </w:trPr>
        <w:tc>
          <w:tcPr>
            <w:tcW w:w="534" w:type="dxa"/>
            <w:shd w:val="clear" w:color="000000" w:fill="FFFFFF"/>
            <w:noWrap/>
            <w:hideMark/>
          </w:tcPr>
          <w:p w:rsidR="00F32846" w:rsidRPr="0044611A" w:rsidRDefault="00F32846" w:rsidP="00806BB1">
            <w:pPr>
              <w:jc w:val="center"/>
              <w:rPr>
                <w:sz w:val="18"/>
                <w:szCs w:val="18"/>
              </w:rPr>
            </w:pPr>
            <w:r w:rsidRPr="0079766C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  <w:p w:rsidR="00F32846" w:rsidRPr="0004278F" w:rsidRDefault="00F32846" w:rsidP="00806BB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  <w:r w:rsidRPr="00D56983">
              <w:rPr>
                <w:sz w:val="18"/>
                <w:szCs w:val="18"/>
              </w:rPr>
              <w:t>Штука</w:t>
            </w: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44611A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D56983" w:rsidRDefault="00F32846" w:rsidP="00806B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918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882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696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693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702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896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993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1659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1127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843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F32846" w:rsidRPr="00F930CB" w:rsidTr="00F32846">
        <w:trPr>
          <w:trHeight w:val="968"/>
        </w:trPr>
        <w:tc>
          <w:tcPr>
            <w:tcW w:w="534" w:type="dxa"/>
            <w:shd w:val="clear" w:color="000000" w:fill="FFFFFF"/>
            <w:noWrap/>
          </w:tcPr>
          <w:p w:rsidR="00F32846" w:rsidRPr="0079766C" w:rsidRDefault="00F32846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3147" w:type="dxa"/>
            <w:shd w:val="clear" w:color="000000" w:fill="FFFFFF"/>
          </w:tcPr>
          <w:p w:rsidR="00F32846" w:rsidRPr="00D56983" w:rsidRDefault="00F32846" w:rsidP="00D56983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Стент для коронарных артерий, выделяющий лекарственное средство</w:t>
            </w:r>
          </w:p>
        </w:tc>
        <w:tc>
          <w:tcPr>
            <w:tcW w:w="2126" w:type="dxa"/>
            <w:shd w:val="clear" w:color="000000" w:fill="FFFFFF"/>
          </w:tcPr>
          <w:p w:rsidR="00F32846" w:rsidRPr="0004278F" w:rsidRDefault="00F32846" w:rsidP="00806BB1">
            <w:pPr>
              <w:rPr>
                <w:sz w:val="18"/>
                <w:szCs w:val="18"/>
              </w:rPr>
            </w:pPr>
            <w:r w:rsidRPr="009040DC">
              <w:rPr>
                <w:sz w:val="16"/>
                <w:szCs w:val="16"/>
              </w:rPr>
              <w:t>32.50.13.190-02615</w:t>
            </w:r>
          </w:p>
        </w:tc>
        <w:tc>
          <w:tcPr>
            <w:tcW w:w="1134" w:type="dxa"/>
            <w:shd w:val="clear" w:color="000000" w:fill="FFFFFF"/>
          </w:tcPr>
          <w:p w:rsidR="00F32846" w:rsidRPr="00D56983" w:rsidRDefault="00F32846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:rsidR="00F32846" w:rsidRPr="00F32846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F930CB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32846" w:rsidRDefault="00F32846" w:rsidP="00AF235C">
      <w:pPr>
        <w:pStyle w:val="ConsNonformat"/>
        <w:widowControl/>
        <w:ind w:right="-5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 w:rsidR="00F32846" w:rsidRPr="00F32846" w:rsidRDefault="00F32846" w:rsidP="00F32846">
      <w:pPr>
        <w:pStyle w:val="ConsNonformat"/>
        <w:ind w:right="-5"/>
        <w:jc w:val="right"/>
        <w:rPr>
          <w:sz w:val="22"/>
          <w:szCs w:val="22"/>
        </w:rPr>
      </w:pPr>
      <w:r w:rsidRPr="00F32846">
        <w:rPr>
          <w:sz w:val="22"/>
          <w:szCs w:val="22"/>
        </w:rPr>
        <w:t>к Договору № ___/</w:t>
      </w: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  <w:r w:rsidRPr="00F32846">
        <w:rPr>
          <w:sz w:val="22"/>
          <w:szCs w:val="22"/>
        </w:rPr>
        <w:t>«____» _____________2026</w:t>
      </w: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center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</w:p>
    <w:tbl>
      <w:tblPr>
        <w:tblpPr w:leftFromText="180" w:rightFromText="180" w:vertAnchor="text" w:tblpX="-572" w:tblpY="1"/>
        <w:tblOverlap w:val="never"/>
        <w:tblW w:w="52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366"/>
        <w:gridCol w:w="354"/>
        <w:gridCol w:w="2149"/>
        <w:gridCol w:w="1518"/>
        <w:gridCol w:w="928"/>
        <w:gridCol w:w="3014"/>
        <w:gridCol w:w="654"/>
      </w:tblGrid>
      <w:tr w:rsidR="00F32846" w:rsidRPr="00F32846" w:rsidTr="00B54346">
        <w:trPr>
          <w:trHeight w:val="2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F3284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b/>
                <w:sz w:val="16"/>
                <w:szCs w:val="16"/>
              </w:rPr>
            </w:pPr>
            <w:r w:rsidRPr="00F32846">
              <w:rPr>
                <w:b/>
                <w:sz w:val="16"/>
                <w:szCs w:val="16"/>
              </w:rPr>
              <w:t>Наименование товара/КТРУ</w:t>
            </w:r>
          </w:p>
          <w:p w:rsidR="00F32846" w:rsidRPr="00F32846" w:rsidRDefault="00F32846" w:rsidP="00F32846">
            <w:pPr>
              <w:ind w:right="54"/>
              <w:jc w:val="left"/>
              <w:rPr>
                <w:b/>
                <w:sz w:val="16"/>
                <w:szCs w:val="16"/>
              </w:rPr>
            </w:pPr>
            <w:r w:rsidRPr="00B54346">
              <w:rPr>
                <w:b/>
                <w:sz w:val="16"/>
                <w:szCs w:val="16"/>
              </w:rPr>
              <w:t>Страна происх.товара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color w:val="000000"/>
                <w:sz w:val="16"/>
                <w:szCs w:val="16"/>
              </w:rPr>
            </w:pPr>
            <w:r w:rsidRPr="00F32846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b/>
                <w:sz w:val="16"/>
                <w:szCs w:val="16"/>
              </w:rPr>
              <w:t>Значения показателей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b/>
                <w:sz w:val="16"/>
                <w:szCs w:val="16"/>
              </w:rPr>
              <w:t>ед.изм</w:t>
            </w:r>
            <w:r w:rsidRPr="00F32846">
              <w:rPr>
                <w:b/>
                <w:sz w:val="16"/>
                <w:szCs w:val="16"/>
              </w:rPr>
              <w:tab/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b/>
                <w:sz w:val="16"/>
                <w:szCs w:val="16"/>
              </w:rPr>
              <w:t>Обоснование включения показателя в описание объекта закупки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left"/>
              <w:rPr>
                <w:b/>
                <w:sz w:val="16"/>
                <w:szCs w:val="16"/>
              </w:rPr>
            </w:pPr>
            <w:r w:rsidRPr="00F32846">
              <w:rPr>
                <w:b/>
                <w:sz w:val="16"/>
                <w:szCs w:val="16"/>
              </w:rPr>
              <w:t>Количество, шт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18  и  ≤ 23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  <w:r w:rsidRPr="00F328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  <w:lang w:val="en-US"/>
              </w:rPr>
            </w:pPr>
            <w:r w:rsidRPr="00F32846">
              <w:rPr>
                <w:sz w:val="16"/>
                <w:szCs w:val="16"/>
              </w:rPr>
              <w:t>≥ 2.75  и  &lt; 3.0</w:t>
            </w:r>
          </w:p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color w:val="000000"/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  и  ≤ 17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3  и  ≤ 3.25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458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18  и  ≤ 23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3.5  и  ≤ 3.75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32  и  ≤ 35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3.5  и  ≤ 3.75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12  и  ≤ 13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  и  ≤ 4.25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372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  и  ≤ 17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  и  ≤ 4.25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7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18  и  ≤ 23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  и  ≤ 4.25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8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24  и  ≤ 28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  и  ≤ 4.25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9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29  и  ≤ 31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  и  ≤ 4.25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10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12  и  ≤ 13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4.5  и  ≤ 4.75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11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  и  ≤ 17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4.5  и  ≤ 4.75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12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18  и  ≤ 23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4.5  и  ≤ 4.75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13</w:t>
            </w: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Стент для коронарных артерий, выделяющий лекарственное средство 32.50.13.190-02615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стента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24  и  ≤ 28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1</w:t>
            </w: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2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Диаметр стента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4.5  и  ≤ 4.75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миллиметр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Длина системы доставки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Сантиметр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Описание по КТРУ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Номинальное давление раскрытия 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≥ 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Физическая атмосфера (101325 Па)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Определяет значение давления, при котором стент расправляется до номинального диаметра. Параметр необходим для оптимального раскрытия стента в месте стеноза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 Диаметр совместимого проводника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дюйм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  <w:tr w:rsidR="00F32846" w:rsidRPr="00F32846" w:rsidTr="00B54346">
        <w:trPr>
          <w:trHeight w:val="20"/>
        </w:trPr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ind w:right="54"/>
              <w:jc w:val="left"/>
              <w:rPr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6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left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 xml:space="preserve">Диаметр совместимого проводникового катетера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френч</w:t>
            </w: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  <w:r w:rsidRPr="00F32846">
              <w:rPr>
                <w:sz w:val="16"/>
                <w:szCs w:val="16"/>
              </w:rPr>
              <w:t>Показатель определяет совместимость с другими инструментами, применяемыми при ЧТКА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46" w:rsidRPr="00F32846" w:rsidRDefault="00F32846" w:rsidP="00F3284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32846" w:rsidRDefault="00F32846" w:rsidP="00F32846">
      <w:pPr>
        <w:pStyle w:val="ConsNonformat"/>
        <w:widowControl/>
        <w:ind w:right="-5"/>
        <w:jc w:val="center"/>
        <w:rPr>
          <w:sz w:val="22"/>
          <w:szCs w:val="22"/>
        </w:rPr>
      </w:pPr>
    </w:p>
    <w:p w:rsidR="00B54346" w:rsidRDefault="00B54346" w:rsidP="00F32846">
      <w:pPr>
        <w:pStyle w:val="ConsNonformat"/>
        <w:widowControl/>
        <w:ind w:right="-5"/>
        <w:jc w:val="center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B54346" w:rsidRPr="00F92E84" w:rsidTr="001F395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B54346" w:rsidRPr="00F92E84" w:rsidRDefault="00B54346" w:rsidP="001F395E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>
              <w:rPr>
                <w:sz w:val="22"/>
                <w:szCs w:val="22"/>
              </w:rPr>
              <w:t xml:space="preserve">/  </w:t>
            </w:r>
            <w:r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B54346" w:rsidRPr="00F92E84" w:rsidRDefault="00B54346" w:rsidP="001F395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B54346" w:rsidRPr="00F92E84" w:rsidRDefault="00B54346" w:rsidP="00F32846">
      <w:pPr>
        <w:pStyle w:val="ConsNonformat"/>
        <w:widowControl/>
        <w:ind w:right="-5"/>
        <w:jc w:val="center"/>
        <w:rPr>
          <w:sz w:val="22"/>
          <w:szCs w:val="22"/>
        </w:rPr>
      </w:pPr>
      <w:bookmarkStart w:id="1" w:name="_GoBack"/>
      <w:bookmarkEnd w:id="1"/>
    </w:p>
    <w:sectPr w:rsidR="00B54346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5D" w:rsidRDefault="00B44E5D">
      <w:r>
        <w:separator/>
      </w:r>
    </w:p>
  </w:endnote>
  <w:endnote w:type="continuationSeparator" w:id="0">
    <w:p w:rsidR="00B44E5D" w:rsidRDefault="00B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5D" w:rsidRDefault="00B44E5D">
      <w:r>
        <w:separator/>
      </w:r>
    </w:p>
  </w:footnote>
  <w:footnote w:type="continuationSeparator" w:id="0">
    <w:p w:rsidR="00B44E5D" w:rsidRDefault="00B4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5D06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54346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2846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366CCC-BB0A-4FBF-B9E8-2DEB2001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46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3045</Words>
  <Characters>21513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24509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2</cp:revision>
  <cp:lastPrinted>2026-05-19T12:54:00Z</cp:lastPrinted>
  <dcterms:created xsi:type="dcterms:W3CDTF">2026-06-24T10:58:00Z</dcterms:created>
  <dcterms:modified xsi:type="dcterms:W3CDTF">2026-06-24T10:58:00Z</dcterms:modified>
</cp:coreProperties>
</file>