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02"/>
        <w:jc w:val="center"/>
        <w:spacing w:before="0" w:beforeAutospacing="0" w:after="0" w:afterAutospacing="0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Контракт № _______________</w: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</w:p>
    <w:p>
      <w:pPr>
        <w:pStyle w:val="802"/>
        <w:jc w:val="center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на оказание услуг по организации и проведению семинара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26 1 7702017400 770901001 0004 000 0000 000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                                              «___» _____ 2026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(___________________), именуемое в дальнейшем Испо</w:t>
      </w:r>
      <w:r>
        <w:rPr>
          <w:rFonts w:ascii="Times New Roman" w:hAnsi="Times New Roman" w:cs="Times New Roman"/>
          <w:sz w:val="24"/>
          <w:szCs w:val="24"/>
        </w:rPr>
        <w:t xml:space="preserve">лнитель, в лице _______________________________________, действующего на основании __________,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«Дирекция государственного заказчика программ развития морского транспорта» (ФКУ «Дирекция госзаказчика»)</w:t>
      </w:r>
      <w:r>
        <w:rPr>
          <w:rFonts w:ascii="Times New Roman" w:hAnsi="Times New Roman" w:cs="Times New Roman"/>
          <w:sz w:val="24"/>
          <w:szCs w:val="24"/>
        </w:rPr>
        <w:t xml:space="preserve">, име</w:t>
      </w:r>
      <w:r>
        <w:rPr>
          <w:rFonts w:ascii="Times New Roman" w:hAnsi="Times New Roman" w:cs="Times New Roman"/>
          <w:sz w:val="24"/>
          <w:szCs w:val="24"/>
        </w:rPr>
        <w:t xml:space="preserve">нуемое в дальнейшем Заказчик, в лице Генерального директора </w:t>
      </w:r>
      <w:r>
        <w:rPr>
          <w:rFonts w:ascii="Times New Roman" w:hAnsi="Times New Roman" w:cs="Times New Roman"/>
          <w:sz w:val="24"/>
          <w:szCs w:val="24"/>
        </w:rPr>
        <w:t xml:space="preserve">Машаева</w:t>
      </w:r>
      <w:r>
        <w:rPr>
          <w:rFonts w:ascii="Times New Roman" w:hAnsi="Times New Roman" w:cs="Times New Roman"/>
          <w:sz w:val="24"/>
          <w:szCs w:val="24"/>
        </w:rPr>
        <w:t xml:space="preserve"> Леонида Сергеевича, действующего на основании Устава, с другой стороны, именуемые в дальнейшем Стороны, в соответствии с пунктом 4 части 1 статьи 93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05.04.2013 № 44-</w:t>
      </w:r>
      <w:r>
        <w:rPr>
          <w:rFonts w:ascii="Times New Roman" w:hAnsi="Times New Roman" w:cs="Times New Roman"/>
          <w:sz w:val="24"/>
          <w:szCs w:val="24"/>
        </w:rPr>
        <w:t xml:space="preserve">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– Контракт)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поручает, а Исполни</w:t>
      </w:r>
      <w:r>
        <w:rPr>
          <w:rFonts w:ascii="Times New Roman" w:hAnsi="Times New Roman" w:cs="Times New Roman"/>
          <w:sz w:val="24"/>
          <w:szCs w:val="24"/>
        </w:rPr>
        <w:t xml:space="preserve">тель обязуется оказать услуги по организации и проведению семинара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"/>
        </w:rPr>
        <w:t xml:space="preserve">«Последние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(далее – услуги) согласно Программе обучения, указанной в Техническом задании (Приложение № 1 к Контракту) в объеме, указанном в Спецификации (Приложени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№ 2 к Контракту).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ока</w:t>
      </w:r>
      <w:r>
        <w:rPr>
          <w:rFonts w:ascii="Times New Roman" w:hAnsi="Times New Roman" w:cs="Times New Roman"/>
          <w:sz w:val="24"/>
          <w:szCs w:val="24"/>
        </w:rPr>
        <w:t xml:space="preserve">зания услуг: с 14.09.2026 по 18.09.2026 включительно.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Объем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 (продолжительность) в астрономических часах: 35 (Тридцать пять) часов.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услуг: г. Москва, Дмитровское шоссе, д. 27, </w:t>
      </w:r>
      <w:r>
        <w:rPr>
          <w:rFonts w:ascii="Times New Roman" w:hAnsi="Times New Roman" w:cs="Times New Roman"/>
          <w:sz w:val="24"/>
          <w:szCs w:val="24"/>
        </w:rPr>
        <w:t xml:space="preserve">конференцзал</w:t>
      </w:r>
      <w:r>
        <w:rPr>
          <w:rFonts w:ascii="Times New Roman" w:hAnsi="Times New Roman" w:cs="Times New Roman"/>
          <w:sz w:val="24"/>
          <w:szCs w:val="24"/>
        </w:rPr>
        <w:t xml:space="preserve"> гостиницы «Парк Тауэр»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оказания услуг (форма обуче</w:t>
      </w:r>
      <w:r>
        <w:rPr>
          <w:rFonts w:ascii="Times New Roman" w:hAnsi="Times New Roman" w:cs="Times New Roman"/>
          <w:sz w:val="24"/>
          <w:szCs w:val="24"/>
        </w:rPr>
        <w:t xml:space="preserve">ния)</w:t>
      </w:r>
      <w:r>
        <w:rPr>
          <w:rFonts w:ascii="Times New Roman" w:hAnsi="Times New Roman" w:cs="Times New Roman"/>
          <w:sz w:val="24"/>
          <w:szCs w:val="24"/>
        </w:rPr>
        <w:t xml:space="preserve">: очная.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/>
          <w:sz w:val="24"/>
          <w:szCs w:val="24"/>
        </w:rPr>
        <w:t xml:space="preserve">: 2 человека.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1 (Одного) рабочего дня </w:t>
      </w:r>
      <w:r>
        <w:rPr>
          <w:rFonts w:ascii="Times New Roman" w:hAnsi="Times New Roman" w:cs="Times New Roman"/>
          <w:sz w:val="24"/>
          <w:szCs w:val="24"/>
        </w:rPr>
        <w:t xml:space="preserve">с даты окончания</w:t>
      </w:r>
      <w:r>
        <w:rPr>
          <w:rFonts w:ascii="Times New Roman" w:hAnsi="Times New Roman" w:cs="Times New Roman"/>
          <w:sz w:val="24"/>
          <w:szCs w:val="24"/>
        </w:rPr>
        <w:t xml:space="preserve"> оказания услуг Исполнитель выдает каждому обучающемуся, по месту нахождения Исполнителя: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удостоверение о прохождении лекционно-практического курса семинара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комплект информационно-справочных материалов и материалы семинара</w:t>
      </w:r>
      <w:r>
        <w:rPr>
          <w:rFonts w:ascii="Times New Roman" w:hAnsi="Times New Roman" w:cs="Times New Roman"/>
          <w:sz w:val="24"/>
          <w:szCs w:val="24"/>
        </w:rPr>
        <w:t xml:space="preserve"> в электронной форме.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708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 обязан: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numPr>
          <w:ilvl w:val="2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Оказать услуги, определенные разделом </w:t>
      </w:r>
      <w:r>
        <w:rPr>
          <w:rFonts w:ascii="Times New Roman" w:hAnsi="Times New Roman" w:cs="Times New Roman"/>
          <w:sz w:val="24"/>
          <w:szCs w:val="24"/>
        </w:rPr>
        <w:t xml:space="preserve">1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2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оказанных услуг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Заказчику документы</w:t>
      </w:r>
      <w:r>
        <w:rPr>
          <w:rFonts w:ascii="Times New Roman" w:hAnsi="Times New Roman" w:cs="Times New Roman"/>
          <w:sz w:val="24"/>
          <w:szCs w:val="24"/>
        </w:rPr>
        <w:t xml:space="preserve">, оформленные в соответствии с действующим законодательством Российской Федерации (</w:t>
      </w:r>
      <w:r>
        <w:rPr>
          <w:rFonts w:ascii="Times New Roman" w:hAnsi="Times New Roman" w:cs="Times New Roman"/>
          <w:sz w:val="24"/>
          <w:szCs w:val="24"/>
        </w:rPr>
        <w:t xml:space="preserve">акт ока</w:t>
      </w:r>
      <w:r>
        <w:rPr>
          <w:rFonts w:ascii="Times New Roman" w:hAnsi="Times New Roman" w:cs="Times New Roman"/>
          <w:sz w:val="24"/>
          <w:szCs w:val="24"/>
        </w:rPr>
        <w:t xml:space="preserve">занных услуг, счет на оплату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2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Выдать </w:t>
      </w:r>
      <w:r>
        <w:rPr>
          <w:rFonts w:ascii="Times New Roman" w:hAnsi="Times New Roman" w:cs="Times New Roman"/>
          <w:sz w:val="24"/>
          <w:szCs w:val="24"/>
        </w:rPr>
        <w:t xml:space="preserve">обучающимся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удостоверения о прохождении лекционно-практического курса семинара</w:t>
      </w:r>
      <w:r>
        <w:rPr>
          <w:rFonts w:ascii="Times New Roman" w:hAnsi="Times New Roman" w:cs="Times New Roman"/>
          <w:sz w:val="24"/>
          <w:szCs w:val="24"/>
        </w:rPr>
        <w:t xml:space="preserve">, указанного в п. 1.1 Контракта, по завершении оказания услуг в полно</w:t>
      </w:r>
      <w:r>
        <w:rPr>
          <w:rFonts w:ascii="Times New Roman" w:hAnsi="Times New Roman" w:cs="Times New Roman"/>
          <w:sz w:val="24"/>
          <w:szCs w:val="24"/>
        </w:rPr>
        <w:t xml:space="preserve">м объеме, в соответствии с п.1.7</w:t>
      </w:r>
      <w:r>
        <w:rPr>
          <w:rFonts w:ascii="Times New Roman" w:hAnsi="Times New Roman" w:cs="Times New Roman"/>
          <w:sz w:val="24"/>
          <w:szCs w:val="24"/>
        </w:rPr>
        <w:t xml:space="preserve">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 обязан: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numPr>
          <w:ilvl w:val="2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роизвести оплату за оказанные Исполнителем услуги в размере и порядке, предусмотренном разделом 3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2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Оформить платёжные документы с необходимыми реквизитами для идентификации полученной оплаты Исполнителем. Обязательными при заполнении </w:t>
      </w:r>
      <w:r>
        <w:rPr>
          <w:rFonts w:ascii="Times New Roman" w:hAnsi="Times New Roman" w:cs="Times New Roman"/>
          <w:sz w:val="24"/>
          <w:szCs w:val="24"/>
        </w:rPr>
        <w:t xml:space="preserve">назначения п</w:t>
      </w:r>
      <w:r>
        <w:rPr>
          <w:rFonts w:ascii="Times New Roman" w:hAnsi="Times New Roman" w:cs="Times New Roman"/>
          <w:sz w:val="24"/>
          <w:szCs w:val="24"/>
        </w:rPr>
        <w:t xml:space="preserve">латежа являются: номер и дата Контракта, номер и дата счёта.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2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оказанные услуги по акту оказанных услуг в порядке и с</w:t>
      </w:r>
      <w:r>
        <w:rPr>
          <w:rFonts w:ascii="Times New Roman" w:hAnsi="Times New Roman" w:cs="Times New Roman"/>
          <w:sz w:val="24"/>
          <w:szCs w:val="24"/>
        </w:rPr>
        <w:t xml:space="preserve">роки, предусмотренные разделом 3</w:t>
      </w:r>
      <w:r>
        <w:rPr>
          <w:rFonts w:ascii="Times New Roman" w:hAnsi="Times New Roman" w:cs="Times New Roman"/>
          <w:sz w:val="24"/>
          <w:szCs w:val="24"/>
        </w:rPr>
        <w:t xml:space="preserve">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Цена Контракта и порядок расчётов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</w:t>
      </w:r>
      <w:r>
        <w:rPr>
          <w:rFonts w:ascii="Times New Roman" w:hAnsi="Times New Roman" w:cs="Times New Roman"/>
          <w:sz w:val="24"/>
          <w:szCs w:val="24"/>
        </w:rPr>
        <w:t xml:space="preserve"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</w:t>
      </w:r>
      <w:r>
        <w:rPr>
          <w:rFonts w:ascii="Times New Roman" w:hAnsi="Times New Roman" w:cs="Times New Roman"/>
          <w:sz w:val="24"/>
          <w:szCs w:val="24"/>
        </w:rPr>
        <w:t xml:space="preserve"> (__________________) </w:t>
      </w:r>
      <w:r>
        <w:rPr>
          <w:rFonts w:ascii="Times New Roman" w:hAnsi="Times New Roman" w:cs="Times New Roman"/>
          <w:sz w:val="24"/>
          <w:szCs w:val="24"/>
        </w:rPr>
        <w:t xml:space="preserve">рублей __ копеек, НДС 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включает в себя стоимость всех услуг, оказываемых Исполнителем по Контракту, в том числе все за</w:t>
      </w:r>
      <w:r>
        <w:rPr>
          <w:rFonts w:ascii="Times New Roman" w:hAnsi="Times New Roman" w:cs="Times New Roman"/>
          <w:sz w:val="24"/>
          <w:szCs w:val="24"/>
        </w:rPr>
        <w:t xml:space="preserve">траты, издержки и иные расходы Исполнителя, связанные с исполнением Контракта.</w:t>
      </w:r>
      <w:r>
        <w:rPr>
          <w:rFonts w:ascii="Times New Roman" w:hAnsi="Times New Roman" w:cs="Times New Roman"/>
          <w:sz w:val="24"/>
          <w:szCs w:val="24"/>
          <w:highlight w:val="magenta"/>
        </w:rPr>
      </w:r>
      <w:r>
        <w:rPr>
          <w:rFonts w:ascii="Times New Roman" w:hAnsi="Times New Roman" w:cs="Times New Roman"/>
          <w:sz w:val="24"/>
          <w:szCs w:val="24"/>
          <w:highlight w:val="magenta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не может изменяться в ходе его исполнения.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по настоящему Контракту производится в безналичной форме за счет средств Федерального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бюджет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пределах выделенных Заказчику лимитов бюджетных обязательств.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92"/>
        <w:numPr>
          <w:ilvl w:val="1"/>
          <w:numId w:val="1"/>
        </w:num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default"/>
          <w:color w:val="auto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Заказчик </w:t>
      </w:r>
      <w:r>
        <w:rPr>
          <w:rFonts w:ascii="Times New Roman" w:hAnsi="Times New Roman"/>
          <w:sz w:val="24"/>
          <w:szCs w:val="24"/>
          <w:highlight w:val="none"/>
        </w:rPr>
        <w:t xml:space="preserve">осуществляет оплату в следующем порядке: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авансовый платеж в размере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30% (Тридцати процентов)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цены Контракта производится в течение 10 (Десяти) рабочих дней с даты предоставления счета;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сумма в размере 70% (Семидесяти процентов) от цены Контракта оплачивается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 факту оказания услуг, в течение 10 (Десяти) рабочих дней с даты подпи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сания акта оказанных услуг.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 позднее 5 (Пяти) рабочих дней с момента окончания оказания услуг Исполнитель предостав</w:t>
      </w:r>
      <w:r>
        <w:rPr>
          <w:rFonts w:ascii="Times New Roman" w:hAnsi="Times New Roman" w:cs="Times New Roman"/>
          <w:sz w:val="24"/>
          <w:szCs w:val="24"/>
        </w:rPr>
        <w:t xml:space="preserve">ляет Заказчику акт оказанных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 течение 3 (Трех)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 даты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оказанных услуг обязан подпис</w:t>
      </w:r>
      <w:r>
        <w:rPr>
          <w:rFonts w:ascii="Times New Roman" w:hAnsi="Times New Roman" w:cs="Times New Roman"/>
          <w:sz w:val="24"/>
          <w:szCs w:val="24"/>
        </w:rPr>
        <w:t xml:space="preserve">ать</w:t>
      </w:r>
      <w:r>
        <w:rPr>
          <w:rFonts w:ascii="Times New Roman" w:hAnsi="Times New Roman" w:cs="Times New Roman"/>
          <w:sz w:val="24"/>
          <w:szCs w:val="24"/>
        </w:rPr>
        <w:t xml:space="preserve"> акт оказанных услуг или предостав</w:t>
      </w:r>
      <w:r>
        <w:rPr>
          <w:rFonts w:ascii="Times New Roman" w:hAnsi="Times New Roman" w:cs="Times New Roman"/>
          <w:sz w:val="24"/>
          <w:szCs w:val="24"/>
        </w:rPr>
        <w:t xml:space="preserve">ить</w:t>
      </w:r>
      <w:r>
        <w:rPr>
          <w:rFonts w:ascii="Times New Roman" w:hAnsi="Times New Roman" w:cs="Times New Roman"/>
          <w:sz w:val="24"/>
          <w:szCs w:val="24"/>
        </w:rPr>
        <w:t xml:space="preserve"> Исполнителю мотивированный отказ от подписания акта оказанных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</w:t>
      </w:r>
      <w:r>
        <w:rPr>
          <w:rFonts w:ascii="Times New Roman" w:hAnsi="Times New Roman" w:cs="Times New Roman"/>
          <w:sz w:val="24"/>
          <w:szCs w:val="24"/>
        </w:rPr>
        <w:t xml:space="preserve">лнения Заказчиком условий, предусмотренных пунктом 3.6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 Контракта, услуги считаются оказанными в полном объёме и без замечаний и дальнейшие претензии к качеству и полноте их выполнения не принимаются.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Датой платежа является дата проведения операции по списа</w:t>
      </w:r>
      <w:r>
        <w:rPr>
          <w:rFonts w:ascii="Times New Roman" w:hAnsi="Times New Roman" w:cs="Times New Roman"/>
          <w:sz w:val="24"/>
          <w:szCs w:val="24"/>
        </w:rPr>
        <w:t xml:space="preserve">нию соответствующей суммы с лицевого счёта Заказчика для её зачисления на счёт Исполнителя, указанный в Разделе 8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2 части 13 статьи 34 Закона № 44-ФЗ сумма, подлежащая уплате Заказчиком юридическому лицу или физическому </w:t>
      </w:r>
      <w:r>
        <w:rPr>
          <w:rFonts w:ascii="Times New Roman" w:hAnsi="Times New Roman" w:cs="Times New Roman"/>
          <w:sz w:val="24"/>
          <w:szCs w:val="24"/>
        </w:rPr>
        <w:t xml:space="preserve">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нодательством Российской Федерации о налогах и сборах такие налоги</w:t>
      </w:r>
      <w:r>
        <w:rPr>
          <w:rFonts w:ascii="Times New Roman" w:hAnsi="Times New Roman" w:cs="Times New Roman"/>
          <w:sz w:val="24"/>
          <w:szCs w:val="24"/>
        </w:rPr>
        <w:t xml:space="preserve">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нарушение своих обязательств по настоящему Контракту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возникновения споров и/или разногласий из Контракта Стороны договорились, что досудебный по</w:t>
      </w:r>
      <w:r>
        <w:rPr>
          <w:rFonts w:ascii="Times New Roman" w:hAnsi="Times New Roman" w:cs="Times New Roman"/>
          <w:sz w:val="24"/>
          <w:szCs w:val="24"/>
        </w:rPr>
        <w:t xml:space="preserve">рядок урегулирования спора считается соблюденным в случае совершения Стороной, заявившей иск, любого из перечисленных ниже действий: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Направление уведомления о проведении переговоров и/или претензии посредством курьерской отправки (нарочным) и/или за</w:t>
      </w:r>
      <w:r>
        <w:rPr>
          <w:rFonts w:ascii="Times New Roman" w:hAnsi="Times New Roman" w:cs="Times New Roman"/>
          <w:sz w:val="24"/>
          <w:szCs w:val="24"/>
        </w:rPr>
        <w:t xml:space="preserve">казным письмом с описью вложения по месту нахождения / по месту нахождения юридического лица, согласно ЕГРЮЛ. Срок ответа на претензию – 14 (Четырнадцать)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 даты вручения</w:t>
      </w:r>
      <w:r>
        <w:rPr>
          <w:rFonts w:ascii="Times New Roman" w:hAnsi="Times New Roman" w:cs="Times New Roman"/>
          <w:sz w:val="24"/>
          <w:szCs w:val="24"/>
        </w:rPr>
        <w:t xml:space="preserve"> претензии. В случае неполучения ответа досудебный порядок считается собл</w:t>
      </w:r>
      <w:r>
        <w:rPr>
          <w:rFonts w:ascii="Times New Roman" w:hAnsi="Times New Roman" w:cs="Times New Roman"/>
          <w:sz w:val="24"/>
          <w:szCs w:val="24"/>
        </w:rPr>
        <w:t xml:space="preserve">юденным и Сторона, заявившая претензию, вправе обратиться в суд с исковым заявлением по истечении 30 (Тридцати)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 даты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претензии или с момента подтверждения организацией почтовой связи отсутствия адресата по месту нахождения/регист</w:t>
      </w:r>
      <w:r>
        <w:rPr>
          <w:rFonts w:ascii="Times New Roman" w:hAnsi="Times New Roman" w:cs="Times New Roman"/>
          <w:sz w:val="24"/>
          <w:szCs w:val="24"/>
        </w:rPr>
        <w:t xml:space="preserve">рации, неполучения корреспонденции по любой причине. Направление сообщений / претензий по адресу электронной почты, обмен сообщениями по адресу электронной почты, указанному в разделе 8 Контракта, признаются соблюдением письменной формы, а значит, для собл</w:t>
      </w:r>
      <w:r>
        <w:rPr>
          <w:rFonts w:ascii="Times New Roman" w:hAnsi="Times New Roman" w:cs="Times New Roman"/>
          <w:sz w:val="24"/>
          <w:szCs w:val="24"/>
        </w:rPr>
        <w:t xml:space="preserve">юдения претензионного досудебного порядка урегулирования спора достаточно направления претензии по адресу электронной почты.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невозможности урегулирования Сторонами в процессе переговоров спорных вопросов, споры подлежат рассмотрению в Арбитражном суде </w:t>
      </w:r>
      <w:r>
        <w:rPr>
          <w:rFonts w:ascii="Times New Roman" w:hAnsi="Times New Roman" w:cs="Times New Roman"/>
          <w:sz w:val="24"/>
          <w:szCs w:val="24"/>
        </w:rPr>
        <w:t xml:space="preserve">г. Москвы в порядке, предусмотренном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действия и порядок расторжения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106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</w:t>
      </w:r>
      <w:r>
        <w:rPr>
          <w:rFonts w:ascii="Times New Roman" w:hAnsi="Times New Roman" w:cs="Times New Roman"/>
          <w:sz w:val="24"/>
          <w:szCs w:val="24"/>
        </w:rPr>
        <w:t xml:space="preserve">кт вст</w:t>
      </w:r>
      <w:r>
        <w:rPr>
          <w:rFonts w:ascii="Times New Roman" w:hAnsi="Times New Roman" w:cs="Times New Roman"/>
          <w:sz w:val="24"/>
          <w:szCs w:val="24"/>
        </w:rPr>
        <w:t xml:space="preserve">упает в силу с момента его заключения и действует до 14.10.2026</w:t>
      </w:r>
      <w:r>
        <w:rPr>
          <w:rFonts w:ascii="Times New Roman" w:hAnsi="Times New Roman" w:cs="Times New Roman"/>
          <w:sz w:val="24"/>
          <w:szCs w:val="24"/>
        </w:rPr>
        <w:t xml:space="preserve">, а в части финансовых обязательств – до полного их исполнения.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может быть изменен или расторгнут по письменному соглашению Сторон, в судебном порядке, а также в случаях, предусмотренных Законом № 44-ФЗ и гражданским законодательством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709"/>
        <w:jc w:val="both"/>
        <w:spacing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Антикоррупционная оговорка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 xml:space="preserve">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зательствами согласно Контракту, в том числе (не ограничиваясь) не совершать предложение, санкционирование, обещание и осуществление незаконных платежей, включая (но, не ограничиваясь) взятки в денежной или любой иной форме, каким-либо физическим или юриди</w:t>
      </w:r>
      <w:r>
        <w:rPr>
          <w:rFonts w:ascii="Times New Roman" w:hAnsi="Times New Roman" w:cs="Times New Roman"/>
          <w:sz w:val="24"/>
          <w:szCs w:val="24"/>
        </w:rPr>
        <w:t xml:space="preserve">ческим лицам, включая (но, не ограничиваясь</w:t>
      </w:r>
      <w:r>
        <w:rPr>
          <w:rFonts w:ascii="Times New Roman" w:hAnsi="Times New Roman" w:cs="Times New Roman"/>
          <w:sz w:val="24"/>
          <w:szCs w:val="24"/>
        </w:rPr>
        <w:t xml:space="preserve">) коммерческие организации, органы власти и самоуправления, государственных служащих, частных компаний и их представителей.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нарушения одной из Сторон обязательств настоящего раздела Контракта, другая</w:t>
      </w:r>
      <w:r>
        <w:rPr>
          <w:rFonts w:ascii="Times New Roman" w:hAnsi="Times New Roman" w:cs="Times New Roman"/>
          <w:sz w:val="24"/>
          <w:szCs w:val="24"/>
        </w:rPr>
        <w:t xml:space="preserve"> Сторона имеет право в одностороннем внесудебном порядке отказаться от исполнения Контракта. Стороны не возмещают друг другу убытки в случае расторжения Контракта в соответствии с данным пунктом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Прочие условия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Контракту оформляются в письменной форме, подписываются обеими Сторонами и являются его неотъемлемыми частями.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всем остальном, что не предусмотрено Контрактом, Стороны руководствуются законодательством, действующим на террит</w:t>
      </w:r>
      <w:r>
        <w:rPr>
          <w:rFonts w:ascii="Times New Roman" w:hAnsi="Times New Roman" w:cs="Times New Roman"/>
          <w:sz w:val="24"/>
          <w:szCs w:val="24"/>
        </w:rPr>
        <w:t xml:space="preserve">ории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изменения контактной информации, местонахождения, банковских реквизитов Стороны, новые данные должны быть предоставлены другой Стороне в течение 3 (Трех) рабочих дней, что оформляется дополнительным соглашением к Контрак</w:t>
      </w:r>
      <w:r>
        <w:rPr>
          <w:rFonts w:ascii="Times New Roman" w:hAnsi="Times New Roman" w:cs="Times New Roman"/>
          <w:sz w:val="24"/>
          <w:szCs w:val="24"/>
        </w:rPr>
        <w:t xml:space="preserve">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 извещения (несвоевременного извещения) об изменении адресов все уведомления, направленные по адресам, указанным в Контракте, считаются надлежащим уведомлением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информации, содержащей коммерческую тайну, и иной конфиденциаль</w:t>
      </w:r>
      <w:r>
        <w:rPr>
          <w:rFonts w:ascii="Times New Roman" w:hAnsi="Times New Roman" w:cs="Times New Roman"/>
          <w:sz w:val="24"/>
          <w:szCs w:val="24"/>
        </w:rPr>
        <w:t xml:space="preserve">ной информации будет осуществляться, в случае необходимости, после подписания Сторонами соглашения о конфиденциальности.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 одна из Сторон не должна публиковать, разрешать или заказывать публикацию какого-либо заявления, объявления или документа, которые к</w:t>
      </w:r>
      <w:r>
        <w:rPr>
          <w:rFonts w:ascii="Times New Roman" w:hAnsi="Times New Roman" w:cs="Times New Roman"/>
          <w:sz w:val="24"/>
          <w:szCs w:val="24"/>
        </w:rPr>
        <w:t xml:space="preserve">асаются другой Стороны, услуг, оказываемых Исполнителем по Контракту, без предварительного согласия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1"/>
          <w:numId w:val="1"/>
        </w:numPr>
        <w:ind w:left="0" w:firstLine="708"/>
        <w:jc w:val="both"/>
        <w:spacing w:after="0" w:line="240" w:lineRule="auto"/>
        <w:tabs>
          <w:tab w:val="center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составлен и подписан в 2 (Двух) экземплярах, имеющих равную юридическую силу, по одному для каждой из Сторон и включает в себя прил</w:t>
      </w:r>
      <w:r>
        <w:rPr>
          <w:rFonts w:ascii="Times New Roman" w:hAnsi="Times New Roman" w:cs="Times New Roman"/>
          <w:sz w:val="24"/>
          <w:szCs w:val="24"/>
        </w:rPr>
        <w:t xml:space="preserve">ожение, являющееся неотъемлемой частью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708"/>
        <w:jc w:val="both"/>
        <w:spacing w:after="0" w:line="240" w:lineRule="auto"/>
        <w:tabs>
          <w:tab w:val="center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 1: «Техническое задание»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tabs>
          <w:tab w:val="center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 2: «Спецификация»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106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93"/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ФКУ «Дирекция госзаказчика»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r/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DOCVARIABLE ЗАКАЗЧИК_ЮРАДРЕС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109028,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Басманный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Хохловский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10,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125993, Россия, г. Москва, ул. Петровка, д.3/6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DOCVARIABLE ЗАКАЗЧИК_ПОЧТАДРЕС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DOCVARIABLE ЗАКАЗЧИК_ИНН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017400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КПП: 770901001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УФК по г. Москве (ФКУ «Дирекция госзаказчика» л/с 03731327920).</w:t>
            </w:r>
            <w:r>
              <w:rPr>
                <w:rFonts w:ascii="Times New Roman" w:hAnsi="Times New Roman" w:cs="Times New Roman"/>
                <w:sz w:val="26"/>
                <w:szCs w:val="26"/>
                <w14:ligatures w14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14:ligatures w14:val="none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03211643000000017300 в Операционно-кассовом центре № 1 Главного управления Центрального банка Российской Федерации по Центральному федеральному округу г. Москва (ОКЦ № 1 ГУ БАНКА РОССИИ ПО ЦФО//УФК ПО Г. МОСКВЕ г. Москва)</w:t>
            </w:r>
            <w:r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</w:r>
            <w:r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 004525988</w:t>
            </w:r>
            <w:r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</w:r>
            <w:r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 40102810545370000003</w:t>
            </w:r>
            <w:r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</w:r>
            <w:r>
              <w:rPr>
                <w:rFonts w:ascii="Times New Roman" w:hAnsi="Times New Roman" w:cs="Times New Roman"/>
                <w:sz w:val="23"/>
                <w:szCs w:val="23"/>
                <w14:ligatures w14:val="none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приемной (495) 604-40-04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dgz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Исполнителя: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Заказчика: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Л.С. Машаев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92"/>
        <w:ind w:left="0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0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 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0"/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Контракту № </w:t>
      </w:r>
      <w:r>
        <w:rPr>
          <w:rFonts w:ascii="Times New Roman" w:hAnsi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pStyle w:val="992"/>
        <w:ind w:left="0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_________ 2026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0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</w:r>
      <w:r>
        <w:rPr>
          <w:rFonts w:ascii="Times New Roman" w:hAnsi="Times New Roman" w:cs="Times New Roman"/>
          <w:sz w:val="24"/>
          <w:szCs w:val="24"/>
          <w:highlight w:val="green"/>
        </w:rPr>
      </w:r>
      <w:r>
        <w:rPr>
          <w:rFonts w:ascii="Times New Roman" w:hAnsi="Times New Roman" w:cs="Times New Roman"/>
          <w:sz w:val="24"/>
          <w:szCs w:val="24"/>
          <w:highlight w:val="green"/>
        </w:rPr>
      </w:r>
    </w:p>
    <w:p>
      <w:pPr>
        <w:pStyle w:val="992"/>
        <w:ind w:left="0"/>
        <w:jc w:val="center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Техническое задание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92"/>
        <w:ind w:left="0"/>
        <w:jc w:val="center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Тема: «Последние изменения и перспективы развития в сфере бюджетного учета и отчетности, финансового контроля. Актуальные вопросы реализации контрактной системы государственных закупок»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92"/>
        <w:ind w:left="0" w:firstLine="567"/>
        <w:jc w:val="center"/>
        <w:spacing w:after="0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</w:r>
    </w:p>
    <w:p>
      <w:pPr>
        <w:pStyle w:val="1010"/>
        <w:ind w:firstLine="567"/>
        <w:jc w:val="both"/>
        <w:keepLines/>
        <w:keepNext/>
        <w:spacing w:before="0" w:after="0" w:line="276" w:lineRule="auto"/>
        <w:shd w:val="clear" w:color="auto" w:fill="auto"/>
        <w:rPr>
          <w:rFonts w:ascii="Times New Roman" w:hAnsi="Times New Roman" w:cs="Times New Roman"/>
          <w:bCs/>
          <w:i/>
          <w:sz w:val="22"/>
          <w:szCs w:val="22"/>
          <w:highlight w:val="none"/>
        </w:rPr>
      </w:pPr>
      <w:r>
        <w:rPr>
          <w:rFonts w:ascii="Times New Roman" w:hAnsi="Times New Roman" w:cs="Times New Roman"/>
          <w:i/>
          <w:sz w:val="22"/>
          <w:szCs w:val="22"/>
          <w:highlight w:val="none"/>
        </w:rPr>
        <w:t xml:space="preserve">Данный семинар </w:t>
      </w:r>
      <w:r>
        <w:rPr>
          <w:rFonts w:ascii="Times New Roman" w:hAnsi="Times New Roman" w:cs="Times New Roman"/>
          <w:i/>
          <w:sz w:val="22"/>
          <w:szCs w:val="22"/>
          <w:highlight w:val="none"/>
        </w:rPr>
        <w:t xml:space="preserve">предназначен для руководителей и сотрудников к</w:t>
      </w:r>
      <w:r>
        <w:rPr>
          <w:rFonts w:ascii="Times New Roman" w:hAnsi="Times New Roman" w:cs="Times New Roman"/>
          <w:i/>
          <w:sz w:val="22"/>
          <w:szCs w:val="22"/>
          <w:highlight w:val="none"/>
        </w:rPr>
        <w:t xml:space="preserve">азенных учреждений в целях учета в работе последних изменений и перспектив развития на 2027 год в области ведения бюджетного учета и отчетности, финансового аудита, организации </w:t>
      </w:r>
      <w:r>
        <w:rPr>
          <w:rFonts w:ascii="Times New Roman" w:hAnsi="Times New Roman" w:cs="Times New Roman"/>
          <w:i/>
          <w:sz w:val="22"/>
          <w:szCs w:val="22"/>
          <w:highlight w:val="none"/>
        </w:rPr>
        <w:t xml:space="preserve">госзакупок</w:t>
      </w:r>
      <w:r>
        <w:rPr>
          <w:rFonts w:ascii="Times New Roman" w:hAnsi="Times New Roman" w:cs="Times New Roman"/>
          <w:i/>
          <w:sz w:val="22"/>
          <w:szCs w:val="22"/>
          <w:highlight w:val="none"/>
        </w:rPr>
        <w:t xml:space="preserve">, работы с имуществом, вопросов сметного ценообразования в текущем и капитальном ремонте, </w:t>
      </w:r>
      <w:r>
        <w:rPr>
          <w:rFonts w:ascii="Times New Roman" w:hAnsi="Times New Roman" w:cs="Times New Roman"/>
          <w:i/>
          <w:sz w:val="22"/>
          <w:szCs w:val="22"/>
          <w:highlight w:val="none"/>
        </w:rPr>
        <w:t xml:space="preserve">строительстве, вопросов налогообложения (НДФЛ, имущественные налоги).</w:t>
      </w:r>
      <w:r>
        <w:rPr>
          <w:rFonts w:ascii="Times New Roman" w:hAnsi="Times New Roman" w:cs="Times New Roman"/>
          <w:bCs/>
          <w:i/>
          <w:sz w:val="22"/>
          <w:szCs w:val="22"/>
          <w:highlight w:val="none"/>
        </w:rPr>
      </w:r>
      <w:r>
        <w:rPr>
          <w:rFonts w:ascii="Times New Roman" w:hAnsi="Times New Roman" w:cs="Times New Roman"/>
          <w:bCs/>
          <w:i/>
          <w:sz w:val="22"/>
          <w:szCs w:val="22"/>
          <w:highlight w:val="none"/>
        </w:rPr>
      </w:r>
    </w:p>
    <w:p>
      <w:pPr>
        <w:ind w:firstLine="567"/>
        <w:jc w:val="both"/>
        <w:keepLines/>
        <w:keepNext/>
        <w:spacing w:after="0"/>
        <w:rPr>
          <w:rFonts w:ascii="Times New Roman" w:hAnsi="Times New Roman" w:eastAsia="Arial" w:cs="Times New Roman"/>
          <w:b/>
          <w:sz w:val="22"/>
          <w:szCs w:val="22"/>
          <w:highlight w:val="none"/>
        </w:rPr>
        <w:outlineLvl w:val="0"/>
      </w:pPr>
      <w:r>
        <w:rPr>
          <w:rFonts w:ascii="Times New Roman" w:hAnsi="Times New Roman" w:eastAsia="Arial" w:cs="Times New Roman"/>
          <w:b/>
          <w:sz w:val="22"/>
          <w:szCs w:val="22"/>
          <w:highlight w:val="none"/>
          <w:lang w:val="ru" w:eastAsia="ru-RU"/>
        </w:rPr>
        <w:t xml:space="preserve">Для кого</w:t>
      </w:r>
      <w:r>
        <w:rPr>
          <w:rFonts w:ascii="Times New Roman" w:hAnsi="Times New Roman" w:eastAsia="Arial" w:cs="Times New Roman"/>
          <w:b/>
          <w:sz w:val="22"/>
          <w:szCs w:val="22"/>
          <w:highlight w:val="none"/>
        </w:rPr>
      </w:r>
      <w:r>
        <w:rPr>
          <w:rFonts w:ascii="Times New Roman" w:hAnsi="Times New Roman" w:eastAsia="Arial" w:cs="Times New Roman"/>
          <w:b/>
          <w:sz w:val="22"/>
          <w:szCs w:val="22"/>
          <w:highlight w:val="none"/>
        </w:rPr>
      </w:r>
    </w:p>
    <w:p>
      <w:pPr>
        <w:pStyle w:val="1009"/>
        <w:ind w:left="20" w:right="-34"/>
        <w:jc w:val="both"/>
        <w:spacing w:after="0" w:line="276" w:lineRule="auto"/>
        <w:shd w:val="clear" w:color="auto" w:fill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для главных бухгалтеров, руководителей финансово-экономических подразделений, подразделений организации закупок, правовых отделов, отделов капитального строительства, и специали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стов бюджетных, автономных, казенных учреждений, подведомственных ФОИВ 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ind w:firstLine="567"/>
        <w:jc w:val="both"/>
        <w:keepLines/>
        <w:keepNext/>
        <w:spacing w:after="0"/>
        <w:rPr>
          <w:rFonts w:ascii="Times New Roman" w:hAnsi="Times New Roman" w:eastAsia="Arial" w:cs="Times New Roman"/>
          <w:b/>
          <w:sz w:val="22"/>
          <w:szCs w:val="22"/>
          <w:highlight w:val="none"/>
        </w:rPr>
        <w:outlineLvl w:val="0"/>
      </w:pPr>
      <w:r>
        <w:rPr>
          <w:rFonts w:ascii="Times New Roman" w:hAnsi="Times New Roman" w:eastAsia="Arial" w:cs="Times New Roman"/>
          <w:b/>
          <w:sz w:val="22"/>
          <w:szCs w:val="22"/>
          <w:highlight w:val="none"/>
          <w:lang w:val="ru" w:eastAsia="ru-RU"/>
        </w:rPr>
        <w:t xml:space="preserve">Программа</w:t>
      </w:r>
      <w:r>
        <w:rPr>
          <w:rFonts w:ascii="Times New Roman" w:hAnsi="Times New Roman" w:eastAsia="Arial" w:cs="Times New Roman"/>
          <w:b/>
          <w:sz w:val="22"/>
          <w:szCs w:val="22"/>
          <w:highlight w:val="none"/>
        </w:rPr>
      </w:r>
      <w:r>
        <w:rPr>
          <w:rFonts w:ascii="Times New Roman" w:hAnsi="Times New Roman" w:eastAsia="Arial" w:cs="Times New Roman"/>
          <w:b/>
          <w:sz w:val="22"/>
          <w:szCs w:val="22"/>
          <w:highlight w:val="none"/>
        </w:rPr>
      </w:r>
    </w:p>
    <w:p>
      <w:pPr>
        <w:pStyle w:val="1009"/>
        <w:ind w:left="20" w:right="260" w:firstLine="547"/>
        <w:jc w:val="both"/>
        <w:spacing w:after="0" w:line="276" w:lineRule="auto"/>
        <w:shd w:val="clear" w:color="auto" w:fill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Данный семинар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 позволит передать данный курс в оптимальном виде получить от лекторов-представителей федеральных органов власти, разработчиков нормативных изменений в 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области бюджетного и налогового учета, организации 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госзакупок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, отделов капитального строительства квалифицированный обзор всех изменений и рекомендации по их внедрению, разобраться в противоречиях законодательства, познакомиться с новыми регламентирующими 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документами (приказами, инструкциями, постановлениями Правительства РФ, Министерства финансов, ФНС России, Минстроя и т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.д.).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09"/>
        <w:ind w:left="20" w:right="260" w:firstLine="547"/>
        <w:jc w:val="both"/>
        <w:spacing w:after="0" w:line="276" w:lineRule="auto"/>
        <w:shd w:val="clear" w:color="auto" w:fill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В рамках курса предусмотрена возможность получить консультации преподавателей по решению практических вопросов ведения бюджетного б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ухгалтерского учета и отчетности, организации закупок, налогообложения, строительства.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ind w:firstLine="567"/>
        <w:jc w:val="both"/>
        <w:keepLines/>
        <w:keepNext/>
        <w:spacing w:after="0"/>
        <w:rPr>
          <w:rFonts w:ascii="Times New Roman" w:hAnsi="Times New Roman" w:eastAsia="Arial" w:cs="Times New Roman"/>
          <w:b/>
          <w:bCs/>
          <w:sz w:val="22"/>
          <w:szCs w:val="22"/>
          <w:highlight w:val="none"/>
        </w:rPr>
        <w:outlineLvl w:val="0"/>
      </w:pPr>
      <w:r>
        <w:rPr>
          <w:rFonts w:ascii="Times New Roman" w:hAnsi="Times New Roman" w:eastAsia="Arial" w:cs="Times New Roman"/>
          <w:b/>
          <w:sz w:val="22"/>
          <w:szCs w:val="22"/>
          <w:highlight w:val="none"/>
          <w:lang w:eastAsia="ru-RU"/>
        </w:rPr>
        <w:t xml:space="preserve">Ключевые вопросы семинара</w:t>
      </w:r>
      <w:r>
        <w:rPr>
          <w:rFonts w:ascii="Times New Roman" w:hAnsi="Times New Roman" w:eastAsia="Arial" w:cs="Times New Roman"/>
          <w:b/>
          <w:sz w:val="22"/>
          <w:szCs w:val="22"/>
          <w:highlight w:val="none"/>
          <w:lang w:eastAsia="ru-RU"/>
        </w:rPr>
        <w:t xml:space="preserve">:</w:t>
      </w:r>
      <w:r>
        <w:rPr>
          <w:rFonts w:ascii="Times New Roman" w:hAnsi="Times New Roman" w:eastAsia="Arial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eastAsia="Arial" w:cs="Times New Roman"/>
          <w:b/>
          <w:bCs/>
          <w:sz w:val="22"/>
          <w:szCs w:val="22"/>
          <w:highlight w:val="none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Практика исполнения в 2026 году нормативных правовых актов, регулирующих вопросы бюджетного планирования, определения нормативных затрат в переходный период, казначейского сопровождения контрактов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Прикладные вопросы бюджетной классификации в организациях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сектора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госуправления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. Применение КВР и КОСГУ. Последние изменения и перспективы на 2026 год, перспективы на 2027 г.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Актуальные вопросы реализации новых нормативных актов Минфина по бюджетному учету. Практические вопросы по порядку организации и ведения бюджетного учета и отчетности в 2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026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 учреждениями государственного сектора.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  <w:t xml:space="preserve">Нематериальные активы, расчеты с подотчетными лицами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Последние изменения и перспективы развития государственных закупок (в части изменений в Законы № 44-ФЗ и 223-ФЗ). Порядок размещения заказов конкурентными способами. Примеры администрат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ивной практики контролирующих органов по рассматриваемым жалобам. Практические рек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оме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ндации по профилактике нарушений в сфере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госзакупок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  <w14:ligatures w14:val="none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rFonts w:ascii="Times New Roman" w:hAnsi="Times New Roman" w:eastAsia="Times New Roman" w:cs="Times New Roman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Актуальные вопросы организации управленчес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кого учета и учетной политики в бюджетных и казённых учреждениях. Практические аспекты работы по федеральным стандартам бухгалтерского учета для государственного сектора управления, в том числе подготовка к внедрению новых стандартов (ФСБУ) с 01.01.2027 г.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rFonts w:ascii="Times New Roman" w:hAnsi="Times New Roman" w:eastAsia="Times New Roman" w:cs="Times New Roman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Вопросы управления персоналом в новых условиях. Мотивация, стрессоустойчивость. Кадровый аудит. Тестирование сотрудников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rFonts w:ascii="Times New Roman" w:hAnsi="Times New Roman" w:eastAsia="Times New Roman" w:cs="Times New Roman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Проблемы обеспече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ния открытости и прозрачности при реализации  контрольных полномочий органов государственного финансового контроля, проведения внутреннего финансового аудита.  Практические примеры правонарушений в данной сфере со стороны ФОИВ и подведомственных учреждений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rFonts w:ascii="Times New Roman" w:hAnsi="Times New Roman" w:eastAsia="Times New Roman" w:cs="Times New Roman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Внутренний ведомственный контроль и аудит в организации. Вопросы учета и списания объектов основных средств, проведения инвентаризации. Перспективы развития нормативной базы в области учета и контроля, финансового менеджмента в организациях.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pStyle w:val="992"/>
        <w:numPr>
          <w:ilvl w:val="0"/>
          <w:numId w:val="46"/>
        </w:numPr>
        <w:ind w:left="0" w:firstLine="567"/>
        <w:jc w:val="both"/>
        <w:spacing w:after="0"/>
        <w:rPr>
          <w:rFonts w:ascii="Times New Roman" w:hAnsi="Times New Roman" w:eastAsia="Times New Roman" w:cs="Times New Roman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Новое в налогообложени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и в 2026 году, с учетом специфики деятельности бюджетных, казенных и автономных учреждений. Обзор основных изменений налогового законодательства и перспективы на 2027 год в части НДФЛ, администрирования страховых взносов, работы с Социальным Фондом России.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ind w:left="567" w:firstLine="0"/>
        <w:jc w:val="both"/>
        <w:spacing w:after="0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b/>
          <w:bCs/>
          <w:sz w:val="22"/>
          <w:szCs w:val="22"/>
          <w:highlight w:val="none"/>
          <w14:ligatures w14:val="none"/>
        </w:rPr>
      </w:pPr>
      <w:r>
        <w:rPr>
          <w:b/>
          <w:bCs/>
          <w:sz w:val="22"/>
          <w:szCs w:val="22"/>
          <w:highlight w:val="none"/>
          <w:lang w:eastAsia="ru-RU"/>
        </w:rPr>
        <w:t xml:space="preserve">Лекторы и выступающие:</w:t>
      </w:r>
      <w:r>
        <w:rPr>
          <w:b/>
          <w:bCs/>
          <w:sz w:val="22"/>
          <w:szCs w:val="22"/>
          <w:highlight w:val="none"/>
          <w14:ligatures w14:val="none"/>
        </w:rPr>
      </w:r>
      <w:r>
        <w:rPr>
          <w:b/>
          <w:bCs/>
          <w:sz w:val="22"/>
          <w:szCs w:val="22"/>
          <w:highlight w:val="none"/>
          <w14:ligatures w14:val="none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  <w:t xml:space="preserve">– руководство и представители Минфина России</w:t>
      </w:r>
      <w:r>
        <w:rPr>
          <w:sz w:val="22"/>
          <w:szCs w:val="22"/>
          <w:highlight w:val="none"/>
          <w:lang w:val="ru-RU"/>
        </w:rPr>
        <w:t xml:space="preserve">, Федерального казначейства</w:t>
      </w:r>
      <w:r>
        <w:rPr>
          <w:sz w:val="22"/>
          <w:szCs w:val="22"/>
          <w:highlight w:val="none"/>
          <w:lang w:val="ru-RU"/>
        </w:rPr>
        <w:t xml:space="preserve">,</w:t>
      </w:r>
      <w:r>
        <w:rPr>
          <w:sz w:val="22"/>
          <w:szCs w:val="22"/>
          <w:highlight w:val="none"/>
          <w:lang w:val="ru-RU"/>
        </w:rPr>
        <w:t xml:space="preserve"> </w:t>
      </w:r>
      <w:r>
        <w:rPr>
          <w:sz w:val="22"/>
          <w:szCs w:val="22"/>
          <w:highlight w:val="none"/>
          <w:lang w:val="ru-RU"/>
        </w:rPr>
        <w:t xml:space="preserve">Росимущества</w:t>
      </w:r>
      <w:r>
        <w:rPr>
          <w:sz w:val="22"/>
          <w:szCs w:val="22"/>
          <w:highlight w:val="none"/>
          <w:lang w:val="ru-RU"/>
        </w:rPr>
        <w:t xml:space="preserve">, Минстроя, Госэкспертизы;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  <w:highlight w:val="none"/>
        </w:rPr>
        <w:t xml:space="preserve">– представители и руководство профильных управлений Федеральной налоговой службы, Федеральной антимонопольной службы</w:t>
      </w:r>
      <w:r>
        <w:rPr>
          <w:sz w:val="22"/>
          <w:szCs w:val="22"/>
          <w:highlight w:val="none"/>
        </w:rPr>
        <w:t xml:space="preserve">;</w:t>
      </w:r>
      <w:r>
        <w:rPr>
          <w:sz w:val="22"/>
          <w:szCs w:val="22"/>
          <w:highlight w:val="none"/>
          <w14:ligatures w14:val="none"/>
        </w:rPr>
      </w:r>
      <w:r>
        <w:rPr>
          <w:sz w:val="22"/>
          <w:szCs w:val="22"/>
          <w:highlight w:val="none"/>
          <w14:ligatures w14:val="none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  <w:t xml:space="preserve">– </w:t>
      </w:r>
      <w:r>
        <w:rPr>
          <w:sz w:val="22"/>
          <w:szCs w:val="22"/>
          <w:highlight w:val="none"/>
        </w:rPr>
        <w:t xml:space="preserve">представители других Министерств и ведомств (по </w:t>
      </w:r>
      <w:r>
        <w:rPr>
          <w:sz w:val="22"/>
          <w:szCs w:val="22"/>
          <w:highlight w:val="none"/>
        </w:rPr>
        <w:t xml:space="preserve">согласованию с Заказчиком семинара), эксперты в области бюджетных отношений и организации закупок.</w:t>
      </w:r>
      <w:r>
        <w:rPr>
          <w:sz w:val="22"/>
          <w:szCs w:val="22"/>
          <w:highlight w:val="none"/>
          <w14:ligatures w14:val="none"/>
        </w:rPr>
      </w:r>
      <w:r>
        <w:rPr>
          <w:sz w:val="22"/>
          <w:szCs w:val="22"/>
          <w:highlight w:val="none"/>
          <w14:ligatures w14:val="none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  <w14:ligatures w14:val="none"/>
        </w:rPr>
      </w:r>
      <w:r>
        <w:rPr>
          <w:sz w:val="22"/>
          <w:szCs w:val="22"/>
          <w:highlight w:val="none"/>
          <w14:ligatures w14:val="none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Для участников очного семинара: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– </w:t>
      </w:r>
      <w:r>
        <w:rPr>
          <w:sz w:val="22"/>
          <w:szCs w:val="22"/>
          <w:highlight w:val="none"/>
        </w:rPr>
        <w:t xml:space="preserve">обучение по</w:t>
      </w:r>
      <w:r>
        <w:rPr>
          <w:sz w:val="22"/>
          <w:szCs w:val="22"/>
          <w:highlight w:val="none"/>
        </w:rPr>
        <w:t xml:space="preserve"> заявленной программе с выдачей Удостоверения о прохождении лекционно-практического курса семинара;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b/>
          <w:bCs/>
          <w:sz w:val="22"/>
          <w:szCs w:val="22"/>
        </w:rPr>
      </w:pPr>
      <w:r>
        <w:rPr>
          <w:sz w:val="22"/>
          <w:szCs w:val="22"/>
          <w:highlight w:val="none"/>
        </w:rPr>
        <w:t xml:space="preserve">– </w:t>
      </w:r>
      <w:r>
        <w:rPr>
          <w:sz w:val="22"/>
          <w:szCs w:val="22"/>
          <w:highlight w:val="none"/>
        </w:rPr>
        <w:t xml:space="preserve">комплект информационно-справочных материалов и  материалы семинара в электронной форме</w:t>
      </w:r>
      <w:r>
        <w:rPr>
          <w:sz w:val="22"/>
          <w:szCs w:val="22"/>
          <w:highlight w:val="none"/>
          <w:lang w:eastAsia="ru-RU"/>
        </w:rPr>
        <w:t xml:space="preserve">.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11"/>
        <w:ind w:left="-284" w:firstLine="0"/>
        <w:jc w:val="center"/>
        <w:spacing w:line="240" w:lineRule="auto"/>
        <w:tabs>
          <w:tab w:val="left" w:pos="360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</w:p>
    <w:p>
      <w:pPr>
        <w:pStyle w:val="1011"/>
        <w:ind w:left="-284" w:firstLine="0"/>
        <w:jc w:val="center"/>
        <w:spacing w:line="240" w:lineRule="auto"/>
        <w:tabs>
          <w:tab w:val="left" w:pos="360" w:leader="none"/>
        </w:tabs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Программа по курсу 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1011"/>
        <w:ind w:left="-284" w:firstLine="0"/>
        <w:jc w:val="center"/>
        <w:spacing w:line="240" w:lineRule="auto"/>
        <w:tabs>
          <w:tab w:val="left" w:pos="360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«</w:t>
      </w:r>
      <w:r>
        <w:rPr>
          <w:rStyle w:val="1014"/>
          <w:sz w:val="22"/>
          <w:szCs w:val="22"/>
        </w:rPr>
        <w:t xml:space="preserve">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</w:t>
      </w:r>
      <w:r>
        <w:rPr>
          <w:b/>
          <w:bCs/>
          <w:sz w:val="22"/>
          <w:szCs w:val="22"/>
        </w:rPr>
        <w:t xml:space="preserve">закупок»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11"/>
        <w:ind w:left="-284" w:firstLine="0"/>
        <w:jc w:val="center"/>
        <w:spacing w:line="240" w:lineRule="auto"/>
        <w:tabs>
          <w:tab w:val="left" w:pos="360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Период обучения: 1</w:t>
      </w:r>
      <w:r>
        <w:rPr>
          <w:b/>
          <w:bCs/>
          <w:sz w:val="22"/>
          <w:szCs w:val="22"/>
        </w:rPr>
        <w:t xml:space="preserve">4</w:t>
      </w:r>
      <w:r>
        <w:rPr>
          <w:b/>
          <w:bCs/>
          <w:sz w:val="22"/>
          <w:szCs w:val="22"/>
        </w:rPr>
        <w:t xml:space="preserve">-</w:t>
      </w:r>
      <w:r>
        <w:rPr>
          <w:b/>
          <w:bCs/>
          <w:sz w:val="22"/>
          <w:szCs w:val="22"/>
        </w:rPr>
        <w:t xml:space="preserve">18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сентября</w:t>
      </w:r>
      <w:r>
        <w:rPr>
          <w:b/>
          <w:bCs/>
          <w:sz w:val="22"/>
          <w:szCs w:val="22"/>
        </w:rPr>
        <w:t xml:space="preserve"> 2026 года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11"/>
        <w:ind w:left="-284" w:firstLine="0"/>
        <w:jc w:val="center"/>
        <w:spacing w:line="240" w:lineRule="auto"/>
        <w:tabs>
          <w:tab w:val="left" w:pos="360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 проведения: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11"/>
        <w:ind w:left="-284" w:firstLine="0"/>
        <w:jc w:val="center"/>
        <w:spacing w:line="240" w:lineRule="auto"/>
        <w:tabs>
          <w:tab w:val="left" w:pos="360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г. Москва, Дмитровское шоссе, д. 27, гостиницы «Парк Тауэр»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13"/>
        <w:ind w:left="0" w:right="0" w:firstLine="567"/>
        <w:spacing w:before="0" w:beforeAutospacing="0" w:after="0" w:afterAutospacing="0" w:line="276" w:lineRule="auto"/>
        <w:rPr>
          <w:sz w:val="16"/>
          <w:szCs w:val="16"/>
        </w:rPr>
      </w:pPr>
      <w:r>
        <w:rPr>
          <w:b/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10490" w:type="dxa"/>
        <w:tblInd w:w="-459" w:type="dxa"/>
        <w:tblLook w:val="0000" w:firstRow="0" w:lastRow="0" w:firstColumn="0" w:lastColumn="0" w:noHBand="0" w:noVBand="0"/>
      </w:tblPr>
      <w:tblGrid>
        <w:gridCol w:w="1416"/>
        <w:gridCol w:w="9074"/>
      </w:tblGrid>
      <w:tr>
        <w:tblPrEx/>
        <w:trPr>
          <w:cantSplit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Первый день семинара,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14 сентября, понедельник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9.00-10.45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Открытие семинара. Круглый стол-брифинг по вопросам внутреннего финансового аудита и внутреннего контроля (лектор - эксперт федерального уровня в области ВФА и КФМ, государственный советник Российской Федерации III класса Захаренко Андрей Николаевич).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Тема: «Методология повышения эффективности внутреннего финансового аудита при исполнении бюджета, в том числе при организации и проведении закупок для государственных (муниципальных) нужд».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Нормативное регулирование ВФА (практическое разъяснение требований федеральных стандартов).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Методология оценки надежности внутреннего финансового аудита и ведомственного контроля в сфере закупок: выявление, индикаторы, оценка вероятности и степени влияния рисков с учётом причин и условий (обстоятельств) их реализации.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Мониторинг качества финансового менеджмент (МКФМ). Нормативное регулирование. Результаты оценки КФМ.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Упреждающий (СМАРТ) контроль и реализация риск-ориентированного подхода при проведении аудиторских мероприятий. Взаимодействие с контрольными органами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Ответы на вопросы слушателей, практические рекомендации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11.00-13.00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Круглый стол-брифинг  (лектор – начальник отдела Управления контроля размещения государственного заказа ФАС России Ахмедов Ахмед Робертович).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Тема: «Актуальные вопросы правоприменительной практики законодательства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о контрактной системе, включая последние изменения требований в рамках применения национального режима в 2026 г., перспективы на 2027 год. Обзор результатов контрольной деятельности по итогам рассмотрения жалоб, проведения внеплановых и плановых проверок».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- Механизмы контроля в сфере закупок, субъектный состав. Типичные нарушения: национальный режим, требования к участникам закупки, порядок оценки заявок.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Разбор вопросов, связанных с применением требований ПП РФ 1875 в части применения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национального режима в проводимых закупках.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Проблематика участившихся случаев предоставления участниками закупок недостоверных сведений в составе заявки на участие в закупке: действия заказчика по рассмотрению такой заявки и последствия для участника, предоставившего недостоверные сведения.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Практические вопросы установления дополнительных требований к участникам закупок, а также порядка оценки в закупке: практика применения ПП РФ 2571; ПП РФ 2604.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Calibri" w:hAnsi="Calibri" w:eastAsia="Calibri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Ответы на вопросы, практические рекомендации</w:t>
            </w:r>
            <w:r>
              <w:rPr>
                <w:rFonts w:ascii="Calibri" w:hAnsi="Calibri" w:eastAsia="Calibri" w:cs="Times New Roman"/>
                <w:b/>
                <w:bCs/>
              </w:rPr>
            </w:r>
            <w:r>
              <w:rPr>
                <w:rFonts w:ascii="Calibri" w:hAnsi="Calibri" w:eastAsia="Calibri" w:cs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14.00-17.00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Выступление представителя ГАУ «Госстройэкспертиза» (лектор - практикующий государственный эксперт по направлению 35.1 «Ценообразование и сметное нормирование, заместитель руководителя регионального Управления Ёрж Евгений Юрьевич)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Тема «Актуальные вопросы определения сметной стоимости. Управление изменениями»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Блок 1. Изменения законодательства и нормативных актов в градостроительной деятельности, оказывающие влияние на определения сметной стоимости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Подробный обзор актуальных изменений в российском законодательстве за 2026 год по состоянию на текущий момент. Новые требования Водного кодекса;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Обзор изменений нормативных документов, вступающих в силу 01.09.2026, и потенциально оказывающих влияние на стоимость реализации объекта;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- Переход реестровую модель разрешений на строительство. Основные вопросы;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Изменения в Федеральный закон о контрактной системе, затрагивающие вопросы корректировки стоимости работ по благоустройству, ремонту и текущему ремонту;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Блок 2. Актуальные вопросы цены контракта.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Изменение сметы контракты в связи с изменением ставки НДС;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  <w:t xml:space="preserve">      - Рекомендуемые подготовительные работы перед изменением сметы контракта ввиду изменения проектных решений в процессе строительства. Обзор основных ошибок, влияющих на достижение положительного результата реализации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Обзор судебной практики по исполнению государственных контрактов на строительство, реконструкцию, капитальный ремонт объектов капитального строительства.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Блок 3. Отдельные требования законодательства, вступающие в силу с 01.09.2026г.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Вопросы контроля строительных материалов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Аттестация проектировщиков средств пожарной безопасности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Новый правовой режим создания и эксплуатации лесных дорог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ind w:left="36" w:firstLine="283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Ответы на вопросы, практические рекомендации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cantSplit/>
          <w:trHeight w:val="285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Второй день семинара, 15 сентября, вторник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Выступление эксперта-практика федерального уровня (лектор – Кравченко Елена Павловна, член методического совета по бюджетно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му (бухгалтерскому) учету и отчетности при Минфине УР, главный методолог учебного центра «Интеллект-Сервис»).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Тема: «Отдельные вопросы ведения учета организациями бюджетной сферы в 2026 году, особенности подготовки и сдачи годовой бухгалтерской отчетности»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Внутренний контроль 2027 – Приказ Минфина России от 14.02.2025 N 15н «О внесении изменений в федеральный стандарт бухгалтерского учета для организаций государственного сектора «Учетная политика, оц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еночные значения и ошибки», утвержденный приказом Министерства финансов Российской Федерации от 30 декабря 2017 г. N 274н» – новые общие требования законодателя к организации системы внутреннего контроля: суть, предмет, способы, положения учетной политики;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Внутренний контроль 2027 – работа с дебиторской задолженностью: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Приказ Минфина России от 26.09.2024 N 139н «Об утверждении общих требований к регламенту реализации полномочий администратора доходов бюджета по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взысканию дебиторской задолженности по платежам в бюджет, пеням и штрафам по ним» в редакции приказа Минфина России от 24.02.2026 N 12н – уточнения регламентов администраторов доходов в соответствии с требованиями законодателя: суть, предмет, организация;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Письмо Минфина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России от 30.12.2025 N 02-07-08/128491 «О методических рекомендациях по признанию просроченной дебиторской задолженности сомнительной»: документ для бюджетных и автономных учреждений. Регламент управления дебиторской задолженностью с позиции законодателя;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Приказ Минфина России от 14 января 2025 г. N 2н «Об утверждении общих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требований к реглам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енту реализации полномочий получателя средств федерального бюджета по управлению дебиторской задолженностью по расходам, образовавшейся в ходе исполнения федерального закона о федеральном бюджете, и реализации мер по недопущению возникновения просроченной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дебиторской задолженности по расходам, а также мер реагирования на риски, выявляемые в ходе осуществления мониторинга дебиторской задолженности по расходам»: суть, предмет, организация. Регламент бюджетных и автономных учреждений, обязательность и отличия;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Концептуальные основы 2027 – новая редакция стандарта, общие положения и частные решения, в том числе обязательные к реализации;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Новая (старая) инвентаризация в целях составления годовой отчетности – Проект Приказа Минфина России «О внесении изменений в приложение N 1 к федеральному стандарту бухгалтерс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кого учета для организаций государственного сектора «Учетная политика, оценочные значения и ошибки», утвержденному приказом Министерства финансов Российской Федерации от 30 декабря 2017 г. N 274н» (по состоянию на 30.07.2026) (подготовлен Минфином России):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Функционал инвентаризационной комиссии в соответствии с Общими требованиями, требования к инвентаризационной комиссии;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Порядок проведения инвентаризации в соответствии с Общими требованиями, положение об инвентаризации – периодичность, объем инвентаризации, обязательные объекты инвентаризации, методы проведения инвентаризации – как это работает на практике;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Документы инвентаризации: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Решение о проведении инвентаризации (ф. 0510439), кто будет ответственным исполнителем, формирующим Решение, оформление инвентаризации при отсутствии участника (комиссии или МОЛ); Акт о результатах инвентаризации – сроки подготовки и вытекающие документы;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Количественные и качественные итоги инвентаризации: списание, реклассификация, постановка на учет.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Еще раз о резервах под приемку: создание резерва, расходование резерва, положения учетной политики без резервов – уточнить правила документооборота;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Практика учета нефинансовых активов по обновленной методологии Минфина: приемка, перемещение, списание.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-сопоставление правил в стандартах и других нормативно правовых документов;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-первичные и подтверждающие документы, корреспонденции счетов и аналитика при приемке материальных запасов, основных средств, НМА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документальное оформление перемещения имущества внутри учреждения;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списание и утилизация материальных запасов, основных средств, в т.ч. ОЦДИ;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firstLine="603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списание НМА (обоснования, перенос на счет 02);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Ответы на вопросы и практические рекомендации.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.30-1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Круглый стол-брифинг с представителями Федерального казначейства (выступающие – руководство и представители Межрегионального бухгалтерского Управления) – по согласованию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Рекомендации со стороны Федерального Казначейства по формированию квартальных и годовых форм бухгалтерской отчетности (приказ Минфина № 33н);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Порядок заполнения и представления форм отчетности в «Электронном бюджете» при реорганизации учреждений (в том числе филиалов) для ликвидируемого учреждения, а также его правопреемника;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left="33" w:firstLine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Подходы ФК к учету нефинансовых активов (правила начисления амортизации, особенности отражения в учёте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безвозмездных поступлений (от учредителя, по договорам дарения), изменения в применении забалансовых счетов (01, 02, 03, 07, 21 и введение дополнительных счетов, корректировки в бухгалтерских проводках, в том числе при работе с дебиторской задолженностью;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Практические вопросы по работе с извещениями о трансферте (ф.0510453), последние изменения, основные ошибки (разбор ситуаций);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Ответы на вопросы, практические рекомендации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Третий день семинара, 16 сентября, среда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9.00-10.15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Круглый стол-брифинг с представителем контрольно-ревизионного блока Федерального казначейства (начальник отдела организации проведения экспертиз сметной документации и камеральных проверок ФКУ «Центр по обеспечению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деятельности Казначейства России» Морозова Яна Рихардовна)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Подходы Федерально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го казначейства к повышению эффективности государственного финансового контроля в федеральных органах и подведомственных учреждениях. Обзор нарушений при проведении проверок по учету и отчетности бюджетных, казенных и автономных учреждений, типовые ошибки;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Обзор результатов контрольно-проверочных мероприятий в бюджетной сфере за январь-август 2026 года, практические рекомендации по профилактике нарушений;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Подходы Минфина России и Федерального казначейства к повышению эффективности ВФА в федеральных органах и подведомственных учреждениях, перспективы 2027 года;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12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Ответы на вопросы, практические рекомендации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-1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Выступление представителей Минфина России (лектор – начальник отдела Департамента бюджетной методологии и финансовой отчетности в государственном секторе Приженников Николай Олегович)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Практические вопросы реализации Постановления Правительства РФ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№ 1496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 от 9 декабря 2017 года «О мерах по обеспечению исполнения федерального бюджета» (в последней редакции, внесенным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Постановлением № 2050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от 30 ноября 2023 года «Об утверждении Правил принятия решений об изменении сводной бюджетной росписи федерального бюджета, лимитов бюджетных обязательств, а также информации об объектах капитального строительства и объектах недвижимого имущества»)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Казначейское обслуживание исполнения федерального бюджета: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изменения в федеральные законы, связанные с исполнением федерального бюджета;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Сроки доведения бюджетных данных;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Сроки принятия  бюджетных обязательств получателями средств федерального бюджета, принятия обязательств бюджетными и автономными учреждениями;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Бюджетные процедуры, влияющие на сроки принятия обязательств (проведение отборов);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перераспределение ассигнований на ИТ-расходы;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авансирование в 2026 г.- отдельные вопросы, особенности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- Ответы на вопросы, практические рекомендации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12.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0-1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Выступление экспертов федерального уровня в области работы с Единым агрегатором торговли (представители руководства ЕАТ, и сервиса  ТФТорг Леталин Вадим Игоревич)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Тема: «Основные изменен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ия в организации закупок малого объема (ч.1 ст.93 Федерального закона № 44-ФЗ). Использование ЕАТ заказчиками при проведении закупок с единственным поставщиком и оптимизация закупочных процессов с использованием инновационных технологий через маркетплейсы»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ind w:left="34" w:right="34"/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Основные изменения с 01.07.2026 г. в части закупок малого объема при работе с ЕИС (создание реестра контрактов малого объема, учёт бюджетных и денежных обязательств, обязательное использование МЧД, цифровой контракт, автоматизация казначейских платежей)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ind w:left="34" w:right="34"/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Особенности реализации норма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тивных изменений (в распоряжение Правительства РФ от 28.04.2018 № 824-р) в функционале программы. Применение функционала единого агрегатора торговли при заключении контрактов с единственным поставщиком и работе в сервисе ТФ Торг с основными маркетплейсами;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ind w:left="34" w:right="34"/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Технические и практические вопросы при организации закупок через ЕАТ;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- Ответы на вопросы, практические рекомендации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14.00-17.00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Круглый стол-брифинг с экспертом федерального уровня (лектор – директор Центра образования и внутреннего контроля Института ДПО МФЦ, доцент кафедры финансового менеджмента в госсекторе НИУ ВШЭ Гусева Наталья Михайловна).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Тема: «Актуальные вопросы финансово-экономической деятельности организаций госсектора и перспективы на 2027 год. Изменения в бюджетной классификации, первичных бухгалтерских документах, трудовом законодательстве и налогообложении»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ru-RU"/>
              </w:rPr>
              <w:t xml:space="preserve">- Актуальные изменения в бюджетной классификации организаций бюджетной сферы.</w:t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</w:p>
          <w:p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изменения порядка применения кодов бюджетной классификации на 2027 год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сложные и спорные случаи применения бюджетной классификации и предупреждения риска нецелевого и неэффективного использования бюджетных средств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корректировка планов ФХД и бюджетных смет.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ru-RU"/>
              </w:rPr>
              <w:t xml:space="preserve">- Электронные первичные документы: анализ нарушений и внедрение новых форм. Взаимосвязь электронного документооборота и внутреннего контроля</w:t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</w:p>
          <w:p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изменения в формах и перечне электронных документов;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нарушения правил оформления документов по учетным операциям;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распределение полномочий по ведению электронной документации;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ru-RU"/>
              </w:rPr>
              <w:t xml:space="preserve">- Основные изменения в трудовом законодательстве и заработной плате </w:t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ru-RU"/>
              </w:rPr>
              <w:t xml:space="preserve">Что проверить и актуализировать до 2027 года. Практические комментарии</w:t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</w:p>
          <w:p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Пересчёт штатного расписания и ФОТ по нескольким вариантам будущего МРОТ, и в соответствии с другими изменениями. Разбор рисков и судебной практики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Обновление положения об оплате труда и индексации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Коллективный договор - условия о повышенном годовом лимите сверхурочных работ, если учреждение намерено его применять.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Локальное положение о стажировках и наставничестве.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Аудит договоров с самозанятыми (статус, предмет договора, характер услуг и т.д.)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Актуализация чек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noBreakHyphen/>
              <w:t xml:space="preserve">листа преимущественного права на оставление на работе при сокращении персонала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ru-RU"/>
              </w:rPr>
              <w:t xml:space="preserve">- Практические вопросы налогообложения и типичные ошибки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Изменения в налогообложении, налоговом учете и отчетности, перспективы 2027 г.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Учёт налогового законодательства при осуществлении внешнего финансового контроля за достоверностью и полнотой бюджетной отчётности администратором бюджетных средств.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Приносящая доход деятельность учреждений: фискальные последствия. Налогообложение платных услуг и арендных отношений. Особенности договорной работы, нормирование затрат, разбор практических ситуаций, обзор судебной практики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Учетная политика для целей налогообложения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ru-RU"/>
              </w:rPr>
              <w:t xml:space="preserve">- Технологическая интеграция учетных данных— новый этап в построении цифровой среды.</w:t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  <w:r>
              <w:rPr>
                <w:rFonts w:ascii="Times New Roman" w:hAnsi="Times New Roman" w:eastAsia="Times New Roman" w:cs="Times New Roman"/>
                <w:bCs/>
                <w:i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 Отдельные актуальные вопросы практики и методологии учёта и отчётности госфинансов.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Ответы на вопросы слушателей, практические рекомендации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Четвертый день семинара, 17 сентября, четверг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9.00-10.30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ind w:left="36" w:firstLine="0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Выступление представителя Росимущества (лектор - Гордиенко Ирина Игоревна – начальник отдела анализа, планирования и контроля использования имущества казны Российской Федерации Управления имущества государственной казны).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ind w:left="36" w:firstLine="283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Подходы Росимущества по инвентаризации имущества казны и его вовлечение в хозяйственный оборот, в том числе посредством передачи в аренду, безвозмездное пользование, заключение концессионных соглашений.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ind w:left="36" w:firstLine="283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Порядок приема-передачи неиспользуемого федерального имущества в казну. Сп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исание и утилизация федерального имущества: порядок, принятие решений, особенности списания различных категорий имущества, в том числе объектов незавершенного строительства,  утилизация объектов согласно действующему законодательству Российской Федерации.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ind w:left="36" w:firstLine="283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Тенденции и перспективы по управлению публичным имуществом на 2027 г.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ind w:left="177" w:firstLine="284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 Ответы на вопросы, практические рекомендации.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10.45-12.30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Круглый стол-брифинг с представителем ФНС России (лектор – Лабутов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Владислав Валерьевич, начальник отдела налогообложения доходов физических лиц Управления налогообложения доходов физических лиц и администрирования страховых взносов). Тема: «НДФЛ и страховые взносы: практика исчисления, уплаты и представления отчетности»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Основные изменения в налоговом законодательстве по НДФЛ: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 - практика применение прогрессивной шкалы налогообложения к различным налоговым базам, применение налоговых ставок к доходам нерезидентов и отдельных категорий иностранных граждан;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отнесение доходов к определенным видам налоговых баз;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 особенности предоставление налоговым агентом налоговых вычетов. 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 Порядок представления 6-НДФЛ: изменения за 2026 год, перспективы на 2027 год.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 Изменения в порядке расчета страховых взносов на 2026 году.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 Изменения в порядке представления уведомлений в 2026 году (возможность представить на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будущие периоды).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 Ответы на вопросы слушателей, практические рекомендации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0-1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.30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Выступление эксперта федерального уровня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Родионова Елена Анатольевна - организационный консультант, бизнес-тренер, кандидат педагогических наук, специалист по мотивации и организационной культуре, доцент </w:t>
            </w:r>
            <w:hyperlink r:id="rId11" w:tooltip="https://psy.spbu.ru/department/chairs/management" w:history="1">
              <w:r>
                <w:rPr>
                  <w:rFonts w:ascii="Times New Roman" w:hAnsi="Times New Roman" w:eastAsia="Times New Roman" w:cs="Times New Roman"/>
                  <w:b/>
                  <w:sz w:val="20"/>
                  <w:szCs w:val="20"/>
                  <w:lang w:eastAsia="ru-RU"/>
                </w:rPr>
                <w:t xml:space="preserve">кафедры психологического обеспечения профессиональной деятельности</w:t>
              </w:r>
            </w:hyperlink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 СПбГУ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-Человек в эпоху ИИ: что происходит с профессиональным мышлением, ответственностью и экспертностью.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-Психология профессиональной эффективности: решен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ия, ответственность и влияние в сложной рабочей среде. Профессиональные решения в условиях неопределённости, дефицита времени и давления. Психология ответственности, профессиональных ошибок и перестраховочного поведения. Как влиять, если нельзя приказать?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Психология влияния без формальной власти: экспертность, доверие, аргументация и поведенческие механизмы влияния. Почему мы не понимаем друг друга?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Психология межфункциональных конфликтов: руководитель, юрист, финансист и HR смотрят на одну ситуацию по-разному.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Человек + ИИ: новая психология профессиональной деятельности. Доверие к алгоритмам, ответственность за решения, автоматизация мышления и сохранение профессиональной субъектности.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Ответы на вопросы слушателей, практические рекомендации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cantSplit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Пятый день семинара, 18 сентября, пятница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9.00-10.30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Выступление представителя Минфина России (лектор – эксперт федерального уровня по направлению правового регулирования финансового обеспечения государственных услуг и работ, государственный советник РФ 2 класса (по согласованию).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Тема: «Планирование ФХД, порядок формирования и обеспечения выполнения госзадания, правила предоставления субсидий»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ind w:left="0"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Правовое регулирование финансового обеспечения деятельности бюджетных учреждений в 2026 году (с учетом положений Федеральных законов от 28.11.2025 г.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br/>
              <w:t xml:space="preserve">№ 431-ФЗ и от 28.11.2025 г. № 426-ФЗ), перспективы на 2027 год.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left="35" w:firstLine="0"/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Актуальные вопросы (с учетом федеральной практики применения) в части: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left="35" w:firstLine="0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 Порядка формирования и финансового обеспечения выполнения госзадания;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left="35" w:firstLine="0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 Правил предоставления из федерального бюджета субсидий на иные цели;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left="35" w:firstLine="0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- Формирования отчетности по соглашениям о предоставлении субсидий.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ind w:left="35" w:firstLine="0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Разбо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р отдельных вопросов правоприменения и ситуаций (изменения в расчетах субсидии на выполнение госзадания, уточнение нормативных затрат на этапах планирования и исполнения федерального бюджета в целях корректировки объема субсидии на выполнения госзадания, в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том числе в целях ее перераспределения между подведомственными учреждениями; работа с ОБАС на выполнение государственного задания в цикле 2027-2029; работа с электронным реестром целевых субсидий; контрольные точки и результаты, мониторинг их достижения).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Ответы на вопросы.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-13.00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Круглый стол-брифинг (выступающий лектор – эксперт федерального уровня Антонова Мария Борисовна, кандидат экономических наук, аттестованный аудитор, автор многочисленных публикаций по бухучету и налогам).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«Расчеты с работниками. Сложные вопросы оплаты труда, налоги и взносы в 2026-2027 годах»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Актуальные изменения в законодательстве в области регулирования оплаты труда. Последние изменения по зарплате: на что обратить внимание, что учесть в работе.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Выплаты в пользу работников: когда премия становится окладом, позиция контролирующих органов. Практические примеры позиции Роструда в части ошибок в документах и расчетах при индексации.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Доплаты и надбавки, депремирование и штрафы: возможности и риски.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Оплата труда совместителей. Доплаты за условия труда, отклоняющиеся от нормальных — сверхурочные, ночные, праздничные, районный коэффициент. Оплата в праздничные и выходные дни.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Средний заработок: порядок исчисления в различных ситуациях. Расчетный период для исчисления среднего заработка. Выплаты, включаемые в средний заработок. Включение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 средний заработок премий.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Удержание с сотрудника излишне выплаченной зарплаты. Можно ли провести удержания, если зарплата сотруднику ошибочно выплачена два раза: на карту и через кассу.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Отпуск. Ежегодные, дополнительные, учебные отпуска. Продолжительность, порядок предоставления. Отпускные и компенсация за неиспользованный отпуск. График отпусков и его корректировка.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Командировки: суточные, документально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 оформление, учет и налогообложение командировочных расходов. Как подтвердить расходы на проезд, если билеты куплены в электронном виде. Командировка дистанционного работника. Выплаты в связи с командировками работников и при разъездном характере работы.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ru-RU"/>
              </w:rPr>
              <w:t xml:space="preserve">Налоговые риски договорной работы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: как привести учетную политику в соответствие с нормами трудового и налогового законодательства. Основные требования к договорам с учетом возможных претензий к их содержанию со стороны налоговых 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рганов. Документация, сопровождающая договоры, и налоговые риски. Договор услуг, агентский договор: особенности подтверждения. Договора ГПХ, с НПД и ИП. Анализ договоров с точки зрения отсутствия рисков по основным налогам (налог на прибыль, НДС и другие).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Ответы на вопросы, практические рекомендации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4.00-16.30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Выступление эксперта федерального уровня в области противодействия коррупции (лектор - Землин Александр Игоревич, доктор юридических наук, профессор, заслуженный деятель науки Российской Федерации)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Тема: "Актуальные вопросы профилактики коррупции при осуществлении ФХД, государственных закупок,  финансового и кадрового аудита "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Правовые основы государственной антикоррупционной политики: направления совершенствования и новации;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Конфликт интересов на государственной службе и порядок его урегулирования в рамках действующего законодательства;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Актуальные вопросы предоставления сведений в рамках антикоррупционной кампании;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 Вопросы ответственности за нарушения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Ответы на вопросы, практические рекомендации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16.30-16.45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Подведение итогов совещания-семинара. Торжественное вручение удостоверений о прохождении лекционного практического курса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В программу, могут быть внесены изменения, с сохранением указанных тем выступлений и квалификации выступающих лекторов.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992"/>
        <w:ind w:left="0" w:hanging="993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Подписи Сторон: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 w:hanging="993"/>
        <w:jc w:val="center"/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tbl>
      <w:tblPr>
        <w:tblStyle w:val="993"/>
        <w:tblW w:w="10314" w:type="dxa"/>
        <w:tblInd w:w="-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>
        <w:tblPrEx/>
        <w:trPr/>
        <w:tc>
          <w:tcPr>
            <w:tcW w:w="5157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Исполнителя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57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Заказчика: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ФКУ «Дирекция госзаказчика»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Л.С. Машаев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t xml:space="preserve">Приложение № 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0"/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Контракту № </w:t>
      </w:r>
      <w:r>
        <w:rPr>
          <w:rFonts w:ascii="Times New Roman" w:hAnsi="Times New Roman"/>
          <w:sz w:val="24"/>
          <w:szCs w:val="24"/>
        </w:rPr>
        <w:t xml:space="preserve">___________________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pStyle w:val="992"/>
        <w:ind w:left="0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________ 2026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1068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1068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1068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9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1701"/>
        <w:gridCol w:w="1559"/>
        <w:gridCol w:w="1417"/>
      </w:tblGrid>
      <w:tr>
        <w:tblPrEx/>
        <w:trPr/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99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252" w:type="dxa"/>
            <w:vAlign w:val="center"/>
            <w:textDirection w:val="lrTb"/>
            <w:noWrap w:val="false"/>
          </w:tcPr>
          <w:p>
            <w:pPr>
              <w:pStyle w:val="992"/>
              <w:ind w:left="-11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услуги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92"/>
              <w:ind w:left="-11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одного обучающегося,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2"/>
              <w:ind w:left="-11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НДС не облагается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992"/>
              <w:ind w:left="-11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2"/>
              <w:ind w:left="-11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(человек)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992"/>
              <w:ind w:left="-11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стоимость услуг, руб. НДС не облагается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10" w:type="dxa"/>
            <w:textDirection w:val="lrTb"/>
            <w:noWrap w:val="false"/>
          </w:tcPr>
          <w:p>
            <w:pPr>
              <w:pStyle w:val="992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992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Услуги по организации и проведению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"/>
              </w:rPr>
              <w:t xml:space="preserve">Последние изменения и перспективы развития в сфере бюджетного учета и отчетн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"/>
              </w:rPr>
              <w:t xml:space="preserve">ости, финансового контроля. Актуальные вопросы реализации контрактной системы государственных закупок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992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992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8222" w:type="dxa"/>
            <w:textDirection w:val="lrTb"/>
            <w:noWrap w:val="false"/>
          </w:tcPr>
          <w:p>
            <w:pPr>
              <w:pStyle w:val="992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1013"/>
        <w:ind w:firstLine="708"/>
        <w:jc w:val="both"/>
        <w:spacing w:before="0" w:beforeAutospacing="0" w:after="0" w:afterAutospacing="0"/>
      </w:pP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left="106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 w:hanging="993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Подписи Сторон: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2"/>
        <w:ind w:left="0" w:hanging="993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93"/>
        <w:tblW w:w="10314" w:type="dxa"/>
        <w:tblInd w:w="-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>
        <w:tblPrEx/>
        <w:trPr/>
        <w:tc>
          <w:tcPr>
            <w:tcW w:w="5157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Исполнителя: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57" w:type="dxa"/>
            <w:textDirection w:val="lrTb"/>
            <w:noWrap w:val="false"/>
          </w:tcPr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Заказчика: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ФКУ «Дирекция госзаказчика»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Л.С. Машаев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tabs>
          <w:tab w:val="center" w:pos="5565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80838857"/>
      <w:docPartObj>
        <w:docPartGallery w:val="Page Numbers (Top of Page)"/>
        <w:docPartUnique w:val="true"/>
      </w:docPartObj>
      <w:rPr/>
    </w:sdtPr>
    <w:sdtContent>
      <w:p>
        <w:pPr>
          <w:pStyle w:val="1001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12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100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  <w:sz w:val="20"/>
      </w:rPr>
    </w:lvl>
    <w:lvl w:ilvl="1">
      <w:start w:val="16"/>
      <w:numFmt w:val="decimal"/>
      <w:isLgl w:val="false"/>
      <w:suff w:val="tab"/>
      <w:lvlText w:val="%2"/>
      <w:lvlJc w:val="left"/>
      <w:pPr>
        <w:ind w:left="1440" w:hanging="360"/>
      </w:pPr>
      <w:rPr>
        <w:rFonts w:hint="default"/>
      </w:rPr>
    </w:lvl>
    <w:lvl w:ilvl="2">
      <w:start w:val="17"/>
      <w:numFmt w:val="decimal"/>
      <w:isLgl w:val="false"/>
      <w:suff w:val="tab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3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5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ascii="Times New Roman" w:hAnsi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  <w:sz w:val="22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6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46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3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suff w:val="tab"/>
      <w:lvlText w:val="%1.%2."/>
      <w:lvlJc w:val="left"/>
      <w:pPr>
        <w:ind w:left="927" w:hanging="360"/>
      </w:pPr>
      <w:rPr>
        <w:rFonts w:hint="default"/>
        <w:sz w:val="20"/>
      </w:rPr>
    </w:lvl>
    <w:lvl w:ilvl="2">
      <w:start w:val="1"/>
      <w:numFmt w:val="decimal"/>
      <w:isLgl/>
      <w:suff w:val="tab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8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44" w:hanging="180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1"/>
  </w:num>
  <w:num w:numId="3">
    <w:abstractNumId w:val="12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39"/>
  </w:num>
  <w:num w:numId="7">
    <w:abstractNumId w:val="11"/>
  </w:num>
  <w:num w:numId="8">
    <w:abstractNumId w:val="2"/>
  </w:num>
  <w:num w:numId="9">
    <w:abstractNumId w:val="10"/>
  </w:num>
  <w:num w:numId="10">
    <w:abstractNumId w:val="13"/>
  </w:num>
  <w:num w:numId="11">
    <w:abstractNumId w:val="38"/>
  </w:num>
  <w:num w:numId="12">
    <w:abstractNumId w:val="28"/>
  </w:num>
  <w:num w:numId="13">
    <w:abstractNumId w:val="7"/>
  </w:num>
  <w:num w:numId="14">
    <w:abstractNumId w:val="21"/>
  </w:num>
  <w:num w:numId="15">
    <w:abstractNumId w:val="15"/>
  </w:num>
  <w:num w:numId="16">
    <w:abstractNumId w:val="3"/>
  </w:num>
  <w:num w:numId="17">
    <w:abstractNumId w:val="29"/>
  </w:num>
  <w:num w:numId="18">
    <w:abstractNumId w:val="34"/>
  </w:num>
  <w:num w:numId="19">
    <w:abstractNumId w:val="35"/>
  </w:num>
  <w:num w:numId="20">
    <w:abstractNumId w:val="1"/>
  </w:num>
  <w:num w:numId="21">
    <w:abstractNumId w:val="27"/>
  </w:num>
  <w:num w:numId="22">
    <w:abstractNumId w:val="33"/>
  </w:num>
  <w:num w:numId="23">
    <w:abstractNumId w:val="36"/>
  </w:num>
  <w:num w:numId="24">
    <w:abstractNumId w:val="20"/>
  </w:num>
  <w:num w:numId="25">
    <w:abstractNumId w:val="30"/>
  </w:num>
  <w:num w:numId="26">
    <w:abstractNumId w:val="8"/>
  </w:num>
  <w:num w:numId="27">
    <w:abstractNumId w:val="18"/>
  </w:num>
  <w:num w:numId="28">
    <w:abstractNumId w:val="26"/>
  </w:num>
  <w:num w:numId="29">
    <w:abstractNumId w:val="25"/>
  </w:num>
  <w:num w:numId="30">
    <w:abstractNumId w:val="14"/>
  </w:num>
  <w:num w:numId="31">
    <w:abstractNumId w:val="22"/>
  </w:num>
  <w:num w:numId="32">
    <w:abstractNumId w:val="16"/>
  </w:num>
  <w:num w:numId="33">
    <w:abstractNumId w:val="24"/>
  </w:num>
  <w:num w:numId="34">
    <w:abstractNumId w:val="0"/>
  </w:num>
  <w:num w:numId="35">
    <w:abstractNumId w:val="6"/>
  </w:num>
  <w:num w:numId="36">
    <w:abstractNumId w:val="32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23"/>
  </w:num>
  <w:num w:numId="40">
    <w:abstractNumId w:val="19"/>
  </w:num>
  <w:num w:numId="41">
    <w:abstractNumId w:val="4"/>
  </w:num>
  <w:num w:numId="42">
    <w:abstractNumId w:val="17"/>
  </w:num>
  <w:num w:numId="43">
    <w:abstractNumId w:val="9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</w:num>
  <w:num w:numId="57">
    <w:abstractNumId w:val="55"/>
  </w:num>
  <w:num w:numId="58">
    <w:abstractNumId w:val="56"/>
  </w:num>
  <w:num w:numId="59">
    <w:abstractNumId w:val="57"/>
  </w:num>
  <w:num w:numId="60">
    <w:abstractNumId w:val="58"/>
  </w:num>
  <w:num w:numId="61">
    <w:abstractNumId w:val="59"/>
  </w:num>
  <w:num w:numId="62">
    <w:abstractNumId w:val="60"/>
  </w:num>
  <w:num w:numId="63">
    <w:abstractNumId w:val="61"/>
  </w:num>
  <w:num w:numId="64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1" w:default="1">
    <w:name w:val="Normal"/>
    <w:qFormat/>
  </w:style>
  <w:style w:type="paragraph" w:styleId="802">
    <w:name w:val="Heading 1"/>
    <w:basedOn w:val="801"/>
    <w:link w:val="1022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03">
    <w:name w:val="Heading 2"/>
    <w:basedOn w:val="801"/>
    <w:next w:val="801"/>
    <w:link w:val="82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804">
    <w:name w:val="Heading 3"/>
    <w:basedOn w:val="801"/>
    <w:next w:val="801"/>
    <w:link w:val="83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805">
    <w:name w:val="Heading 4"/>
    <w:basedOn w:val="801"/>
    <w:next w:val="801"/>
    <w:link w:val="83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6">
    <w:name w:val="Heading 5"/>
    <w:basedOn w:val="801"/>
    <w:next w:val="801"/>
    <w:link w:val="83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7">
    <w:name w:val="Heading 6"/>
    <w:basedOn w:val="801"/>
    <w:next w:val="801"/>
    <w:link w:val="83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808">
    <w:name w:val="Heading 7"/>
    <w:basedOn w:val="801"/>
    <w:next w:val="801"/>
    <w:link w:val="83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09">
    <w:name w:val="Heading 8"/>
    <w:basedOn w:val="801"/>
    <w:next w:val="801"/>
    <w:link w:val="83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810">
    <w:name w:val="Heading 9"/>
    <w:basedOn w:val="801"/>
    <w:next w:val="801"/>
    <w:link w:val="83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1" w:default="1">
    <w:name w:val="Default Paragraph Font"/>
    <w:uiPriority w:val="1"/>
    <w:semiHidden/>
    <w:unhideWhenUsed/>
  </w:style>
  <w:style w:type="table" w:styleId="8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3" w:default="1">
    <w:name w:val="No List"/>
    <w:uiPriority w:val="99"/>
    <w:semiHidden/>
    <w:unhideWhenUsed/>
  </w:style>
  <w:style w:type="character" w:styleId="814" w:customStyle="1">
    <w:name w:val="Heading 2 Char"/>
    <w:basedOn w:val="811"/>
    <w:uiPriority w:val="9"/>
    <w:rPr>
      <w:rFonts w:ascii="Arial" w:hAnsi="Arial" w:eastAsia="Arial" w:cs="Arial"/>
      <w:sz w:val="34"/>
    </w:rPr>
  </w:style>
  <w:style w:type="character" w:styleId="815" w:customStyle="1">
    <w:name w:val="Heading 3 Char"/>
    <w:basedOn w:val="811"/>
    <w:uiPriority w:val="9"/>
    <w:rPr>
      <w:rFonts w:ascii="Arial" w:hAnsi="Arial" w:eastAsia="Arial" w:cs="Arial"/>
      <w:sz w:val="30"/>
      <w:szCs w:val="30"/>
    </w:rPr>
  </w:style>
  <w:style w:type="character" w:styleId="816" w:customStyle="1">
    <w:name w:val="Heading 4 Char"/>
    <w:basedOn w:val="811"/>
    <w:uiPriority w:val="9"/>
    <w:rPr>
      <w:rFonts w:ascii="Arial" w:hAnsi="Arial" w:eastAsia="Arial" w:cs="Arial"/>
      <w:b/>
      <w:bCs/>
      <w:sz w:val="26"/>
      <w:szCs w:val="26"/>
    </w:rPr>
  </w:style>
  <w:style w:type="character" w:styleId="817" w:customStyle="1">
    <w:name w:val="Heading 5 Char"/>
    <w:basedOn w:val="811"/>
    <w:uiPriority w:val="9"/>
    <w:rPr>
      <w:rFonts w:ascii="Arial" w:hAnsi="Arial" w:eastAsia="Arial" w:cs="Arial"/>
      <w:b/>
      <w:bCs/>
      <w:sz w:val="24"/>
      <w:szCs w:val="24"/>
    </w:rPr>
  </w:style>
  <w:style w:type="character" w:styleId="818" w:customStyle="1">
    <w:name w:val="Heading 6 Char"/>
    <w:basedOn w:val="811"/>
    <w:uiPriority w:val="9"/>
    <w:rPr>
      <w:rFonts w:ascii="Arial" w:hAnsi="Arial" w:eastAsia="Arial" w:cs="Arial"/>
      <w:b/>
      <w:bCs/>
      <w:sz w:val="22"/>
      <w:szCs w:val="22"/>
    </w:rPr>
  </w:style>
  <w:style w:type="character" w:styleId="819" w:customStyle="1">
    <w:name w:val="Heading 7 Char"/>
    <w:basedOn w:val="8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0" w:customStyle="1">
    <w:name w:val="Heading 8 Char"/>
    <w:basedOn w:val="811"/>
    <w:uiPriority w:val="9"/>
    <w:rPr>
      <w:rFonts w:ascii="Arial" w:hAnsi="Arial" w:eastAsia="Arial" w:cs="Arial"/>
      <w:i/>
      <w:iCs/>
      <w:sz w:val="22"/>
      <w:szCs w:val="22"/>
    </w:rPr>
  </w:style>
  <w:style w:type="character" w:styleId="821" w:customStyle="1">
    <w:name w:val="Heading 9 Char"/>
    <w:basedOn w:val="811"/>
    <w:uiPriority w:val="9"/>
    <w:rPr>
      <w:rFonts w:ascii="Arial" w:hAnsi="Arial" w:eastAsia="Arial" w:cs="Arial"/>
      <w:i/>
      <w:iCs/>
      <w:sz w:val="21"/>
      <w:szCs w:val="21"/>
    </w:rPr>
  </w:style>
  <w:style w:type="character" w:styleId="822" w:customStyle="1">
    <w:name w:val="Title Char"/>
    <w:basedOn w:val="811"/>
    <w:uiPriority w:val="10"/>
    <w:rPr>
      <w:sz w:val="48"/>
      <w:szCs w:val="48"/>
    </w:rPr>
  </w:style>
  <w:style w:type="character" w:styleId="823" w:customStyle="1">
    <w:name w:val="Subtitle Char"/>
    <w:basedOn w:val="811"/>
    <w:uiPriority w:val="11"/>
    <w:rPr>
      <w:sz w:val="24"/>
      <w:szCs w:val="24"/>
    </w:rPr>
  </w:style>
  <w:style w:type="character" w:styleId="824" w:customStyle="1">
    <w:name w:val="Quote Char"/>
    <w:uiPriority w:val="29"/>
    <w:rPr>
      <w:i/>
    </w:rPr>
  </w:style>
  <w:style w:type="character" w:styleId="825" w:customStyle="1">
    <w:name w:val="Intense Quote Char"/>
    <w:uiPriority w:val="30"/>
    <w:rPr>
      <w:i/>
    </w:rPr>
  </w:style>
  <w:style w:type="character" w:styleId="826" w:customStyle="1">
    <w:name w:val="Footnote Text Char"/>
    <w:uiPriority w:val="99"/>
    <w:rPr>
      <w:sz w:val="18"/>
    </w:rPr>
  </w:style>
  <w:style w:type="character" w:styleId="827" w:customStyle="1">
    <w:name w:val="Endnote Text Char"/>
    <w:uiPriority w:val="99"/>
    <w:rPr>
      <w:sz w:val="20"/>
    </w:rPr>
  </w:style>
  <w:style w:type="character" w:styleId="828" w:customStyle="1">
    <w:name w:val="Heading 1 Char"/>
    <w:basedOn w:val="811"/>
    <w:uiPriority w:val="9"/>
    <w:rPr>
      <w:rFonts w:ascii="Arial" w:hAnsi="Arial" w:eastAsia="Arial" w:cs="Arial"/>
      <w:sz w:val="40"/>
      <w:szCs w:val="40"/>
    </w:rPr>
  </w:style>
  <w:style w:type="character" w:styleId="829" w:customStyle="1">
    <w:name w:val="Заголовок 2 Знак"/>
    <w:basedOn w:val="811"/>
    <w:link w:val="803"/>
    <w:uiPriority w:val="9"/>
    <w:rPr>
      <w:rFonts w:ascii="Arial" w:hAnsi="Arial" w:eastAsia="Arial" w:cs="Arial"/>
      <w:sz w:val="34"/>
    </w:rPr>
  </w:style>
  <w:style w:type="character" w:styleId="830" w:customStyle="1">
    <w:name w:val="Заголовок 3 Знак"/>
    <w:basedOn w:val="811"/>
    <w:link w:val="804"/>
    <w:uiPriority w:val="9"/>
    <w:rPr>
      <w:rFonts w:ascii="Arial" w:hAnsi="Arial" w:eastAsia="Arial" w:cs="Arial"/>
      <w:sz w:val="30"/>
      <w:szCs w:val="30"/>
    </w:rPr>
  </w:style>
  <w:style w:type="character" w:styleId="831" w:customStyle="1">
    <w:name w:val="Заголовок 4 Знак"/>
    <w:basedOn w:val="811"/>
    <w:link w:val="805"/>
    <w:uiPriority w:val="9"/>
    <w:rPr>
      <w:rFonts w:ascii="Arial" w:hAnsi="Arial" w:eastAsia="Arial" w:cs="Arial"/>
      <w:b/>
      <w:bCs/>
      <w:sz w:val="26"/>
      <w:szCs w:val="26"/>
    </w:rPr>
  </w:style>
  <w:style w:type="character" w:styleId="832" w:customStyle="1">
    <w:name w:val="Заголовок 5 Знак"/>
    <w:basedOn w:val="811"/>
    <w:link w:val="806"/>
    <w:uiPriority w:val="9"/>
    <w:rPr>
      <w:rFonts w:ascii="Arial" w:hAnsi="Arial" w:eastAsia="Arial" w:cs="Arial"/>
      <w:b/>
      <w:bCs/>
      <w:sz w:val="24"/>
      <w:szCs w:val="24"/>
    </w:rPr>
  </w:style>
  <w:style w:type="character" w:styleId="833" w:customStyle="1">
    <w:name w:val="Заголовок 6 Знак"/>
    <w:basedOn w:val="811"/>
    <w:link w:val="807"/>
    <w:uiPriority w:val="9"/>
    <w:rPr>
      <w:rFonts w:ascii="Arial" w:hAnsi="Arial" w:eastAsia="Arial" w:cs="Arial"/>
      <w:b/>
      <w:bCs/>
      <w:sz w:val="22"/>
      <w:szCs w:val="22"/>
    </w:rPr>
  </w:style>
  <w:style w:type="character" w:styleId="834" w:customStyle="1">
    <w:name w:val="Заголовок 7 Знак"/>
    <w:basedOn w:val="811"/>
    <w:link w:val="8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5" w:customStyle="1">
    <w:name w:val="Заголовок 8 Знак"/>
    <w:basedOn w:val="811"/>
    <w:link w:val="809"/>
    <w:uiPriority w:val="9"/>
    <w:rPr>
      <w:rFonts w:ascii="Arial" w:hAnsi="Arial" w:eastAsia="Arial" w:cs="Arial"/>
      <w:i/>
      <w:iCs/>
      <w:sz w:val="22"/>
      <w:szCs w:val="22"/>
    </w:rPr>
  </w:style>
  <w:style w:type="character" w:styleId="836" w:customStyle="1">
    <w:name w:val="Заголовок 9 Знак"/>
    <w:basedOn w:val="811"/>
    <w:link w:val="810"/>
    <w:uiPriority w:val="9"/>
    <w:rPr>
      <w:rFonts w:ascii="Arial" w:hAnsi="Arial" w:eastAsia="Arial" w:cs="Arial"/>
      <w:i/>
      <w:iCs/>
      <w:sz w:val="21"/>
      <w:szCs w:val="21"/>
    </w:rPr>
  </w:style>
  <w:style w:type="paragraph" w:styleId="837">
    <w:name w:val="No Spacing"/>
    <w:uiPriority w:val="1"/>
    <w:qFormat/>
    <w:pPr>
      <w:spacing w:after="0" w:line="240" w:lineRule="auto"/>
    </w:pPr>
  </w:style>
  <w:style w:type="paragraph" w:styleId="838">
    <w:name w:val="Title"/>
    <w:basedOn w:val="801"/>
    <w:next w:val="801"/>
    <w:link w:val="839"/>
    <w:uiPriority w:val="10"/>
    <w:qFormat/>
    <w:pPr>
      <w:contextualSpacing/>
      <w:spacing w:before="300"/>
    </w:pPr>
    <w:rPr>
      <w:sz w:val="48"/>
      <w:szCs w:val="48"/>
    </w:rPr>
  </w:style>
  <w:style w:type="character" w:styleId="839" w:customStyle="1">
    <w:name w:val="Название Знак"/>
    <w:basedOn w:val="811"/>
    <w:link w:val="838"/>
    <w:uiPriority w:val="10"/>
    <w:rPr>
      <w:sz w:val="48"/>
      <w:szCs w:val="48"/>
    </w:rPr>
  </w:style>
  <w:style w:type="paragraph" w:styleId="840">
    <w:name w:val="Subtitle"/>
    <w:basedOn w:val="801"/>
    <w:next w:val="801"/>
    <w:link w:val="841"/>
    <w:uiPriority w:val="11"/>
    <w:qFormat/>
    <w:pPr>
      <w:spacing w:before="200"/>
    </w:pPr>
    <w:rPr>
      <w:sz w:val="24"/>
      <w:szCs w:val="24"/>
    </w:rPr>
  </w:style>
  <w:style w:type="character" w:styleId="841" w:customStyle="1">
    <w:name w:val="Подзаголовок Знак"/>
    <w:basedOn w:val="811"/>
    <w:link w:val="840"/>
    <w:uiPriority w:val="11"/>
    <w:rPr>
      <w:sz w:val="24"/>
      <w:szCs w:val="24"/>
    </w:rPr>
  </w:style>
  <w:style w:type="paragraph" w:styleId="842">
    <w:name w:val="Quote"/>
    <w:basedOn w:val="801"/>
    <w:next w:val="801"/>
    <w:link w:val="843"/>
    <w:uiPriority w:val="29"/>
    <w:qFormat/>
    <w:pPr>
      <w:ind w:left="720" w:right="720"/>
    </w:pPr>
    <w:rPr>
      <w:i/>
    </w:rPr>
  </w:style>
  <w:style w:type="character" w:styleId="843" w:customStyle="1">
    <w:name w:val="Цитата 2 Знак"/>
    <w:link w:val="842"/>
    <w:uiPriority w:val="29"/>
    <w:rPr>
      <w:i/>
    </w:rPr>
  </w:style>
  <w:style w:type="paragraph" w:styleId="844">
    <w:name w:val="Intense Quote"/>
    <w:basedOn w:val="801"/>
    <w:next w:val="801"/>
    <w:link w:val="84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5" w:customStyle="1">
    <w:name w:val="Выделенная цитата Знак"/>
    <w:link w:val="844"/>
    <w:uiPriority w:val="30"/>
    <w:rPr>
      <w:i/>
    </w:rPr>
  </w:style>
  <w:style w:type="character" w:styleId="846" w:customStyle="1">
    <w:name w:val="Header Char"/>
    <w:basedOn w:val="811"/>
    <w:uiPriority w:val="99"/>
  </w:style>
  <w:style w:type="character" w:styleId="847" w:customStyle="1">
    <w:name w:val="Footer Char"/>
    <w:basedOn w:val="811"/>
    <w:uiPriority w:val="99"/>
  </w:style>
  <w:style w:type="paragraph" w:styleId="848">
    <w:name w:val="Caption"/>
    <w:basedOn w:val="801"/>
    <w:next w:val="801"/>
    <w:link w:val="84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49" w:customStyle="1">
    <w:name w:val="Caption Char"/>
    <w:uiPriority w:val="99"/>
  </w:style>
  <w:style w:type="table" w:styleId="850" w:customStyle="1">
    <w:name w:val="Table Grid Light"/>
    <w:basedOn w:val="81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1" w:customStyle="1">
    <w:name w:val="Plain Table 1"/>
    <w:basedOn w:val="81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2" w:customStyle="1">
    <w:name w:val="Plain Table 2"/>
    <w:basedOn w:val="8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3" w:customStyle="1">
    <w:name w:val="Plain Table 3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4" w:customStyle="1">
    <w:name w:val="Plain Table 4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Plain Table 5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1 Light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Grid Table 1 Light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2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3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4"/>
    <w:basedOn w:val="8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8" w:customStyle="1">
    <w:name w:val="Grid Table 4 - Accent 1"/>
    <w:basedOn w:val="8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79" w:customStyle="1">
    <w:name w:val="Grid Table 4 - Accent 2"/>
    <w:basedOn w:val="8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80" w:customStyle="1">
    <w:name w:val="Grid Table 4 - Accent 3"/>
    <w:basedOn w:val="8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81" w:customStyle="1">
    <w:name w:val="Grid Table 4 - Accent 4"/>
    <w:basedOn w:val="8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82" w:customStyle="1">
    <w:name w:val="Grid Table 4 - Accent 5"/>
    <w:basedOn w:val="8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3" w:customStyle="1">
    <w:name w:val="Grid Table 4 - Accent 6"/>
    <w:basedOn w:val="8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84" w:customStyle="1">
    <w:name w:val="Grid Table 5 Dark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90" w:customStyle="1">
    <w:name w:val="Grid Table 5 Dark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6 Colorful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2" w:customStyle="1">
    <w:name w:val="Grid Table 6 Colorful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3" w:customStyle="1">
    <w:name w:val="Grid Table 6 Colorful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94" w:customStyle="1">
    <w:name w:val="Grid Table 6 Colorful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95" w:customStyle="1">
    <w:name w:val="Grid Table 6 Colorful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96" w:customStyle="1">
    <w:name w:val="Grid Table 6 Colorful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7" w:customStyle="1">
    <w:name w:val="Grid Table 6 Colorful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8" w:customStyle="1">
    <w:name w:val="Grid Table 7 Colorful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7 Colorful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7 Colorful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7 Colorful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1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2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3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4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5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1 Light - Accent 6"/>
    <w:basedOn w:val="8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3" w:customStyle="1">
    <w:name w:val="List Table 2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18" w:customStyle="1">
    <w:name w:val="List Table 2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19" w:customStyle="1">
    <w:name w:val="List Table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3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4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5 Dark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4" w:customStyle="1">
    <w:name w:val="List Table 5 Dark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 w:customStyle="1">
    <w:name w:val="List Table 5 Dark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6 Colorful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1" w:customStyle="1">
    <w:name w:val="List Table 6 Colorful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2" w:customStyle="1">
    <w:name w:val="List Table 6 Colorful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43" w:customStyle="1">
    <w:name w:val="List Table 6 Colorful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44" w:customStyle="1">
    <w:name w:val="List Table 6 Colorful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45" w:customStyle="1">
    <w:name w:val="List Table 6 Colorful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46" w:customStyle="1">
    <w:name w:val="List Table 6 Colorful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47" w:customStyle="1">
    <w:name w:val="List Table 7 Colorful"/>
    <w:basedOn w:val="8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7 Colorful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7 Colorful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7 Colorful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ned - Accent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5" w:customStyle="1">
    <w:name w:val="Lined - Accent 1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56" w:customStyle="1">
    <w:name w:val="Lined - Accent 2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57" w:customStyle="1">
    <w:name w:val="Lined - Accent 3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58" w:customStyle="1">
    <w:name w:val="Lined - Accent 4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59" w:customStyle="1">
    <w:name w:val="Lined - Accent 5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0" w:customStyle="1">
    <w:name w:val="Lined - Accent 6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1" w:customStyle="1">
    <w:name w:val="Bordered &amp; Lined - Accent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2" w:customStyle="1">
    <w:name w:val="Bordered &amp; Lined - Accent 1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3" w:customStyle="1">
    <w:name w:val="Bordered &amp; Lined - Accent 2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4" w:customStyle="1">
    <w:name w:val="Bordered &amp; Lined - Accent 3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5" w:customStyle="1">
    <w:name w:val="Bordered &amp; Lined - Accent 4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6" w:customStyle="1">
    <w:name w:val="Bordered &amp; Lined - Accent 5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7" w:customStyle="1">
    <w:name w:val="Bordered &amp; Lined - Accent 6"/>
    <w:basedOn w:val="8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8" w:customStyle="1">
    <w:name w:val="Bordered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9" w:customStyle="1">
    <w:name w:val="Bordered - Accent 1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70" w:customStyle="1">
    <w:name w:val="Bordered - Accent 2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71" w:customStyle="1">
    <w:name w:val="Bordered - Accent 3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72" w:customStyle="1">
    <w:name w:val="Bordered - Accent 4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73" w:customStyle="1">
    <w:name w:val="Bordered - Accent 5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74" w:customStyle="1">
    <w:name w:val="Bordered - Accent 6"/>
    <w:basedOn w:val="8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75">
    <w:name w:val="footnote text"/>
    <w:basedOn w:val="801"/>
    <w:link w:val="976"/>
    <w:uiPriority w:val="99"/>
    <w:semiHidden/>
    <w:unhideWhenUsed/>
    <w:pPr>
      <w:spacing w:after="40" w:line="240" w:lineRule="auto"/>
    </w:pPr>
    <w:rPr>
      <w:sz w:val="18"/>
    </w:rPr>
  </w:style>
  <w:style w:type="character" w:styleId="976" w:customStyle="1">
    <w:name w:val="Текст сноски Знак"/>
    <w:link w:val="975"/>
    <w:uiPriority w:val="99"/>
    <w:rPr>
      <w:sz w:val="18"/>
    </w:rPr>
  </w:style>
  <w:style w:type="character" w:styleId="977">
    <w:name w:val="footnote reference"/>
    <w:basedOn w:val="811"/>
    <w:uiPriority w:val="99"/>
    <w:unhideWhenUsed/>
    <w:rPr>
      <w:vertAlign w:val="superscript"/>
    </w:rPr>
  </w:style>
  <w:style w:type="paragraph" w:styleId="978">
    <w:name w:val="endnote text"/>
    <w:basedOn w:val="801"/>
    <w:link w:val="979"/>
    <w:uiPriority w:val="99"/>
    <w:semiHidden/>
    <w:unhideWhenUsed/>
    <w:pPr>
      <w:spacing w:after="0" w:line="240" w:lineRule="auto"/>
    </w:pPr>
    <w:rPr>
      <w:sz w:val="20"/>
    </w:rPr>
  </w:style>
  <w:style w:type="character" w:styleId="979" w:customStyle="1">
    <w:name w:val="Текст концевой сноски Знак"/>
    <w:link w:val="978"/>
    <w:uiPriority w:val="99"/>
    <w:rPr>
      <w:sz w:val="20"/>
    </w:rPr>
  </w:style>
  <w:style w:type="character" w:styleId="980">
    <w:name w:val="endnote reference"/>
    <w:basedOn w:val="811"/>
    <w:uiPriority w:val="99"/>
    <w:semiHidden/>
    <w:unhideWhenUsed/>
    <w:rPr>
      <w:vertAlign w:val="superscript"/>
    </w:rPr>
  </w:style>
  <w:style w:type="paragraph" w:styleId="981">
    <w:name w:val="toc 1"/>
    <w:basedOn w:val="801"/>
    <w:next w:val="801"/>
    <w:uiPriority w:val="39"/>
    <w:unhideWhenUsed/>
    <w:pPr>
      <w:spacing w:after="57"/>
    </w:pPr>
  </w:style>
  <w:style w:type="paragraph" w:styleId="982">
    <w:name w:val="toc 2"/>
    <w:basedOn w:val="801"/>
    <w:next w:val="801"/>
    <w:uiPriority w:val="39"/>
    <w:unhideWhenUsed/>
    <w:pPr>
      <w:ind w:left="283"/>
      <w:spacing w:after="57"/>
    </w:pPr>
  </w:style>
  <w:style w:type="paragraph" w:styleId="983">
    <w:name w:val="toc 3"/>
    <w:basedOn w:val="801"/>
    <w:next w:val="801"/>
    <w:uiPriority w:val="39"/>
    <w:unhideWhenUsed/>
    <w:pPr>
      <w:ind w:left="567"/>
      <w:spacing w:after="57"/>
    </w:pPr>
  </w:style>
  <w:style w:type="paragraph" w:styleId="984">
    <w:name w:val="toc 4"/>
    <w:basedOn w:val="801"/>
    <w:next w:val="801"/>
    <w:uiPriority w:val="39"/>
    <w:unhideWhenUsed/>
    <w:pPr>
      <w:ind w:left="850"/>
      <w:spacing w:after="57"/>
    </w:pPr>
  </w:style>
  <w:style w:type="paragraph" w:styleId="985">
    <w:name w:val="toc 5"/>
    <w:basedOn w:val="801"/>
    <w:next w:val="801"/>
    <w:uiPriority w:val="39"/>
    <w:unhideWhenUsed/>
    <w:pPr>
      <w:ind w:left="1134"/>
      <w:spacing w:after="57"/>
    </w:pPr>
  </w:style>
  <w:style w:type="paragraph" w:styleId="986">
    <w:name w:val="toc 6"/>
    <w:basedOn w:val="801"/>
    <w:next w:val="801"/>
    <w:uiPriority w:val="39"/>
    <w:unhideWhenUsed/>
    <w:pPr>
      <w:ind w:left="1417"/>
      <w:spacing w:after="57"/>
    </w:pPr>
  </w:style>
  <w:style w:type="paragraph" w:styleId="987">
    <w:name w:val="toc 7"/>
    <w:basedOn w:val="801"/>
    <w:next w:val="801"/>
    <w:uiPriority w:val="39"/>
    <w:unhideWhenUsed/>
    <w:pPr>
      <w:ind w:left="1701"/>
      <w:spacing w:after="57"/>
    </w:pPr>
  </w:style>
  <w:style w:type="paragraph" w:styleId="988">
    <w:name w:val="toc 8"/>
    <w:basedOn w:val="801"/>
    <w:next w:val="801"/>
    <w:uiPriority w:val="39"/>
    <w:unhideWhenUsed/>
    <w:pPr>
      <w:ind w:left="1984"/>
      <w:spacing w:after="57"/>
    </w:pPr>
  </w:style>
  <w:style w:type="paragraph" w:styleId="989">
    <w:name w:val="toc 9"/>
    <w:basedOn w:val="801"/>
    <w:next w:val="801"/>
    <w:uiPriority w:val="39"/>
    <w:unhideWhenUsed/>
    <w:pPr>
      <w:ind w:left="2268"/>
      <w:spacing w:after="57"/>
    </w:pPr>
  </w:style>
  <w:style w:type="paragraph" w:styleId="990">
    <w:name w:val="TOC Heading"/>
    <w:uiPriority w:val="39"/>
    <w:unhideWhenUsed/>
  </w:style>
  <w:style w:type="paragraph" w:styleId="991">
    <w:name w:val="table of figures"/>
    <w:basedOn w:val="801"/>
    <w:next w:val="801"/>
    <w:uiPriority w:val="99"/>
    <w:unhideWhenUsed/>
    <w:pPr>
      <w:spacing w:after="0"/>
    </w:pPr>
  </w:style>
  <w:style w:type="paragraph" w:styleId="992">
    <w:name w:val="List Paragraph"/>
    <w:basedOn w:val="801"/>
    <w:link w:val="1021"/>
    <w:uiPriority w:val="34"/>
    <w:qFormat/>
    <w:pPr>
      <w:contextualSpacing/>
      <w:ind w:left="720"/>
    </w:pPr>
  </w:style>
  <w:style w:type="table" w:styleId="993">
    <w:name w:val="Table Grid"/>
    <w:basedOn w:val="8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4">
    <w:name w:val="Balloon Text"/>
    <w:basedOn w:val="801"/>
    <w:link w:val="99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95" w:customStyle="1">
    <w:name w:val="Текст выноски Знак"/>
    <w:basedOn w:val="811"/>
    <w:link w:val="994"/>
    <w:uiPriority w:val="99"/>
    <w:rPr>
      <w:rFonts w:ascii="Tahoma" w:hAnsi="Tahoma" w:cs="Tahoma"/>
      <w:sz w:val="16"/>
      <w:szCs w:val="16"/>
    </w:rPr>
  </w:style>
  <w:style w:type="paragraph" w:styleId="996">
    <w:name w:val="Revision"/>
    <w:uiPriority w:val="99"/>
    <w:pPr>
      <w:spacing w:after="0" w:line="240" w:lineRule="auto"/>
    </w:pPr>
  </w:style>
  <w:style w:type="paragraph" w:styleId="997" w:customStyle="1">
    <w:name w:val="&quot;List Paragraph&quot;"/>
    <w:qFormat/>
    <w:pPr>
      <w:spacing w:after="0"/>
    </w:pPr>
    <w:rPr>
      <w:sz w:val="21"/>
    </w:rPr>
  </w:style>
  <w:style w:type="paragraph" w:styleId="998" w:customStyle="1">
    <w:name w:val="&quot;Balloon Text&quot;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99" w:customStyle="1">
    <w:name w:val="&quot;Revision&quot;"/>
    <w:pPr>
      <w:spacing w:after="0" w:line="240" w:lineRule="auto"/>
    </w:pPr>
    <w:rPr>
      <w:sz w:val="21"/>
    </w:rPr>
  </w:style>
  <w:style w:type="paragraph" w:styleId="1000" w:customStyle="1">
    <w:name w:val="Абзац списка1"/>
    <w:basedOn w:val="801"/>
    <w:pPr>
      <w:ind w:left="720"/>
    </w:pPr>
    <w:rPr>
      <w:rFonts w:ascii="Calibri" w:hAnsi="Calibri" w:eastAsia="Times New Roman" w:cs="Times New Roman"/>
    </w:rPr>
  </w:style>
  <w:style w:type="paragraph" w:styleId="1001">
    <w:name w:val="Header"/>
    <w:basedOn w:val="801"/>
    <w:link w:val="100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02" w:customStyle="1">
    <w:name w:val="Верхний колонтитул Знак"/>
    <w:basedOn w:val="811"/>
    <w:link w:val="1001"/>
    <w:uiPriority w:val="99"/>
  </w:style>
  <w:style w:type="paragraph" w:styleId="1003">
    <w:name w:val="Footer"/>
    <w:basedOn w:val="801"/>
    <w:link w:val="100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04" w:customStyle="1">
    <w:name w:val="Нижний колонтитул Знак"/>
    <w:basedOn w:val="811"/>
    <w:link w:val="1003"/>
    <w:uiPriority w:val="99"/>
  </w:style>
  <w:style w:type="character" w:styleId="1005">
    <w:name w:val="Hyperlink"/>
    <w:basedOn w:val="811"/>
    <w:uiPriority w:val="99"/>
    <w:unhideWhenUsed/>
    <w:rPr>
      <w:color w:val="0000ff" w:themeColor="hyperlink"/>
      <w:u w:val="single"/>
    </w:rPr>
  </w:style>
  <w:style w:type="character" w:styleId="1006" w:customStyle="1">
    <w:name w:val="Основной текст_"/>
    <w:basedOn w:val="811"/>
    <w:link w:val="1009"/>
    <w:rPr>
      <w:rFonts w:ascii="Arial" w:hAnsi="Arial" w:eastAsia="Arial" w:cs="Arial"/>
      <w:sz w:val="20"/>
      <w:szCs w:val="20"/>
      <w:shd w:val="clear" w:color="auto" w:fill="ffffff"/>
    </w:rPr>
  </w:style>
  <w:style w:type="character" w:styleId="1007" w:customStyle="1">
    <w:name w:val="Основной текст + Полужирный"/>
    <w:basedOn w:val="1006"/>
    <w:rPr>
      <w:rFonts w:ascii="Arial" w:hAnsi="Arial" w:eastAsia="Arial" w:cs="Arial"/>
      <w:b/>
      <w:bCs/>
      <w:sz w:val="20"/>
      <w:szCs w:val="20"/>
      <w:shd w:val="clear" w:color="auto" w:fill="ffffff"/>
    </w:rPr>
  </w:style>
  <w:style w:type="character" w:styleId="1008" w:customStyle="1">
    <w:name w:val="Заголовок №1_"/>
    <w:basedOn w:val="811"/>
    <w:link w:val="1010"/>
    <w:rPr>
      <w:rFonts w:ascii="Arial" w:hAnsi="Arial" w:eastAsia="Arial" w:cs="Arial"/>
      <w:sz w:val="20"/>
      <w:szCs w:val="20"/>
      <w:shd w:val="clear" w:color="auto" w:fill="ffffff"/>
    </w:rPr>
  </w:style>
  <w:style w:type="paragraph" w:styleId="1009" w:customStyle="1">
    <w:name w:val="Основной текст1"/>
    <w:basedOn w:val="801"/>
    <w:link w:val="1006"/>
    <w:pPr>
      <w:spacing w:after="600" w:line="0" w:lineRule="atLeast"/>
      <w:shd w:val="clear" w:color="auto" w:fill="ffffff"/>
    </w:pPr>
    <w:rPr>
      <w:rFonts w:ascii="Arial" w:hAnsi="Arial" w:eastAsia="Arial" w:cs="Arial"/>
      <w:sz w:val="20"/>
      <w:szCs w:val="20"/>
    </w:rPr>
  </w:style>
  <w:style w:type="paragraph" w:styleId="1010" w:customStyle="1">
    <w:name w:val="Заголовок №1"/>
    <w:basedOn w:val="801"/>
    <w:link w:val="1008"/>
    <w:pPr>
      <w:spacing w:before="240" w:after="240" w:line="0" w:lineRule="atLeast"/>
      <w:shd w:val="clear" w:color="auto" w:fill="ffffff"/>
      <w:outlineLvl w:val="0"/>
    </w:pPr>
    <w:rPr>
      <w:rFonts w:ascii="Arial" w:hAnsi="Arial" w:eastAsia="Arial" w:cs="Arial"/>
      <w:sz w:val="20"/>
      <w:szCs w:val="20"/>
    </w:rPr>
  </w:style>
  <w:style w:type="paragraph" w:styleId="1011">
    <w:name w:val="Body Text Indent"/>
    <w:basedOn w:val="801"/>
    <w:link w:val="1012"/>
    <w:pPr>
      <w:ind w:firstLine="709"/>
      <w:jc w:val="both"/>
      <w:spacing w:after="0" w:line="36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12" w:customStyle="1">
    <w:name w:val="Основной текст с отступом Знак"/>
    <w:basedOn w:val="811"/>
    <w:link w:val="1011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13">
    <w:name w:val="Normal (Web)"/>
    <w:basedOn w:val="80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4">
    <w:name w:val="Strong"/>
    <w:basedOn w:val="811"/>
    <w:uiPriority w:val="22"/>
    <w:qFormat/>
    <w:rPr>
      <w:b/>
      <w:bCs/>
    </w:rPr>
  </w:style>
  <w:style w:type="paragraph" w:styleId="1015" w:customStyle="1">
    <w:name w:val="msonormal_mailru_css_attribute_postfix"/>
    <w:basedOn w:val="8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6">
    <w:name w:val="annotation reference"/>
    <w:basedOn w:val="811"/>
    <w:uiPriority w:val="99"/>
    <w:semiHidden/>
    <w:unhideWhenUsed/>
    <w:rPr>
      <w:sz w:val="16"/>
      <w:szCs w:val="16"/>
    </w:rPr>
  </w:style>
  <w:style w:type="paragraph" w:styleId="1017">
    <w:name w:val="annotation text"/>
    <w:basedOn w:val="801"/>
    <w:link w:val="101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018" w:customStyle="1">
    <w:name w:val="Текст примечания Знак"/>
    <w:basedOn w:val="811"/>
    <w:link w:val="1017"/>
    <w:uiPriority w:val="99"/>
    <w:semiHidden/>
    <w:rPr>
      <w:sz w:val="20"/>
      <w:szCs w:val="20"/>
    </w:rPr>
  </w:style>
  <w:style w:type="paragraph" w:styleId="1019">
    <w:name w:val="annotation subject"/>
    <w:basedOn w:val="1017"/>
    <w:next w:val="1017"/>
    <w:link w:val="1020"/>
    <w:uiPriority w:val="99"/>
    <w:semiHidden/>
    <w:unhideWhenUsed/>
    <w:rPr>
      <w:b/>
      <w:bCs/>
    </w:rPr>
  </w:style>
  <w:style w:type="character" w:styleId="1020" w:customStyle="1">
    <w:name w:val="Тема примечания Знак"/>
    <w:basedOn w:val="1018"/>
    <w:link w:val="1019"/>
    <w:uiPriority w:val="99"/>
    <w:semiHidden/>
    <w:rPr>
      <w:b/>
      <w:bCs/>
      <w:sz w:val="20"/>
      <w:szCs w:val="20"/>
    </w:rPr>
  </w:style>
  <w:style w:type="character" w:styleId="1021" w:customStyle="1">
    <w:name w:val="Абзац списка Знак"/>
    <w:link w:val="992"/>
    <w:uiPriority w:val="34"/>
  </w:style>
  <w:style w:type="character" w:styleId="1022" w:customStyle="1">
    <w:name w:val="Заголовок 1 Знак"/>
    <w:basedOn w:val="811"/>
    <w:link w:val="802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1023" w:customStyle="1">
    <w:name w:val="text-green"/>
    <w:basedOn w:val="811"/>
  </w:style>
  <w:style w:type="character" w:styleId="1024" w:customStyle="1">
    <w:name w:val="ListLabel 55"/>
    <w:qFormat/>
    <w:rPr>
      <w:b/>
      <w:sz w:val="24"/>
      <w:szCs w:val="24"/>
    </w:rPr>
  </w:style>
  <w:style w:type="character" w:styleId="1025" w:customStyle="1">
    <w:name w:val="markedcontent"/>
    <w:basedOn w:val="811"/>
  </w:style>
  <w:style w:type="paragraph" w:styleId="1026" w:customStyle="1">
    <w:name w:val="228bf8a64b8551e1msonormal"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7" w:customStyle="1">
    <w:name w:val="Готовый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8" w:customStyle="1">
    <w:name w:val="Абзац списка,Абзац списка для документа,Содержание. 2 уровень,UL,Абзац маркированнный,List,List1,Table-Normal,RSHB_Table-Normal,Ненумерованный список,Абзац списка◄,Bullet_IRAO,Мой Список,AC List 01,Подпись рисунка,Bullet List,FooterText,numbered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029" w:customStyle="1">
    <w:name w:val="Строгий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psy.spbu.ru/department/chairs/managemen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B4B68-0029-4EC3-B233-F2B31A44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Зенкевич</dc:creator>
  <cp:lastModifiedBy>osipovaev@dgz.ru</cp:lastModifiedBy>
  <cp:revision>114</cp:revision>
  <dcterms:created xsi:type="dcterms:W3CDTF">2022-04-22T13:38:00Z</dcterms:created>
  <dcterms:modified xsi:type="dcterms:W3CDTF">2026-09-02T06:58:33Z</dcterms:modified>
</cp:coreProperties>
</file>