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FF" w:rsidRPr="00706CFF" w:rsidRDefault="00706CFF" w:rsidP="00706CFF">
      <w:pPr>
        <w:shd w:val="clear" w:color="auto" w:fill="FFFFFF"/>
        <w:spacing w:after="0" w:line="240" w:lineRule="auto"/>
        <w:jc w:val="center"/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</w:pPr>
      <w:r w:rsidRPr="00706CFF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ТЕХНИЧЕСКОЕ ЗАДАНИЕ</w:t>
      </w:r>
    </w:p>
    <w:p w:rsidR="00706CFF" w:rsidRDefault="00706CFF" w:rsidP="00706CFF">
      <w:pPr>
        <w:shd w:val="clear" w:color="auto" w:fill="FFFFFF"/>
        <w:spacing w:after="0" w:line="240" w:lineRule="auto"/>
        <w:jc w:val="center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на оказание 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образовательных услуг по повышению квалификации</w:t>
      </w:r>
    </w:p>
    <w:p w:rsidR="00706CFF" w:rsidRDefault="00706CFF" w:rsidP="00706CFF">
      <w:pPr>
        <w:shd w:val="clear" w:color="auto" w:fill="FFFFFF"/>
        <w:spacing w:after="0" w:line="240" w:lineRule="auto"/>
        <w:jc w:val="center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706CFF" w:rsidRPr="00A7557B" w:rsidRDefault="00706CFF" w:rsidP="00706CFF">
      <w:pPr>
        <w:shd w:val="clear" w:color="auto" w:fill="FFFFFF"/>
        <w:spacing w:after="0" w:line="240" w:lineRule="auto"/>
        <w:rPr>
          <w:rFonts w:ascii="ISOCPEUR" w:hAnsi="ISOCPEUR"/>
          <w:sz w:val="24"/>
          <w:szCs w:val="24"/>
        </w:rPr>
      </w:pPr>
      <w:r w:rsidRPr="00706CFF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Заказчик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: </w:t>
      </w:r>
      <w:r w:rsidR="00A7557B" w:rsidRPr="00A7557B">
        <w:rPr>
          <w:rFonts w:ascii="ISOCPEUR" w:hAnsi="ISOCPEUR"/>
          <w:sz w:val="24"/>
          <w:szCs w:val="24"/>
        </w:rPr>
        <w:t>ФЕДЕРАЛЬНОЕ ГОСУДАРСТВЕННОЕ БЮДЖЕТНОЕ УЧРЕЖДЕНИЕ НАУКИ ИНСТИТУТ ПРОБЛЕМ ТЕХНОЛОГИИ МИКРОЭЛЕКТРОНИКИ И ОСОБОЧИСТЫХ МАТЕРИАЛОВ РОССИЙСКОЙ АКАДЕМИИ НАУК</w:t>
      </w:r>
    </w:p>
    <w:p w:rsidR="00A7557B" w:rsidRPr="00706CFF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3B53F7" w:rsidRDefault="00706CFF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706CFF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Задач</w:t>
      </w:r>
      <w:r w:rsidR="003D7ED7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 xml:space="preserve">а </w:t>
      </w:r>
      <w:r w:rsidR="003D7ED7" w:rsidRPr="003D7ED7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и тематика образовательной программы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:</w:t>
      </w:r>
      <w:r w:rsid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</w:t>
      </w:r>
      <w:r w:rsidR="003B53F7" w:rsidRP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Программа повышения квалификации должна обеспечивать получение необходимых знаний и навыков для исполнения должностных обязанностей с учетом квалификационных требований к должностям и должностных обязанностей</w:t>
      </w:r>
      <w:r w:rsid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.</w:t>
      </w:r>
    </w:p>
    <w:p w:rsidR="00A7557B" w:rsidRDefault="003B53F7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</w:t>
      </w:r>
      <w:r w:rsidR="00706CFF"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казание Исполнителем образовательных услуг </w:t>
      </w:r>
      <w:proofErr w:type="gramStart"/>
      <w:r w:rsid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по</w:t>
      </w:r>
      <w:proofErr w:type="gramEnd"/>
      <w:r w:rsid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</w:t>
      </w:r>
    </w:p>
    <w:p w:rsidR="00A7557B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- </w:t>
      </w:r>
      <w:r w:rsidR="00706CFF"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повышени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ю</w:t>
      </w:r>
      <w:r w:rsidR="00706CFF"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квалификации по 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промышленной безопасности: А.1. Основы промышленной безопасности </w:t>
      </w:r>
    </w:p>
    <w:p w:rsidR="00A7557B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- п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овышени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ю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квалификации Б.7.1. Эксплуатация сетей газораспределения и газопотребления</w:t>
      </w:r>
    </w:p>
    <w:p w:rsidR="00A7557B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- п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овышени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ю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квалификации Б.8.3. Эксплуатация опасных производственных объектов, на которых используются сосуды, работающие под избыточным давлением</w:t>
      </w:r>
    </w:p>
    <w:p w:rsidR="00A7557B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- п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овышени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ю</w:t>
      </w:r>
      <w:r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квалификации Б.9.3. Эксплуатация опасных производственных объектов, на которых применяются подъемные сооружения</w:t>
      </w:r>
      <w:r w:rsid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.</w:t>
      </w:r>
    </w:p>
    <w:p w:rsidR="00A7557B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706CFF" w:rsidRDefault="00706CFF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706CFF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Количество обучаемых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: </w:t>
      </w:r>
      <w:r w:rsidR="00733B38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1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(</w:t>
      </w:r>
      <w:r w:rsidR="00733B38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один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) человек</w:t>
      </w:r>
      <w:bookmarkStart w:id="0" w:name="_GoBack"/>
      <w:bookmarkEnd w:id="0"/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.</w:t>
      </w:r>
    </w:p>
    <w:p w:rsidR="00A7557B" w:rsidRPr="00706CFF" w:rsidRDefault="00A7557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A7557B" w:rsidRPr="00A7557B" w:rsidRDefault="00706CFF" w:rsidP="00A7557B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706CFF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Форма обучения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: </w:t>
      </w:r>
      <w:r w:rsidR="00A7557B" w:rsidRPr="00A7557B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заочная с применением электронного обучения и дистанционных технологий -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7557B" w:rsidRDefault="00A7557B" w:rsidP="00A7557B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706CFF" w:rsidRPr="00706CFF" w:rsidRDefault="00706CFF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706CFF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Срок реализации образовательной программы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: </w:t>
      </w:r>
      <w:r w:rsidR="003D7ED7" w:rsidRPr="003D7ED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Срок освоения обучен</w:t>
      </w:r>
      <w:r w:rsidR="003D7ED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ия и п</w:t>
      </w:r>
      <w:r w:rsidR="003D7ED7" w:rsidRPr="003D7ED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еречень </w:t>
      </w:r>
      <w:proofErr w:type="gramStart"/>
      <w:r w:rsidR="003D7ED7" w:rsidRPr="003D7ED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обучающихся</w:t>
      </w:r>
      <w:proofErr w:type="gramEnd"/>
      <w:r w:rsidR="003D7ED7" w:rsidRPr="003D7ED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, которым оказываются услуги, </w:t>
      </w:r>
      <w:r w:rsidR="003D7ED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определен таблицей № 1 к ТЗ</w:t>
      </w:r>
      <w:r w:rsidRPr="00706CFF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.</w:t>
      </w:r>
    </w:p>
    <w:p w:rsidR="004B5A2B" w:rsidRDefault="004B5A2B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3B53F7" w:rsidRDefault="003B53F7" w:rsidP="003B53F7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7368B0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 xml:space="preserve">Условия оказания услуг: </w:t>
      </w:r>
      <w:r w:rsidRPr="007368B0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Повышение квалификации должно осуществляться в организациях, оказывающих услуги по обучению работодателей и работников вопросам охраны труда и осуществляющих образовательную деятельность по дополнительным </w:t>
      </w:r>
      <w:r w:rsidR="007368B0" w:rsidRPr="007368B0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профессиональным программам.</w:t>
      </w:r>
    </w:p>
    <w:p w:rsidR="000210EE" w:rsidRDefault="000210EE" w:rsidP="003B53F7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0210EE" w:rsidRPr="000210EE" w:rsidRDefault="000210EE" w:rsidP="000210EE">
      <w:pPr>
        <w:shd w:val="clear" w:color="auto" w:fill="FFFFFF"/>
        <w:spacing w:line="240" w:lineRule="auto"/>
        <w:rPr>
          <w:rFonts w:ascii="ISOCPEUR" w:eastAsia="Times New Roman" w:hAnsi="ISOCPEUR"/>
          <w:b/>
          <w:color w:val="34343C"/>
          <w:sz w:val="24"/>
          <w:szCs w:val="24"/>
          <w:lang w:eastAsia="ru-RU"/>
        </w:rPr>
      </w:pPr>
      <w:r w:rsidRPr="000210EE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Требования к итоговой аттестации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: По результатам обучения </w:t>
      </w:r>
      <w:r w:rsidRPr="000210EE">
        <w:rPr>
          <w:rFonts w:ascii="ISOCPEUR" w:eastAsia="Times New Roman" w:hAnsi="ISOCPEUR"/>
          <w:color w:val="34343C"/>
          <w:sz w:val="24"/>
          <w:szCs w:val="24"/>
          <w:lang w:eastAsia="ru-RU"/>
        </w:rPr>
        <w:t>Исполнителем дистанционно проводится итоговый контроль знаний по форме итоговой аттестации.</w:t>
      </w:r>
    </w:p>
    <w:p w:rsidR="000210EE" w:rsidRPr="000210EE" w:rsidRDefault="000210EE" w:rsidP="000210EE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0210EE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Документы об образовании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: </w:t>
      </w:r>
      <w:r w:rsidRPr="000210EE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слушателям, успешно прошедшим итоговый контроль знаний, выдаются итоговые документы, соответствующие программе, по которой обучающий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ся</w:t>
      </w:r>
      <w:r w:rsidRPr="000210EE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прошел обучение, по форме утвержденной Исполнителем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-</w:t>
      </w:r>
      <w:r w:rsidRPr="000210EE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удостоверение о повышении квалификации и протокол заседания аттестационной комиссии по образовательным услугам по программам дополнительного профессионального образования (программам повышения квалификации).</w:t>
      </w:r>
    </w:p>
    <w:p w:rsidR="000210EE" w:rsidRDefault="000210EE" w:rsidP="000210EE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0210EE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Сведения о выданном удостоверении, о повышении квалификации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,</w:t>
      </w:r>
      <w:r w:rsidRPr="000210EE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заносятся Исполнителем в Федеральную информационную систему «Федеральный реестр сведений о документах об образовании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</w:t>
      </w:r>
      <w:r w:rsidRPr="000210EE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(ФИС ФРДО) и (или) о квалиф</w:t>
      </w:r>
      <w:r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икации, документах об обучении».</w:t>
      </w:r>
    </w:p>
    <w:p w:rsidR="003B53F7" w:rsidRDefault="003B53F7" w:rsidP="003B53F7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3B53F7" w:rsidRPr="003B53F7" w:rsidRDefault="003B53F7" w:rsidP="003B53F7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0210EE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Отчетность по оказанию услуг</w:t>
      </w:r>
      <w:r w:rsidR="000210EE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>:</w:t>
      </w:r>
      <w:r w:rsidR="00DE3BC4">
        <w:rPr>
          <w:rFonts w:ascii="ISOCPEUR" w:eastAsia="Times New Roman" w:hAnsi="ISOCPEUR" w:cs="Times New Roman"/>
          <w:b/>
          <w:color w:val="34343C"/>
          <w:sz w:val="24"/>
          <w:szCs w:val="24"/>
          <w:lang w:eastAsia="ru-RU"/>
        </w:rPr>
        <w:t xml:space="preserve"> </w:t>
      </w:r>
      <w:r w:rsidR="00DE3BC4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По о</w:t>
      </w:r>
      <w:r w:rsidRP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кончанию </w:t>
      </w:r>
      <w:r w:rsidR="00DE3BC4" w:rsidRPr="00DE3BC4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оказанных услуг по всему объему</w:t>
      </w:r>
      <w:r w:rsidRP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, предусмотренных данным</w:t>
      </w:r>
    </w:p>
    <w:p w:rsidR="003B53F7" w:rsidRPr="003B53F7" w:rsidRDefault="003B53F7" w:rsidP="003B53F7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техническим заданием, Заказчику долж</w:t>
      </w:r>
      <w:r w:rsidR="00DE3BC4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е</w:t>
      </w:r>
      <w:r w:rsidRP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н быть предоставлен</w:t>
      </w:r>
      <w:r w:rsidR="00DE3BC4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 xml:space="preserve"> </w:t>
      </w:r>
      <w:r w:rsidRPr="003B53F7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акт сдачи-приемки оказанных услуг</w:t>
      </w:r>
      <w:r w:rsidR="00DE3BC4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.</w:t>
      </w:r>
    </w:p>
    <w:p w:rsidR="003B53F7" w:rsidRDefault="003B53F7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3B53F7" w:rsidRDefault="003B53F7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sectPr w:rsidR="00DE3BC4" w:rsidSect="00DE3BC4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E3BC4" w:rsidRPr="00DE3BC4" w:rsidRDefault="00DE3BC4" w:rsidP="00DE3BC4">
      <w:pPr>
        <w:shd w:val="clear" w:color="auto" w:fill="FFFFFF"/>
        <w:spacing w:after="0" w:line="240" w:lineRule="auto"/>
        <w:jc w:val="right"/>
        <w:rPr>
          <w:rFonts w:ascii="ISOCPEUR" w:eastAsia="Times New Roman" w:hAnsi="ISOCPEUR" w:cs="Times New Roman"/>
          <w:b/>
          <w:bCs/>
          <w:color w:val="34343C"/>
          <w:sz w:val="24"/>
          <w:szCs w:val="24"/>
          <w:lang w:eastAsia="ru-RU"/>
        </w:rPr>
      </w:pPr>
      <w:r>
        <w:rPr>
          <w:rFonts w:ascii="ISOCPEUR" w:eastAsia="Times New Roman" w:hAnsi="ISOCPEUR" w:cs="Times New Roman"/>
          <w:b/>
          <w:bCs/>
          <w:color w:val="34343C"/>
          <w:sz w:val="24"/>
          <w:szCs w:val="24"/>
          <w:lang w:eastAsia="ru-RU"/>
        </w:rPr>
        <w:lastRenderedPageBreak/>
        <w:t>таблица</w:t>
      </w:r>
      <w:r w:rsidRPr="00DE3BC4">
        <w:rPr>
          <w:rFonts w:ascii="ISOCPEUR" w:eastAsia="Times New Roman" w:hAnsi="ISOCPEUR" w:cs="Times New Roman"/>
          <w:b/>
          <w:bCs/>
          <w:color w:val="34343C"/>
          <w:sz w:val="24"/>
          <w:szCs w:val="24"/>
          <w:lang w:eastAsia="ru-RU"/>
        </w:rPr>
        <w:t xml:space="preserve"> № 1</w:t>
      </w:r>
    </w:p>
    <w:p w:rsidR="00DE3BC4" w:rsidRPr="00DE3BC4" w:rsidRDefault="00DE3BC4" w:rsidP="00DE3BC4">
      <w:pPr>
        <w:shd w:val="clear" w:color="auto" w:fill="FFFFFF"/>
        <w:spacing w:after="0" w:line="240" w:lineRule="auto"/>
        <w:jc w:val="center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  <w:r w:rsidRPr="00DE3BC4"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  <w:t>Перечень слушателей, подлежащих обучению</w:t>
      </w:r>
    </w:p>
    <w:p w:rsidR="00DE3BC4" w:rsidRPr="00DE3BC4" w:rsidRDefault="00DE3BC4" w:rsidP="00DE3BC4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21"/>
        <w:gridCol w:w="1421"/>
        <w:gridCol w:w="4254"/>
        <w:gridCol w:w="1275"/>
        <w:gridCol w:w="1980"/>
      </w:tblGrid>
      <w:tr w:rsidR="00C65D60" w:rsidRPr="00DE3BC4" w:rsidTr="00C65D60">
        <w:tc>
          <w:tcPr>
            <w:tcW w:w="24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60" w:right="-167"/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п</w:t>
            </w:r>
            <w:proofErr w:type="gramEnd"/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108" w:right="-109"/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left="-107" w:right="-108"/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Профессия</w:t>
            </w:r>
            <w:r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 xml:space="preserve"> (д</w:t>
            </w:r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олжность</w:t>
            </w:r>
            <w:r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5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Наименование программы обучения</w:t>
            </w:r>
          </w:p>
        </w:tc>
        <w:tc>
          <w:tcPr>
            <w:tcW w:w="586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</w:pPr>
            <w:proofErr w:type="gramStart"/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Продолжи</w:t>
            </w:r>
            <w:r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-</w:t>
            </w:r>
            <w:proofErr w:type="spellStart"/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тельность</w:t>
            </w:r>
            <w:proofErr w:type="spellEnd"/>
            <w:proofErr w:type="gramEnd"/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 xml:space="preserve"> обучения, час.</w:t>
            </w:r>
          </w:p>
        </w:tc>
        <w:tc>
          <w:tcPr>
            <w:tcW w:w="911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b/>
                <w:color w:val="34343C"/>
                <w:sz w:val="24"/>
                <w:szCs w:val="24"/>
                <w:lang w:eastAsia="ru-RU"/>
              </w:rPr>
              <w:t>Стоимость обучения одного слушателя, руб., в том числе НДС</w:t>
            </w:r>
          </w:p>
        </w:tc>
      </w:tr>
      <w:tr w:rsidR="00C65D60" w:rsidRPr="00DE3BC4" w:rsidTr="00C65D60">
        <w:trPr>
          <w:cantSplit/>
          <w:trHeight w:val="1134"/>
        </w:trPr>
        <w:tc>
          <w:tcPr>
            <w:tcW w:w="24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60" w:right="-167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108" w:right="-109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left="-107" w:right="-108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Повышение квалификации по промышленной безопасности: А.1. Основы промышленной безопасности</w:t>
            </w:r>
          </w:p>
        </w:tc>
        <w:tc>
          <w:tcPr>
            <w:tcW w:w="586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1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C65D60" w:rsidRPr="00DE3BC4" w:rsidTr="00C65D60">
        <w:trPr>
          <w:cantSplit/>
          <w:trHeight w:val="1134"/>
        </w:trPr>
        <w:tc>
          <w:tcPr>
            <w:tcW w:w="24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60" w:right="-167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108" w:right="-109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left="-107" w:right="-108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Повышение квалификации Б.7.1. Эксплуатация сетей газораспределения и газопотребления</w:t>
            </w:r>
          </w:p>
        </w:tc>
        <w:tc>
          <w:tcPr>
            <w:tcW w:w="586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1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C65D60" w:rsidRPr="00DE3BC4" w:rsidTr="00C65D60">
        <w:trPr>
          <w:cantSplit/>
          <w:trHeight w:val="1134"/>
        </w:trPr>
        <w:tc>
          <w:tcPr>
            <w:tcW w:w="24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60" w:right="-167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108" w:right="-109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left="-107" w:right="-108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right="-104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Повышение квалификации Б.8.3. 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586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1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C65D60" w:rsidRPr="00DE3BC4" w:rsidTr="00C65D60">
        <w:trPr>
          <w:cantSplit/>
          <w:trHeight w:val="1134"/>
        </w:trPr>
        <w:tc>
          <w:tcPr>
            <w:tcW w:w="24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60" w:right="-167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108" w:right="-109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left="-107" w:right="-108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right="-104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Повышение квалификации Б.9.3. Эксплуатация опасных производственных объектов, на которых применяются подъемные сооружения</w:t>
            </w:r>
          </w:p>
        </w:tc>
        <w:tc>
          <w:tcPr>
            <w:tcW w:w="586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1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  <w:tr w:rsidR="00C65D60" w:rsidRPr="00DE3BC4" w:rsidTr="00C65D60">
        <w:trPr>
          <w:cantSplit/>
          <w:trHeight w:val="1134"/>
        </w:trPr>
        <w:tc>
          <w:tcPr>
            <w:tcW w:w="24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60" w:right="-167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ind w:left="-108" w:right="-109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auto"/>
          </w:tcPr>
          <w:p w:rsidR="00C65D60" w:rsidRPr="00DE3BC4" w:rsidRDefault="00C65D60" w:rsidP="00C65D60">
            <w:pPr>
              <w:shd w:val="clear" w:color="auto" w:fill="FFFFFF"/>
              <w:spacing w:after="0" w:line="240" w:lineRule="auto"/>
              <w:ind w:left="-107" w:right="-108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shd w:val="clear" w:color="auto" w:fill="auto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Повышение квалификации по промышленной безопасности: А.1. Основы промышленной безопасности</w:t>
            </w:r>
          </w:p>
        </w:tc>
        <w:tc>
          <w:tcPr>
            <w:tcW w:w="586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  <w:r w:rsidRPr="00DE3BC4"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11" w:type="pct"/>
          </w:tcPr>
          <w:p w:rsidR="00C65D60" w:rsidRPr="00DE3BC4" w:rsidRDefault="00C65D60" w:rsidP="00DE3BC4">
            <w:pPr>
              <w:shd w:val="clear" w:color="auto" w:fill="FFFFFF"/>
              <w:spacing w:after="0" w:line="240" w:lineRule="auto"/>
              <w:rPr>
                <w:rFonts w:ascii="ISOCPEUR" w:eastAsia="Times New Roman" w:hAnsi="ISOCPEUR" w:cs="Times New Roman"/>
                <w:color w:val="34343C"/>
                <w:sz w:val="24"/>
                <w:szCs w:val="24"/>
                <w:lang w:eastAsia="ru-RU"/>
              </w:rPr>
            </w:pPr>
          </w:p>
        </w:tc>
      </w:tr>
    </w:tbl>
    <w:p w:rsidR="00DE3BC4" w:rsidRDefault="00DE3BC4" w:rsidP="00706CFF">
      <w:pPr>
        <w:shd w:val="clear" w:color="auto" w:fill="FFFFFF"/>
        <w:spacing w:after="0" w:line="240" w:lineRule="auto"/>
        <w:rPr>
          <w:rFonts w:ascii="ISOCPEUR" w:eastAsia="Times New Roman" w:hAnsi="ISOCPEUR" w:cs="Times New Roman"/>
          <w:color w:val="34343C"/>
          <w:sz w:val="24"/>
          <w:szCs w:val="24"/>
          <w:lang w:eastAsia="ru-RU"/>
        </w:rPr>
      </w:pPr>
    </w:p>
    <w:sectPr w:rsidR="00DE3BC4" w:rsidSect="00DE3B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FF"/>
    <w:rsid w:val="000210EE"/>
    <w:rsid w:val="000230D1"/>
    <w:rsid w:val="00052465"/>
    <w:rsid w:val="00080EB7"/>
    <w:rsid w:val="00296F2F"/>
    <w:rsid w:val="003B53F7"/>
    <w:rsid w:val="003D7ED7"/>
    <w:rsid w:val="004B5A2B"/>
    <w:rsid w:val="00706CFF"/>
    <w:rsid w:val="00733B38"/>
    <w:rsid w:val="007368B0"/>
    <w:rsid w:val="00784A91"/>
    <w:rsid w:val="00A7557B"/>
    <w:rsid w:val="00C65D60"/>
    <w:rsid w:val="00DB7E78"/>
    <w:rsid w:val="00D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0E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E3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0E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E3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cp:lastPrinted>2025-09-24T07:51:00Z</cp:lastPrinted>
  <dcterms:created xsi:type="dcterms:W3CDTF">2026-06-11T09:18:00Z</dcterms:created>
  <dcterms:modified xsi:type="dcterms:W3CDTF">2026-06-11T09:18:00Z</dcterms:modified>
</cp:coreProperties>
</file>