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left="0" w:firstLine="0"/>
        <w:jc w:val="center"/>
        <w:keepNext w:val="0"/>
        <w:spacing w:before="0"/>
        <w:widowControl w:val="off"/>
        <w:tabs>
          <w:tab w:val="clear" w:pos="643" w:leader="none"/>
          <w:tab w:val="clear" w:pos="144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Обоснование начальной (максимальной) цены контракта, </w:t>
      </w:r>
      <w:r>
        <w:rPr>
          <w:b/>
          <w:sz w:val="24"/>
          <w:szCs w:val="24"/>
        </w:rPr>
        <w:t xml:space="preserve">цены контракта, </w:t>
      </w:r>
      <w:r>
        <w:rPr>
          <w:b/>
          <w:sz w:val="24"/>
          <w:szCs w:val="24"/>
        </w:rPr>
        <w:t xml:space="preserve">заключаемого с единственным поставщиком (подрядчиком, исполнителем)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5"/>
        <w:ind w:left="0" w:firstLine="0"/>
        <w:jc w:val="center"/>
        <w:keepNext w:val="0"/>
        <w:spacing w:before="0"/>
        <w:widowControl w:val="off"/>
        <w:tabs>
          <w:tab w:val="clear" w:pos="643" w:leader="none"/>
          <w:tab w:val="clear" w:pos="144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40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4560"/>
      </w:tblGrid>
      <w:tr>
        <w:tblPrEx/>
        <w:trPr/>
        <w:tc>
          <w:tcPr>
            <w:tcW w:w="14560" w:type="dxa"/>
            <w:textDirection w:val="lrTb"/>
            <w:noWrap w:val="false"/>
          </w:tcPr>
          <w:p>
            <w:pPr>
              <w:pStyle w:val="845"/>
              <w:ind w:left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работ по обучению по охране труда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5"/>
        <w:ind w:left="0" w:firstLine="0"/>
        <w:jc w:val="center"/>
        <w:keepNext w:val="0"/>
        <w:spacing w:before="0"/>
        <w:widowControl w:val="off"/>
        <w:tabs>
          <w:tab w:val="clear" w:pos="643" w:leader="none"/>
          <w:tab w:val="clear" w:pos="1440" w:leader="none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(указывается предмет контракта)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45"/>
        <w:ind w:left="0" w:firstLine="0"/>
        <w:jc w:val="center"/>
        <w:keepNext w:val="0"/>
        <w:spacing w:before="0"/>
        <w:widowControl w:val="off"/>
        <w:tabs>
          <w:tab w:val="clear" w:pos="643" w:leader="none"/>
          <w:tab w:val="clear" w:pos="14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40"/>
        <w:tblW w:w="0" w:type="auto"/>
        <w:tblLook w:val="04A0" w:firstRow="1" w:lastRow="0" w:firstColumn="1" w:lastColumn="0" w:noHBand="0" w:noVBand="1"/>
      </w:tblPr>
      <w:tblGrid>
        <w:gridCol w:w="3397"/>
        <w:gridCol w:w="11163"/>
      </w:tblGrid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Используемый метод определения НМЦК с обоснованием: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163" w:type="dxa"/>
            <w:textDirection w:val="lrTb"/>
            <w:noWrap w:val="false"/>
          </w:tcPr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Метод сопоставимых рыночных цен (анализ рынка).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контракта определена в соответствии с п.1 ч. 1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</w:t>
            </w:r>
            <w:r>
              <w:rPr>
                <w:sz w:val="22"/>
                <w:szCs w:val="22"/>
              </w:rPr>
              <w:t xml:space="preserve">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Расчет НМЦК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163" w:type="dxa"/>
            <w:textDirection w:val="lrTb"/>
            <w:noWrap w:val="false"/>
          </w:tcPr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5 775 (</w:t>
            </w:r>
            <w:r>
              <w:rPr>
                <w:b/>
                <w:sz w:val="22"/>
                <w:szCs w:val="22"/>
              </w:rPr>
              <w:t xml:space="preserve">Пять тысяч семьсот семьдесят пять) рублей </w:t>
            </w:r>
            <w:r>
              <w:rPr>
                <w:b/>
                <w:sz w:val="22"/>
                <w:szCs w:val="22"/>
              </w:rPr>
              <w:t xml:space="preserve">14 </w:t>
            </w:r>
            <w:r>
              <w:rPr>
                <w:b/>
                <w:sz w:val="22"/>
                <w:szCs w:val="22"/>
              </w:rPr>
              <w:t xml:space="preserve">копеек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Расчет приведен в Приложении № 1 к обоснованию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4560" w:type="dxa"/>
            <w:textDirection w:val="lrTb"/>
            <w:noWrap w:val="false"/>
          </w:tcPr>
          <w:p>
            <w:pPr>
              <w:pStyle w:val="845"/>
              <w:ind w:left="0" w:firstLine="0"/>
              <w:keepNext w:val="0"/>
              <w:spacing w:before="0"/>
              <w:widowControl w:val="off"/>
              <w:tabs>
                <w:tab w:val="clear" w:pos="643" w:leader="none"/>
                <w:tab w:val="clear" w:pos="144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подготовки обоснования НМЦК: </w:t>
            </w:r>
            <w:r>
              <w:rPr>
                <w:b/>
                <w:sz w:val="22"/>
                <w:szCs w:val="22"/>
              </w:rPr>
              <w:t xml:space="preserve">18.</w:t>
            </w:r>
            <w:r>
              <w:rPr>
                <w:b/>
                <w:sz w:val="22"/>
                <w:szCs w:val="22"/>
              </w:rPr>
              <w:t xml:space="preserve">05.202</w:t>
            </w: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45"/>
        <w:ind w:left="0" w:firstLine="0"/>
        <w:keepNext w:val="0"/>
        <w:widowControl w:val="off"/>
        <w:tabs>
          <w:tab w:val="clear" w:pos="643" w:leader="none"/>
          <w:tab w:val="clear" w:pos="14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4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26"/>
        <w:gridCol w:w="6344"/>
      </w:tblGrid>
      <w:tr>
        <w:tblPrEx/>
        <w:trPr/>
        <w:tc>
          <w:tcPr>
            <w:tcW w:w="822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обоснованию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before="12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Расчет начальной (максимальной) цены контракта, цены контракта, заключаемого с единственным поставщиком (подрядчиком, исполнителем)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методом сопоставимых рыночных цен (анализ рынка)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пунктом 3.7.1 Методических рекомендаций по применению мет</w:t>
      </w:r>
      <w:r>
        <w:rPr>
          <w:rFonts w:ascii="Times New Roman" w:hAnsi="Times New Roman" w:cs="Times New Roman"/>
          <w:sz w:val="22"/>
          <w:szCs w:val="22"/>
        </w:rPr>
        <w:t xml:space="preserve">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2 октября 2013 г. № 567, в целях получения ценовой информации в</w:t>
      </w:r>
      <w:r>
        <w:rPr>
          <w:rFonts w:ascii="Times New Roman" w:hAnsi="Times New Roman" w:cs="Times New Roman"/>
          <w:sz w:val="22"/>
          <w:szCs w:val="22"/>
        </w:rPr>
        <w:t xml:space="preserve"> отношении товара, работы, услуги для определения начальной (максимальной) цены контракта (далее – НМЦК) направлены запросы о предоставлении ценовой информации поставщикам (подрядчикам, исполнителям), обладающим опытом поставок соответствующих товаров, раб</w:t>
      </w:r>
      <w:r>
        <w:rPr>
          <w:rFonts w:ascii="Times New Roman" w:hAnsi="Times New Roman" w:cs="Times New Roman"/>
          <w:sz w:val="22"/>
          <w:szCs w:val="22"/>
        </w:rPr>
        <w:t xml:space="preserve">от, услуг</w:t>
      </w:r>
      <w:r>
        <w:rPr>
          <w:rFonts w:ascii="Times New Roman" w:hAnsi="Times New Roman" w:cs="Times New Roman"/>
          <w:sz w:val="22"/>
          <w:szCs w:val="22"/>
        </w:rPr>
        <w:t xml:space="preserve">. Коммерческие предложения (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вх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0252/26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23.0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1.202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6</w:t>
      </w:r>
      <w:bookmarkStart w:id="0" w:name="_GoBack"/>
      <w:r>
        <w:rPr>
          <w:b w:val="0"/>
          <w:bCs w:val="0"/>
          <w:sz w:val="22"/>
          <w:szCs w:val="22"/>
          <w:highlight w:val="white"/>
        </w:rPr>
      </w:r>
      <w:bookmarkEnd w:id="0"/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вх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5390/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25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16.0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9.2025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вх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0276/26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26.0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1.202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  <w:t xml:space="preserve">6</w:t>
      </w:r>
      <w:r>
        <w:rPr>
          <w:rFonts w:ascii="Times New Roman" w:hAnsi="Times New Roman" w:cs="Times New Roman"/>
          <w:sz w:val="22"/>
          <w:szCs w:val="22"/>
        </w:rPr>
        <w:t xml:space="preserve">), предоставленные в ответ на запрос ценовой информации, использованы при определении НМЦК.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  <w:outlineLvl w:val="0"/>
      </w:pPr>
      <w:r>
        <w:rPr>
          <w:rFonts w:ascii="Times New Roman" w:hAnsi="Times New Roman" w:cs="Times New Roman"/>
          <w:sz w:val="22"/>
          <w:szCs w:val="22"/>
        </w:rPr>
        <w:t xml:space="preserve">НМЦК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определена по формуле: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left="5664"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24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6870" cy="391795"/>
                <wp:effectExtent l="0" t="0" r="0" b="0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68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8.10pt;height:30.8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где: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-10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910" cy="225425"/>
                <wp:effectExtent l="0" t="0" r="0" b="0"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7691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3.30pt;height:17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- НМЦК, определяемая методом сопоставимых рыночных цен (анализа рынка);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745" cy="142240"/>
                <wp:effectExtent l="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.35pt;height:11.2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количество (объем) закупаемого товара (работы, услуги);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745" cy="142240"/>
                <wp:effectExtent l="0" t="0" r="0" b="0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.35pt;height:11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- количество значений, используемых в расчете;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3185" cy="166370"/>
                <wp:effectExtent l="0" t="0" r="0" b="0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318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.55pt;height:13.1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- номер источника ценовой информации;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305" cy="225425"/>
                <wp:effectExtent l="0" t="0" r="0" b="0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430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15pt;height:1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- цена единицы товара, работы, услуг представленная в источнике с номером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3185" cy="166370"/>
                <wp:effectExtent l="0" t="0" r="0" b="0"/>
                <wp:docPr id="7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318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.55pt;height:13.1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851"/>
        <w:ind w:firstLine="567"/>
        <w:jc w:val="both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В целях определения однородности совокупности значений цен, используемых в расчете НМЦК</w:t>
      </w:r>
      <w:r>
        <w:rPr>
          <w:rFonts w:eastAsia="Times New Roman"/>
          <w:sz w:val="22"/>
          <w:szCs w:val="22"/>
        </w:rPr>
        <w:t xml:space="preserve">,</w:t>
      </w:r>
      <w:r>
        <w:rPr>
          <w:sz w:val="22"/>
          <w:szCs w:val="22"/>
        </w:rPr>
        <w:t xml:space="preserve"> определен коэффициент вариации цен по следующей формуле: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709"/>
        <w:spacing w:before="0" w:beforeAutospacing="0" w:after="0" w:afterAutospacing="0"/>
        <w:rPr>
          <w:rFonts w:eastAsia="Times New Roman"/>
          <w:sz w:val="22"/>
          <w:szCs w:val="22"/>
        </w:rPr>
        <w:outlineLvl w:val="0"/>
      </w:pPr>
      <w:r>
        <w:rPr>
          <w:rFonts w:eastAsia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5100" cy="615141"/>
                <wp:effectExtent l="0" t="0" r="0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469360" cy="629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13.00pt;height:48.4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где: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rFonts w:eastAsia="Times New Roman"/>
          <w:sz w:val="22"/>
          <w:szCs w:val="22"/>
        </w:rPr>
        <w:outlineLvl w:val="0"/>
      </w:pPr>
      <w:r>
        <w:rPr>
          <w:sz w:val="22"/>
          <w:szCs w:val="22"/>
        </w:rPr>
        <w:t xml:space="preserve">V – коэффициент вариации,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fldChar w:fldCharType="begin"/>
      </w:r>
      <w:r>
        <w:rPr>
          <w:rFonts w:eastAsia="Times New Roman"/>
          <w:sz w:val="22"/>
          <w:szCs w:val="22"/>
        </w:rPr>
        <w:instrText xml:space="preserve"> QUOTE </w:instrText>
      </w:r>
      <w:r>
        <w:rPr>
          <w:rFonts w:eastAsia="Times New Roman"/>
          <w:position w:val="-45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3820" cy="605790"/>
                <wp:effectExtent l="0" t="0" r="0" b="0"/>
                <wp:docPr id="9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382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06.60pt;height:47.7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eastAsia="Times New Roman"/>
          <w:sz w:val="22"/>
          <w:szCs w:val="22"/>
        </w:rPr>
        <w:instrText xml:space="preserve"> </w:instrText>
      </w:r>
      <w:r>
        <w:rPr>
          <w:rFonts w:eastAsia="Times New Roman"/>
          <w:sz w:val="22"/>
          <w:szCs w:val="22"/>
        </w:rPr>
        <w:fldChar w:fldCharType="separate"/>
      </w:r>
      <w:r>
        <w:rPr>
          <w:rFonts w:eastAsia="Times New Roman"/>
          <w:position w:val="-45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3820" cy="605790"/>
                <wp:effectExtent l="0" t="0" r="0" b="0"/>
                <wp:docPr id="10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382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6.60pt;height:47.7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eastAsia="Times New Roman"/>
          <w:sz w:val="22"/>
          <w:szCs w:val="22"/>
        </w:rPr>
        <w:fldChar w:fldCharType="end"/>
      </w:r>
      <w:r>
        <w:rPr>
          <w:sz w:val="22"/>
          <w:szCs w:val="22"/>
        </w:rPr>
        <w:t xml:space="preserve"> – среднеквадратичное отклонение,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305" cy="225425"/>
                <wp:effectExtent l="0" t="0" r="0" b="0"/>
                <wp:docPr id="1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430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.15pt;height:17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 – цена услуги, указанная в источнике с номером i,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&lt;</w:t>
      </w:r>
      <w:r>
        <w:rPr>
          <w:i/>
          <w:sz w:val="22"/>
          <w:szCs w:val="22"/>
        </w:rPr>
        <w:t xml:space="preserve">ц</w:t>
      </w:r>
      <w:r>
        <w:rPr>
          <w:rFonts w:eastAsia="Times New Roman"/>
          <w:i/>
          <w:sz w:val="22"/>
          <w:szCs w:val="22"/>
        </w:rPr>
        <w:t xml:space="preserve">&gt;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– средняя арифметическая величина цены услуги,</w:t>
      </w: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n</w:t>
      </w:r>
      <w:r>
        <w:rPr>
          <w:sz w:val="22"/>
          <w:szCs w:val="22"/>
        </w:rPr>
        <w:t xml:space="preserve"> – количество значений, используемых в расчете.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right="650" w:firstLine="85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fldChar w:fldCharType="begin"/>
      </w:r>
      <w:r>
        <w:instrText xml:space="preserve"> LINK Excel.Sheet.12 "K:\\YANDEXDISK</w:instrText>
      </w:r>
      <w:r>
        <w:instrText xml:space="preserve">\\ПЕЧАТИ  И БЛАНКИ\\!!ПРОЦЕДУРЫ\\2019-2021\\6. Корректировка после процедур\\Детализации на МПИ_2019-2021\\Эксплуатация АРМ ТО\\20695_u59\\59_Поставка Запчастей\\2019-08-14\\Анализ Рынка\\Обоснование НМЦК.xlsx" Лист2!R1C1:R16C13 \a \f 4 \h  \* MERGEFORMAT </w:instrText>
      </w:r>
      <w:r>
        <w:fldChar w:fldCharType="separate"/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45"/>
        <w:gridCol w:w="2531"/>
        <w:gridCol w:w="709"/>
        <w:gridCol w:w="563"/>
        <w:gridCol w:w="1020"/>
        <w:gridCol w:w="992"/>
        <w:gridCol w:w="993"/>
        <w:gridCol w:w="992"/>
        <w:gridCol w:w="992"/>
        <w:gridCol w:w="992"/>
        <w:gridCol w:w="1106"/>
        <w:gridCol w:w="1134"/>
        <w:gridCol w:w="1134"/>
        <w:gridCol w:w="1418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,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Ед.          изм.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(объем)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9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и цена за единицу, руб.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0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Среднее квадра-тичное отклонение, 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Коэффициент вариации, V (%)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Средняя цена (руб.)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 №1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 №2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 №3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0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НМЦК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цена за единицу (руб.)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цена итого (руб.)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цена за единицу (руб.)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цена итого (руб.)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цена за единицу (руб.)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цена итого (руб.)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65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Общие вопросы охраны труда и функционирования системы управления охраной труда (программа А)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1 850,00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 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2500,00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340,343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16,08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4233,34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5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Обучение по программе “Обучение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СОУТ и ОПР” (программа Б)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340,343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2116,67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14 816,67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31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 xml:space="preserve">Обучение по программе “Оказание первой помощи пострадавшим”</w:t>
            </w: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vMerge w:val="restart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2400,00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866,6700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1733,3300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15300,00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16900,00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21000,00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55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20,783,34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9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851"/>
        <w:ind w:right="650" w:firstLine="851"/>
        <w:spacing w:before="0" w:beforeAutospacing="0"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</w:rPr>
        <w:fldChar w:fldCharType="end"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51"/>
        <w:ind w:firstLine="567"/>
        <w:jc w:val="both"/>
        <w:spacing w:before="0" w:beforeAutospacing="0" w:after="0" w:afterAutospacing="0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Коэффициент вариации цены не превышает</w:t>
      </w:r>
      <w:r>
        <w:rPr>
          <w:rFonts w:ascii="Tinos" w:hAnsi="Tinos" w:eastAsia="Tinos" w:cs="Tinos"/>
          <w:sz w:val="22"/>
          <w:szCs w:val="22"/>
        </w:rPr>
        <w:t xml:space="preserve"> 33</w:t>
      </w:r>
      <w:r>
        <w:rPr>
          <w:rFonts w:ascii="Tinos" w:hAnsi="Tinos" w:eastAsia="Tinos" w:cs="Tinos"/>
          <w:sz w:val="22"/>
          <w:szCs w:val="22"/>
        </w:rPr>
        <w:t xml:space="preserve">%, таким образом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совокупность значений, используемых в расчете, п</w:t>
      </w:r>
      <w:r>
        <w:rPr>
          <w:rFonts w:ascii="Tinos" w:hAnsi="Tinos" w:eastAsia="Tinos" w:cs="Tinos"/>
          <w:sz w:val="22"/>
          <w:szCs w:val="22"/>
        </w:rPr>
        <w:t xml:space="preserve">ри определении НМЦК является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однородной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2"/>
          <w:szCs w:val="22"/>
          <w14:ligatures w14:val="none"/>
        </w:rPr>
        <w:outlineLvl w:val="0"/>
      </w:pPr>
      <w:r>
        <w:rPr>
          <w:rFonts w:ascii="Tinos" w:hAnsi="Tinos" w:eastAsia="Tinos" w:cs="Tinos"/>
          <w:b/>
          <w:sz w:val="22"/>
          <w:szCs w:val="22"/>
        </w:rPr>
        <w:t xml:space="preserve">С учетом доведенных ЛБО предельных объемов бюджетных ассигнований на реализацию данного мероприятия </w:t>
      </w:r>
      <w:r>
        <w:rPr>
          <w:rFonts w:ascii="Tinos" w:hAnsi="Tinos" w:eastAsia="Tinos" w:cs="Tinos" w:eastAsiaTheme="minorHAnsi"/>
          <w:sz w:val="22"/>
          <w:szCs w:val="22"/>
          <w:lang w:eastAsia="en-US"/>
        </w:rPr>
        <w:t xml:space="preserve">(пункт 2 статьи 72 и пункт 3 статьи 219 Бюджетного кодекса РФ, а также </w:t>
      </w:r>
      <w:r>
        <w:rPr>
          <w:rFonts w:ascii="Tinos" w:hAnsi="Tinos" w:eastAsia="Tinos" w:cs="Tinos" w:eastAsiaTheme="minorHAnsi"/>
          <w:sz w:val="22"/>
          <w:szCs w:val="22"/>
          <w:lang w:eastAsia="en-US"/>
        </w:rPr>
        <w:t xml:space="preserve">письма Минфина России от 10.01.2020 № 24-01-08/326 «О соответствии НМЦК сумме доведенных до заказчика лимитов бюджетных обязательств»)</w:t>
      </w:r>
      <w:r>
        <w:rPr>
          <w:rFonts w:ascii="Tinos" w:hAnsi="Tinos" w:cs="Tinos"/>
          <w:sz w:val="22"/>
          <w:szCs w:val="22"/>
          <w14:ligatures w14:val="none"/>
        </w:rPr>
      </w:r>
      <w:r>
        <w:rPr>
          <w:rFonts w:ascii="Tinos" w:hAnsi="Tinos" w:cs="Tinos"/>
          <w:sz w:val="22"/>
          <w:szCs w:val="22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b/>
          <w:bCs/>
          <w:sz w:val="22"/>
          <w:szCs w:val="22"/>
          <w14:ligatures w14:val="none"/>
        </w:rPr>
        <w:outlineLvl w:val="0"/>
      </w:pPr>
      <w:r>
        <w:rPr>
          <w:rFonts w:ascii="Tinos" w:hAnsi="Tinos" w:eastAsia="Tinos" w:cs="Tinos" w:eastAsiaTheme="minorHAnsi"/>
          <w:b/>
          <w:bCs/>
          <w:sz w:val="22"/>
          <w:szCs w:val="22"/>
          <w:u w:val="single"/>
          <w:lang w:eastAsia="en-US"/>
        </w:rPr>
        <w:t xml:space="preserve">Установить НМЦК в ра</w:t>
      </w:r>
      <w:r>
        <w:rPr>
          <w:rFonts w:ascii="Tinos" w:hAnsi="Tinos" w:eastAsia="Tinos" w:cs="Tinos" w:eastAsiaTheme="minorHAnsi"/>
          <w:b/>
          <w:bCs/>
          <w:sz w:val="22"/>
          <w:szCs w:val="22"/>
          <w:u w:val="single"/>
          <w:lang w:eastAsia="en-US"/>
        </w:rPr>
        <w:t xml:space="preserve">змере доведенных ЛБО </w:t>
      </w:r>
      <w:r>
        <w:rPr>
          <w:rFonts w:ascii="Tinos" w:hAnsi="Tinos" w:eastAsia="Tinos" w:cs="Tinos" w:eastAsiaTheme="minorHAnsi"/>
          <w:b/>
          <w:bCs/>
          <w:sz w:val="22"/>
          <w:szCs w:val="22"/>
          <w:lang w:eastAsia="en-US"/>
        </w:rPr>
        <w:t xml:space="preserve">в сумме 5 775</w:t>
      </w:r>
      <w:r>
        <w:rPr>
          <w:rFonts w:ascii="Tinos" w:hAnsi="Tinos" w:eastAsia="Tinos" w:cs="Tinos" w:eastAsiaTheme="minorHAnsi"/>
          <w:b/>
          <w:bCs/>
          <w:sz w:val="22"/>
          <w:szCs w:val="22"/>
          <w:lang w:eastAsia="en-US"/>
        </w:rPr>
        <w:t xml:space="preserve"> (Пять тысяч семьсот семьдесят пять</w:t>
      </w:r>
      <w:r>
        <w:rPr>
          <w:rFonts w:ascii="Tinos" w:hAnsi="Tinos" w:eastAsia="Tinos" w:cs="Tinos" w:eastAsiaTheme="minorHAnsi"/>
          <w:b/>
          <w:bCs/>
          <w:sz w:val="22"/>
          <w:szCs w:val="22"/>
          <w:lang w:eastAsia="en-US"/>
        </w:rPr>
        <w:t xml:space="preserve">) рублей </w:t>
      </w:r>
      <w:r>
        <w:rPr>
          <w:rFonts w:ascii="Tinos" w:hAnsi="Tinos" w:eastAsia="Tinos" w:cs="Tinos" w:eastAsiaTheme="minorHAnsi"/>
          <w:b/>
          <w:bCs/>
          <w:sz w:val="22"/>
          <w:szCs w:val="22"/>
          <w:lang w:eastAsia="en-US"/>
        </w:rPr>
        <w:t xml:space="preserve">14 копеек.</w:t>
      </w:r>
      <w:r>
        <w:rPr>
          <w:rFonts w:ascii="Tinos" w:hAnsi="Tinos" w:cs="Tinos"/>
          <w:b/>
          <w:bCs/>
          <w:sz w:val="22"/>
          <w:szCs w:val="22"/>
          <w14:ligatures w14:val="none"/>
        </w:rPr>
      </w:r>
      <w:r>
        <w:rPr>
          <w:rFonts w:ascii="Tinos" w:hAnsi="Tinos" w:cs="Tinos"/>
          <w:b/>
          <w:bCs/>
          <w:sz w:val="22"/>
          <w:szCs w:val="22"/>
          <w14:ligatures w14:val="none"/>
        </w:rPr>
      </w:r>
    </w:p>
    <w:p>
      <w:pPr>
        <w:pStyle w:val="851"/>
        <w:ind w:firstLine="567"/>
        <w:jc w:val="both"/>
        <w:spacing w:before="0" w:beforeAutospacing="0" w:after="0" w:afterAutospacing="0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i/>
          <w:sz w:val="22"/>
          <w:szCs w:val="22"/>
          <w:u w:val="single"/>
        </w:rPr>
        <w:t xml:space="preserve">НМЦК включает все расходы, которые может понести Исполнитель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</w:t>
      </w:r>
      <w:r>
        <w:rPr>
          <w:rFonts w:ascii="Tinos" w:hAnsi="Tinos" w:eastAsia="Tinos" w:cs="Tinos"/>
          <w:i/>
          <w:sz w:val="22"/>
          <w:szCs w:val="22"/>
          <w:u w:val="single"/>
        </w:rPr>
        <w:t xml:space="preserve">с</w:t>
      </w:r>
      <w:r>
        <w:rPr>
          <w:rFonts w:ascii="Tinos" w:hAnsi="Tinos" w:eastAsia="Tinos" w:cs="Tinos"/>
          <w:i/>
          <w:sz w:val="22"/>
          <w:szCs w:val="22"/>
          <w:u w:val="single"/>
        </w:rPr>
        <w:t xml:space="preserve">вязанные с исполнением контракт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126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7"/>
    <w:link w:val="836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7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7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paragraph" w:styleId="836">
    <w:name w:val="Heading 2"/>
    <w:basedOn w:val="835"/>
    <w:next w:val="835"/>
    <w:link w:val="847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 w:customStyle="1">
    <w:name w:val="Style8"/>
    <w:basedOn w:val="835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customStyle="1">
    <w:name w:val="Font Style22"/>
    <w:rPr>
      <w:rFonts w:ascii="Times New Roman" w:hAnsi="Times New Roman" w:cs="Times New Roman"/>
      <w:sz w:val="26"/>
      <w:szCs w:val="26"/>
    </w:rPr>
  </w:style>
  <w:style w:type="character" w:styleId="843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844">
    <w:name w:val="List Paragraph"/>
    <w:basedOn w:val="835"/>
    <w:uiPriority w:val="34"/>
    <w:qFormat/>
    <w:pPr>
      <w:contextualSpacing/>
      <w:ind w:left="720"/>
    </w:pPr>
  </w:style>
  <w:style w:type="paragraph" w:styleId="845" w:customStyle="1">
    <w:name w:val="Пункты"/>
    <w:basedOn w:val="836"/>
    <w:link w:val="846"/>
    <w:qFormat/>
    <w:pPr>
      <w:ind w:left="792" w:hanging="432"/>
      <w:jc w:val="both"/>
      <w:keepLines w:val="0"/>
      <w:spacing w:before="120" w:line="240" w:lineRule="auto"/>
      <w:tabs>
        <w:tab w:val="num" w:pos="643" w:leader="none"/>
        <w:tab w:val="left" w:pos="1134" w:leader="none"/>
        <w:tab w:val="num" w:pos="1440" w:leader="none"/>
      </w:tabs>
    </w:pPr>
    <w:rPr>
      <w:rFonts w:ascii="Times New Roman" w:hAnsi="Times New Roman" w:eastAsia="Times New Roman" w:cs="Times New Roman"/>
      <w:color w:val="auto"/>
      <w:sz w:val="20"/>
      <w:szCs w:val="20"/>
      <w:lang w:eastAsia="ru-RU"/>
    </w:rPr>
  </w:style>
  <w:style w:type="character" w:styleId="846" w:customStyle="1">
    <w:name w:val="Пункты Знак"/>
    <w:link w:val="8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7" w:customStyle="1">
    <w:name w:val="Заголовок 2 Знак"/>
    <w:basedOn w:val="837"/>
    <w:link w:val="836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48">
    <w:name w:val="Balloon Text"/>
    <w:basedOn w:val="835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"/>
    <w:basedOn w:val="837"/>
    <w:link w:val="848"/>
    <w:uiPriority w:val="99"/>
    <w:semiHidden/>
    <w:rPr>
      <w:rFonts w:ascii="Segoe UI" w:hAnsi="Segoe UI" w:cs="Segoe UI"/>
      <w:sz w:val="18"/>
      <w:szCs w:val="18"/>
    </w:rPr>
  </w:style>
  <w:style w:type="character" w:styleId="850">
    <w:name w:val="Book Title"/>
    <w:uiPriority w:val="33"/>
    <w:qFormat/>
    <w:rPr>
      <w:b/>
      <w:bCs/>
      <w:smallCaps/>
      <w:spacing w:val="5"/>
    </w:rPr>
  </w:style>
  <w:style w:type="paragraph" w:styleId="851" w:customStyle="1">
    <w:name w:val="formattext"/>
    <w:basedOn w:val="83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image" Target="media/image2.wmf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wmf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 Алексей Андреевич</dc:creator>
  <cp:keywords/>
  <dc:description/>
  <cp:revision>27</cp:revision>
  <dcterms:created xsi:type="dcterms:W3CDTF">2022-04-26T02:22:00Z</dcterms:created>
  <dcterms:modified xsi:type="dcterms:W3CDTF">2026-05-19T07:36:04Z</dcterms:modified>
</cp:coreProperties>
</file>