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60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 xml:space="preserve">ГОСУДАРСТВЕННЫЙ КОНТРАКТ № _______</w:t>
      </w:r>
      <w:r>
        <w:rPr>
          <w:b/>
          <w:sz w:val="26"/>
          <w:szCs w:val="26"/>
          <w:highlight w:val="white"/>
        </w:rPr>
      </w:r>
      <w:r>
        <w:rPr>
          <w:b/>
          <w:sz w:val="26"/>
          <w:szCs w:val="26"/>
          <w:highlight w:val="white"/>
        </w:rPr>
      </w:r>
    </w:p>
    <w:p>
      <w:pPr>
        <w:ind w:hanging="567"/>
        <w:jc w:val="center"/>
        <w:widowControl w:val="off"/>
        <w:rPr>
          <w:b/>
          <w:bCs/>
          <w:sz w:val="26"/>
          <w:szCs w:val="26"/>
          <w:highlight w:val="white"/>
        </w:rPr>
      </w:pPr>
      <w:r>
        <w:rPr>
          <w:b/>
          <w:bCs/>
          <w:sz w:val="26"/>
          <w:szCs w:val="26"/>
          <w:highlight w:val="white"/>
        </w:rPr>
        <w:t xml:space="preserve">на приобретение</w:t>
      </w:r>
      <w:r>
        <w:rPr>
          <w:b/>
          <w:bCs/>
          <w:sz w:val="26"/>
          <w:szCs w:val="26"/>
          <w:highlight w:val="white"/>
        </w:rPr>
        <w:t xml:space="preserve"> приборов </w:t>
      </w:r>
      <w:r>
        <w:rPr>
          <w:b/>
          <w:bCs/>
          <w:sz w:val="26"/>
          <w:szCs w:val="26"/>
          <w:highlight w:val="white"/>
        </w:rPr>
        <w:t xml:space="preserve">учета </w:t>
      </w:r>
      <w:r>
        <w:rPr>
          <w:b/>
          <w:bCs/>
          <w:sz w:val="26"/>
          <w:szCs w:val="26"/>
          <w:highlight w:val="white"/>
        </w:rPr>
        <w:t xml:space="preserve">горячего</w:t>
      </w:r>
      <w:r>
        <w:rPr>
          <w:b/>
          <w:bCs/>
          <w:sz w:val="26"/>
          <w:szCs w:val="26"/>
          <w:highlight w:val="white"/>
        </w:rPr>
        <w:t xml:space="preserve"> </w:t>
      </w:r>
      <w:r>
        <w:rPr>
          <w:b/>
          <w:bCs/>
          <w:sz w:val="26"/>
          <w:szCs w:val="26"/>
          <w:highlight w:val="white"/>
        </w:rPr>
        <w:t xml:space="preserve">водоснабжения</w:t>
      </w:r>
      <w:r>
        <w:rPr>
          <w:b/>
          <w:bCs/>
          <w:sz w:val="26"/>
          <w:szCs w:val="26"/>
          <w:highlight w:val="white"/>
        </w:rPr>
      </w:r>
      <w:r>
        <w:rPr>
          <w:b/>
          <w:bCs/>
          <w:sz w:val="26"/>
          <w:szCs w:val="26"/>
          <w:highlight w:val="white"/>
        </w:rPr>
      </w:r>
    </w:p>
    <w:p>
      <w:pPr>
        <w:ind w:hanging="567"/>
        <w:jc w:val="center"/>
        <w:widowControl w:val="off"/>
        <w:rPr>
          <w:b/>
          <w:bCs/>
          <w:sz w:val="26"/>
          <w:szCs w:val="26"/>
          <w:highlight w:val="white"/>
        </w:rPr>
      </w:pPr>
      <w:r>
        <w:rPr>
          <w:b/>
          <w:bCs/>
          <w:sz w:val="26"/>
          <w:szCs w:val="26"/>
          <w:highlight w:val="white"/>
        </w:rPr>
      </w:r>
      <w:r>
        <w:rPr>
          <w:b/>
          <w:bCs/>
          <w:sz w:val="26"/>
          <w:szCs w:val="26"/>
          <w:highlight w:val="white"/>
        </w:rPr>
      </w:r>
      <w:r>
        <w:rPr>
          <w:b/>
          <w:bCs/>
          <w:sz w:val="26"/>
          <w:szCs w:val="26"/>
          <w:highlight w:val="white"/>
        </w:rPr>
      </w:r>
    </w:p>
    <w:p>
      <w:pPr>
        <w:jc w:val="both"/>
        <w:spacing w:after="0" w:line="240" w:lineRule="exact"/>
        <w:rPr>
          <w:rFonts w:ascii="Times New Roman" w:hAnsi="Times New Roman"/>
          <w:b w:val="0"/>
          <w:bCs w:val="0"/>
          <w:sz w:val="22"/>
          <w:szCs w:val="22"/>
          <w:highlight w:val="white"/>
        </w:rPr>
      </w:pPr>
      <w:r>
        <w:rPr>
          <w:b/>
          <w:color w:val="000000"/>
          <w:sz w:val="26"/>
          <w:szCs w:val="26"/>
          <w:highlight w:val="white"/>
        </w:rPr>
        <w:t xml:space="preserve">Идентификационный </w:t>
      </w:r>
      <w:r>
        <w:rPr>
          <w:b/>
          <w:sz w:val="26"/>
          <w:szCs w:val="26"/>
          <w:highlight w:val="white"/>
        </w:rPr>
        <w:t xml:space="preserve">код закупки:</w:t>
      </w:r>
      <w:r>
        <w:rPr>
          <w:b/>
          <w:sz w:val="26"/>
          <w:szCs w:val="26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sz w:val="26"/>
          <w:szCs w:val="26"/>
          <w:highlight w:val="white"/>
        </w:rPr>
        <w:t xml:space="preserve">261631705359563170100100060000000000</w:t>
      </w:r>
      <w:r>
        <w:rPr>
          <w:rFonts w:ascii="Times New Roman" w:hAnsi="Times New Roman"/>
          <w:b w:val="0"/>
          <w:bCs w:val="0"/>
          <w:sz w:val="22"/>
          <w:szCs w:val="22"/>
          <w:highlight w:val="white"/>
        </w:rPr>
      </w:r>
      <w:r>
        <w:rPr>
          <w:rFonts w:ascii="Times New Roman" w:hAnsi="Times New Roman"/>
          <w:b w:val="0"/>
          <w:bCs w:val="0"/>
          <w:sz w:val="22"/>
          <w:szCs w:val="22"/>
          <w:highlight w:val="white"/>
        </w:rPr>
      </w:r>
    </w:p>
    <w:p>
      <w:pPr>
        <w:jc w:val="center"/>
        <w:widowControl w:val="off"/>
        <w:rPr>
          <w:b/>
          <w:bCs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</w:r>
      <w:r>
        <w:rPr>
          <w:b/>
          <w:bCs/>
          <w:sz w:val="26"/>
          <w:szCs w:val="26"/>
          <w:highlight w:val="white"/>
        </w:rPr>
      </w:r>
      <w:r>
        <w:rPr>
          <w:b/>
          <w:bCs/>
          <w:sz w:val="26"/>
          <w:szCs w:val="26"/>
          <w:highlight w:val="white"/>
        </w:rPr>
      </w:r>
    </w:p>
    <w:p>
      <w:pPr>
        <w:ind w:right="-52"/>
        <w:jc w:val="center"/>
        <w:spacing w:line="230" w:lineRule="exact"/>
        <w:tabs>
          <w:tab w:val="center" w:pos="5130" w:leader="none"/>
          <w:tab w:val="left" w:pos="6424" w:leader="none"/>
        </w:tabs>
        <w:rPr>
          <w:b/>
          <w:bCs/>
          <w:iCs/>
          <w:spacing w:val="6"/>
          <w:sz w:val="26"/>
          <w:szCs w:val="26"/>
          <w:highlight w:val="white"/>
        </w:rPr>
      </w:pPr>
      <w:r>
        <w:rPr>
          <w:b/>
          <w:bCs/>
          <w:iCs/>
          <w:spacing w:val="6"/>
          <w:sz w:val="26"/>
          <w:szCs w:val="26"/>
          <w:highlight w:val="white"/>
        </w:rPr>
      </w:r>
      <w:r>
        <w:rPr>
          <w:b/>
          <w:bCs/>
          <w:iCs/>
          <w:spacing w:val="6"/>
          <w:sz w:val="26"/>
          <w:szCs w:val="26"/>
          <w:highlight w:val="white"/>
        </w:rPr>
      </w:r>
      <w:r>
        <w:rPr>
          <w:b/>
          <w:bCs/>
          <w:iCs/>
          <w:spacing w:val="6"/>
          <w:sz w:val="26"/>
          <w:szCs w:val="26"/>
          <w:highlight w:val="white"/>
        </w:rPr>
      </w:r>
    </w:p>
    <w:p>
      <w:pPr>
        <w:spacing w:line="360" w:lineRule="auto"/>
        <w:shd w:val="clear" w:color="auto" w:fill="ffffff"/>
        <w:widowControl w:val="off"/>
        <w:tabs>
          <w:tab w:val="center" w:pos="5130" w:leader="none"/>
          <w:tab w:val="left" w:pos="6424" w:leader="none"/>
        </w:tabs>
        <w:rPr>
          <w:sz w:val="26"/>
          <w:szCs w:val="26"/>
          <w:highlight w:val="white"/>
        </w:rPr>
      </w:pPr>
      <w:r>
        <w:rPr>
          <w:spacing w:val="3"/>
          <w:sz w:val="26"/>
          <w:szCs w:val="26"/>
          <w:highlight w:val="white"/>
        </w:rPr>
        <w:t xml:space="preserve">г. Самара</w:t>
      </w:r>
      <w:r>
        <w:rPr>
          <w:sz w:val="26"/>
          <w:szCs w:val="26"/>
          <w:highlight w:val="white"/>
        </w:rPr>
        <w:tab/>
        <w:t xml:space="preserve">                                                                                 </w:t>
      </w:r>
      <w:r>
        <w:rPr>
          <w:sz w:val="26"/>
          <w:szCs w:val="26"/>
          <w:highlight w:val="white"/>
        </w:rPr>
        <w:t xml:space="preserve">   «</w:t>
      </w:r>
      <w:r>
        <w:rPr>
          <w:sz w:val="26"/>
          <w:szCs w:val="26"/>
          <w:highlight w:val="white"/>
        </w:rPr>
        <w:t xml:space="preserve">____» ______________ 2026 г.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851"/>
        <w:jc w:val="both"/>
        <w:widowControl w:val="off"/>
        <w:rPr>
          <w:rFonts w:eastAsia="Calibri"/>
          <w:color w:val="000000"/>
          <w:sz w:val="26"/>
          <w:szCs w:val="28"/>
          <w:highlight w:val="white"/>
        </w:rPr>
      </w:pPr>
      <w:r>
        <w:rPr>
          <w:rFonts w:eastAsia="Calibri"/>
          <w:color w:val="000000"/>
          <w:sz w:val="26"/>
          <w:szCs w:val="28"/>
          <w:highlight w:val="white"/>
          <w:lang w:eastAsia="ar-SA"/>
        </w:rPr>
        <w:t xml:space="preserve">Управление Федеральной службы государственной регистрации, кадастра и картографии по Самарской области (Управление </w:t>
      </w:r>
      <w:r>
        <w:rPr>
          <w:rFonts w:eastAsia="Calibri"/>
          <w:color w:val="000000"/>
          <w:sz w:val="26"/>
          <w:szCs w:val="28"/>
          <w:highlight w:val="white"/>
          <w:lang w:eastAsia="ar-SA"/>
        </w:rPr>
        <w:t xml:space="preserve">Росреестра</w:t>
      </w:r>
      <w:r>
        <w:rPr>
          <w:rFonts w:eastAsia="Calibri"/>
          <w:color w:val="000000"/>
          <w:sz w:val="26"/>
          <w:szCs w:val="28"/>
          <w:highlight w:val="white"/>
          <w:lang w:eastAsia="ar-SA"/>
        </w:rPr>
        <w:t xml:space="preserve"> по Самарской области), именуемое в дальнейшем «За</w:t>
      </w:r>
      <w:r>
        <w:rPr>
          <w:rFonts w:eastAsia="Calibri"/>
          <w:color w:val="000000"/>
          <w:sz w:val="26"/>
          <w:szCs w:val="28"/>
          <w:highlight w:val="white"/>
          <w:lang w:eastAsia="ar-SA"/>
        </w:rPr>
        <w:t xml:space="preserve">казчик», в лице заместителя руководителя Суздальцевой Ольги Геннадиевны, действующей на основании доверенности от 16.07.2026 № 19, с одной стороны и _______________________________, именуемый в дальнейшем «Поставщик», в лице _______________________________</w:t>
      </w:r>
      <w:r>
        <w:rPr>
          <w:rFonts w:eastAsia="Calibri"/>
          <w:color w:val="000000"/>
          <w:sz w:val="26"/>
          <w:szCs w:val="20"/>
          <w:highlight w:val="white"/>
          <w:lang w:eastAsia="ar-SA"/>
        </w:rPr>
        <w:t xml:space="preserve">, </w:t>
      </w:r>
      <w:r>
        <w:rPr>
          <w:rFonts w:eastAsia="Calibri"/>
          <w:color w:val="000000"/>
          <w:sz w:val="26"/>
          <w:szCs w:val="28"/>
          <w:highlight w:val="white"/>
          <w:lang w:eastAsia="ar-SA"/>
        </w:rPr>
        <w:t xml:space="preserve">действующего на основании ______________, с другой стороны, вместе име</w:t>
      </w:r>
      <w:r>
        <w:rPr>
          <w:rFonts w:eastAsia="Calibri"/>
          <w:color w:val="000000"/>
          <w:sz w:val="26"/>
          <w:szCs w:val="28"/>
          <w:highlight w:val="white"/>
          <w:lang w:eastAsia="ar-SA"/>
        </w:rPr>
        <w:t xml:space="preserve">нуемые в дальнейшем «Стороны», на основании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____________________________</w:t>
      </w:r>
      <w:r>
        <w:rPr>
          <w:rFonts w:eastAsia="Calibri"/>
          <w:color w:val="000000"/>
          <w:sz w:val="26"/>
          <w:szCs w:val="28"/>
          <w:highlight w:val="white"/>
          <w:vertAlign w:val="superscript"/>
          <w:lang w:eastAsia="ar-SA"/>
        </w:rPr>
        <w:footnoteReference w:id="2"/>
      </w:r>
      <w:r>
        <w:rPr>
          <w:rFonts w:eastAsia="Calibri"/>
          <w:color w:val="000000"/>
          <w:sz w:val="26"/>
          <w:szCs w:val="28"/>
          <w:highlight w:val="white"/>
          <w:lang w:eastAsia="ar-SA"/>
        </w:rPr>
        <w:t xml:space="preserve"> заключили настоящий государственный контракт (далее - Контракт) о нижеследующем:</w:t>
      </w:r>
      <w:r>
        <w:rPr>
          <w:rFonts w:eastAsia="Calibri"/>
          <w:color w:val="000000"/>
          <w:sz w:val="26"/>
          <w:szCs w:val="28"/>
          <w:highlight w:val="white"/>
        </w:rPr>
      </w:r>
      <w:r>
        <w:rPr>
          <w:rFonts w:eastAsia="Calibri"/>
          <w:color w:val="000000"/>
          <w:sz w:val="26"/>
          <w:szCs w:val="28"/>
          <w:highlight w:val="white"/>
        </w:rPr>
      </w:r>
    </w:p>
    <w:p>
      <w:pPr>
        <w:ind w:firstLine="851"/>
        <w:jc w:val="both"/>
        <w:widowControl w:val="off"/>
        <w:rPr>
          <w:rFonts w:eastAsia="Calibri"/>
          <w:color w:val="000000"/>
          <w:sz w:val="26"/>
          <w:szCs w:val="28"/>
          <w:highlight w:val="white"/>
        </w:rPr>
      </w:pPr>
      <w:r>
        <w:rPr>
          <w:rFonts w:eastAsia="Calibri"/>
          <w:color w:val="000000"/>
          <w:sz w:val="26"/>
          <w:szCs w:val="28"/>
          <w:highlight w:val="white"/>
          <w:lang w:eastAsia="ar-SA"/>
        </w:rPr>
      </w:r>
      <w:r>
        <w:rPr>
          <w:rFonts w:eastAsia="Calibri"/>
          <w:color w:val="000000"/>
          <w:sz w:val="26"/>
          <w:szCs w:val="28"/>
          <w:highlight w:val="white"/>
        </w:rPr>
      </w:r>
      <w:r>
        <w:rPr>
          <w:rFonts w:eastAsia="Calibri"/>
          <w:color w:val="000000"/>
          <w:sz w:val="26"/>
          <w:szCs w:val="28"/>
          <w:highlight w:val="white"/>
        </w:rPr>
      </w:r>
    </w:p>
    <w:p>
      <w:pPr>
        <w:ind w:right="140"/>
        <w:jc w:val="center"/>
        <w:spacing w:line="276" w:lineRule="auto"/>
        <w:rPr>
          <w:b/>
          <w:color w:val="000000" w:themeColor="text1"/>
          <w:sz w:val="26"/>
          <w:szCs w:val="28"/>
          <w:highlight w:val="white"/>
        </w:rPr>
      </w:pPr>
      <w:r>
        <w:rPr>
          <w:b/>
          <w:color w:val="000000" w:themeColor="text1"/>
          <w:sz w:val="26"/>
          <w:szCs w:val="28"/>
          <w:highlight w:val="white"/>
        </w:rPr>
        <w:t xml:space="preserve">1.</w:t>
      </w:r>
      <w:r>
        <w:rPr>
          <w:b/>
          <w:color w:val="000000" w:themeColor="text1"/>
          <w:sz w:val="26"/>
          <w:szCs w:val="28"/>
          <w:highlight w:val="white"/>
          <w:lang w:val="en-US"/>
        </w:rPr>
        <w:t xml:space="preserve"> </w:t>
      </w:r>
      <w:r>
        <w:rPr>
          <w:b/>
          <w:color w:val="000000" w:themeColor="text1"/>
          <w:sz w:val="26"/>
          <w:szCs w:val="28"/>
          <w:highlight w:val="white"/>
        </w:rPr>
        <w:t xml:space="preserve">Предмет Контракта</w:t>
      </w:r>
      <w:r>
        <w:rPr>
          <w:b/>
          <w:color w:val="000000" w:themeColor="text1"/>
          <w:sz w:val="26"/>
          <w:szCs w:val="28"/>
          <w:highlight w:val="white"/>
        </w:rPr>
      </w:r>
      <w:r>
        <w:rPr>
          <w:b/>
          <w:color w:val="000000" w:themeColor="text1"/>
          <w:sz w:val="26"/>
          <w:szCs w:val="28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pacing w:val="-1"/>
          <w:sz w:val="26"/>
          <w:szCs w:val="26"/>
          <w:highlight w:val="white"/>
        </w:rPr>
        <w:t xml:space="preserve">1.1.</w:t>
      </w:r>
      <w:r>
        <w:rPr>
          <w:sz w:val="26"/>
          <w:szCs w:val="26"/>
          <w:highlight w:val="white"/>
        </w:rPr>
        <w:t xml:space="preserve"> </w:t>
      </w:r>
      <w:r>
        <w:rPr>
          <w:bCs/>
          <w:sz w:val="26"/>
          <w:szCs w:val="26"/>
          <w:highlight w:val="white"/>
        </w:rPr>
        <w:t xml:space="preserve">Поставщик</w:t>
      </w:r>
      <w:r>
        <w:rPr>
          <w:sz w:val="26"/>
          <w:szCs w:val="26"/>
          <w:highlight w:val="white"/>
        </w:rPr>
        <w:t xml:space="preserve"> обязуется </w:t>
      </w:r>
      <w:r>
        <w:rPr>
          <w:sz w:val="26"/>
          <w:szCs w:val="26"/>
          <w:highlight w:val="white"/>
        </w:rPr>
        <w:t xml:space="preserve">поставить </w:t>
      </w:r>
      <w:r>
        <w:rPr>
          <w:sz w:val="26"/>
          <w:szCs w:val="26"/>
          <w:highlight w:val="white"/>
        </w:rPr>
        <w:t xml:space="preserve">приборы </w:t>
      </w:r>
      <w:r>
        <w:rPr>
          <w:sz w:val="26"/>
          <w:szCs w:val="26"/>
          <w:highlight w:val="white"/>
        </w:rPr>
        <w:t xml:space="preserve">учета </w:t>
      </w:r>
      <w:r>
        <w:rPr>
          <w:bCs/>
          <w:sz w:val="26"/>
          <w:szCs w:val="26"/>
          <w:highlight w:val="white"/>
        </w:rPr>
        <w:t xml:space="preserve">горячего</w:t>
      </w:r>
      <w:r>
        <w:rPr>
          <w:sz w:val="26"/>
          <w:szCs w:val="26"/>
          <w:highlight w:val="white"/>
        </w:rPr>
        <w:t xml:space="preserve"> водоснабжения </w:t>
      </w:r>
      <w:r>
        <w:rPr>
          <w:sz w:val="26"/>
          <w:szCs w:val="26"/>
          <w:highlight w:val="white"/>
        </w:rPr>
        <w:t xml:space="preserve">(далее - Товар),</w:t>
      </w:r>
      <w:r>
        <w:rPr>
          <w:bCs/>
          <w:sz w:val="26"/>
          <w:szCs w:val="26"/>
          <w:highlight w:val="white"/>
        </w:rPr>
        <w:t xml:space="preserve"> а </w:t>
      </w:r>
      <w:r>
        <w:rPr>
          <w:sz w:val="26"/>
          <w:szCs w:val="26"/>
          <w:highlight w:val="white"/>
        </w:rPr>
        <w:t xml:space="preserve">Заказчик обязуется принять и оплатить Товар в порядке и на условиях, предусмотренных Контрактом. 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bCs/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1.2. </w:t>
      </w:r>
      <w:r>
        <w:rPr>
          <w:bCs/>
          <w:sz w:val="26"/>
          <w:szCs w:val="26"/>
          <w:highlight w:val="white"/>
        </w:rPr>
        <w:t xml:space="preserve">Наименование, количество и иные характеристики поставляемого Товара указаны в Спецификации (Приложение к Контракту), являющейся неотъемлемой частью Контракта.</w:t>
      </w:r>
      <w:r>
        <w:rPr>
          <w:bCs/>
          <w:sz w:val="26"/>
          <w:szCs w:val="26"/>
          <w:highlight w:val="white"/>
        </w:rPr>
      </w:r>
      <w:r>
        <w:rPr>
          <w:bCs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bCs/>
          <w:sz w:val="26"/>
          <w:szCs w:val="26"/>
          <w:highlight w:val="white"/>
        </w:rPr>
      </w:pPr>
      <w:r>
        <w:rPr>
          <w:bCs/>
          <w:sz w:val="26"/>
          <w:szCs w:val="26"/>
          <w:highlight w:val="white"/>
        </w:rPr>
      </w:r>
      <w:r>
        <w:rPr>
          <w:bCs/>
          <w:sz w:val="26"/>
          <w:szCs w:val="26"/>
          <w:highlight w:val="white"/>
        </w:rPr>
      </w:r>
      <w:r>
        <w:rPr>
          <w:bCs/>
          <w:sz w:val="26"/>
          <w:szCs w:val="26"/>
          <w:highlight w:val="white"/>
        </w:rPr>
      </w:r>
    </w:p>
    <w:p>
      <w:pPr>
        <w:jc w:val="center"/>
        <w:rPr>
          <w:b/>
          <w:color w:val="000000" w:themeColor="text1"/>
          <w:sz w:val="26"/>
          <w:szCs w:val="26"/>
          <w:highlight w:val="white"/>
        </w:rPr>
      </w:pPr>
      <w:r>
        <w:rPr>
          <w:b/>
          <w:color w:val="000000" w:themeColor="text1"/>
          <w:sz w:val="26"/>
          <w:szCs w:val="26"/>
          <w:highlight w:val="white"/>
        </w:rPr>
        <w:t xml:space="preserve">2.</w:t>
      </w:r>
      <w:r>
        <w:rPr>
          <w:b/>
          <w:color w:val="000000" w:themeColor="text1"/>
          <w:sz w:val="26"/>
          <w:szCs w:val="26"/>
          <w:highlight w:val="white"/>
          <w:lang w:val="en-US"/>
        </w:rPr>
        <w:t xml:space="preserve"> </w:t>
      </w:r>
      <w:r>
        <w:rPr>
          <w:b/>
          <w:color w:val="000000" w:themeColor="text1"/>
          <w:sz w:val="26"/>
          <w:szCs w:val="26"/>
          <w:highlight w:val="white"/>
        </w:rPr>
        <w:t xml:space="preserve">Цена Контракта и порядок расчетов</w:t>
      </w: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  <w:highlight w:val="white"/>
        </w:rPr>
      </w:pPr>
      <w:r>
        <w:rPr>
          <w:bCs/>
          <w:color w:val="000000" w:themeColor="text1"/>
          <w:sz w:val="26"/>
          <w:szCs w:val="26"/>
          <w:highlight w:val="white"/>
        </w:rPr>
        <w:t xml:space="preserve">2.1. Цена Контракта составляет _____________________ рублей (______________ рублей __ копеек), в том числе НДС ___% ___________ рублей (_____________)</w:t>
      </w:r>
      <w:r>
        <w:rPr>
          <w:rStyle w:val="1073"/>
          <w:bCs/>
          <w:color w:val="000000" w:themeColor="text1"/>
          <w:sz w:val="26"/>
          <w:szCs w:val="26"/>
          <w:highlight w:val="white"/>
        </w:rPr>
        <w:footnoteReference w:id="3"/>
      </w:r>
      <w:r>
        <w:rPr>
          <w:bCs/>
          <w:color w:val="000000" w:themeColor="text1"/>
          <w:sz w:val="26"/>
          <w:szCs w:val="26"/>
          <w:highlight w:val="white"/>
        </w:rPr>
        <w:t xml:space="preserve">.</w:t>
      </w:r>
      <w:r>
        <w:rPr>
          <w:bCs/>
          <w:color w:val="000000" w:themeColor="text1"/>
          <w:sz w:val="26"/>
          <w:szCs w:val="26"/>
          <w:highlight w:val="white"/>
        </w:rPr>
      </w:r>
      <w:r>
        <w:rPr>
          <w:bCs/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rPr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2.2. Сумма, подлежащая уплате Заказчиком Поставщику, уменьшается на размер налогов, сборов и иных обязательных платежей в бюджеты бюджетной системы Р</w:t>
      </w:r>
      <w:r>
        <w:rPr>
          <w:color w:val="000000" w:themeColor="text1"/>
          <w:sz w:val="26"/>
          <w:szCs w:val="26"/>
          <w:highlight w:val="white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2.3. Цена </w:t>
      </w:r>
      <w:r>
        <w:rPr>
          <w:bCs/>
          <w:color w:val="000000" w:themeColor="text1"/>
          <w:sz w:val="26"/>
          <w:szCs w:val="26"/>
          <w:highlight w:val="white"/>
        </w:rPr>
        <w:t xml:space="preserve">Контракта</w:t>
      </w:r>
      <w:r>
        <w:rPr>
          <w:color w:val="000000" w:themeColor="text1"/>
          <w:sz w:val="26"/>
          <w:szCs w:val="26"/>
          <w:highlight w:val="white"/>
        </w:rPr>
        <w:t xml:space="preserve">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</w:t>
      </w:r>
      <w:r>
        <w:rPr>
          <w:rStyle w:val="1073"/>
          <w:color w:val="000000" w:themeColor="text1"/>
          <w:sz w:val="26"/>
          <w:szCs w:val="26"/>
          <w:highlight w:val="white"/>
        </w:rPr>
        <w:footnoteReference w:id="4"/>
      </w:r>
      <w:r>
        <w:rPr>
          <w:color w:val="000000" w:themeColor="text1"/>
          <w:sz w:val="26"/>
          <w:szCs w:val="26"/>
          <w:highlight w:val="white"/>
        </w:rPr>
        <w:t xml:space="preserve">, другие установленные налоги, сборы и иные расходы, связанные с исполнением </w:t>
      </w:r>
      <w:r>
        <w:rPr>
          <w:bCs/>
          <w:color w:val="000000" w:themeColor="text1"/>
          <w:sz w:val="26"/>
          <w:szCs w:val="26"/>
          <w:highlight w:val="white"/>
        </w:rPr>
        <w:t xml:space="preserve">Контракта.</w:t>
      </w:r>
      <w:r>
        <w:rPr>
          <w:bCs/>
          <w:color w:val="000000" w:themeColor="text1"/>
          <w:sz w:val="26"/>
          <w:szCs w:val="26"/>
          <w:highlight w:val="white"/>
        </w:rPr>
      </w:r>
      <w:r>
        <w:rPr>
          <w:bCs/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tabs>
          <w:tab w:val="num" w:pos="0" w:leader="none"/>
          <w:tab w:val="left" w:pos="1260" w:leader="none"/>
        </w:tabs>
        <w:rPr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2.4. Цена </w:t>
      </w:r>
      <w:r>
        <w:rPr>
          <w:bCs/>
          <w:color w:val="000000" w:themeColor="text1"/>
          <w:sz w:val="26"/>
          <w:szCs w:val="26"/>
          <w:highlight w:val="white"/>
        </w:rPr>
        <w:t xml:space="preserve">Контракта</w:t>
      </w:r>
      <w:r>
        <w:rPr>
          <w:color w:val="000000" w:themeColor="text1"/>
          <w:sz w:val="26"/>
          <w:szCs w:val="26"/>
          <w:highlight w:val="white"/>
        </w:rPr>
        <w:t xml:space="preserve"> является твердой и определяется на весь срок исполнения </w:t>
      </w:r>
      <w:r>
        <w:rPr>
          <w:bCs/>
          <w:color w:val="000000" w:themeColor="text1"/>
          <w:sz w:val="26"/>
          <w:szCs w:val="26"/>
          <w:highlight w:val="white"/>
        </w:rPr>
        <w:t xml:space="preserve">Контракта</w:t>
      </w:r>
      <w:r>
        <w:rPr>
          <w:color w:val="000000" w:themeColor="text1"/>
          <w:sz w:val="26"/>
          <w:szCs w:val="26"/>
          <w:highlight w:val="white"/>
        </w:rPr>
        <w:t xml:space="preserve">, за исключением случаев, </w:t>
      </w:r>
      <w:r>
        <w:rPr>
          <w:color w:val="000000"/>
          <w:sz w:val="26"/>
          <w:szCs w:val="26"/>
          <w:highlight w:val="white"/>
        </w:rPr>
        <w:t xml:space="preserve">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от 05 апреля 2013г. № 44-ФЗ)</w:t>
      </w:r>
      <w:r>
        <w:rPr>
          <w:color w:val="000000" w:themeColor="text1"/>
          <w:sz w:val="26"/>
          <w:szCs w:val="26"/>
          <w:highlight w:val="white"/>
        </w:rPr>
        <w:t xml:space="preserve">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color w:val="000000" w:themeColor="text1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Цена </w:t>
      </w:r>
      <w:r>
        <w:rPr>
          <w:bCs/>
          <w:color w:val="000000" w:themeColor="text1"/>
          <w:sz w:val="26"/>
          <w:szCs w:val="26"/>
          <w:highlight w:val="white"/>
        </w:rPr>
        <w:t xml:space="preserve">Контракта</w:t>
      </w:r>
      <w:r>
        <w:rPr>
          <w:color w:val="000000" w:themeColor="text1"/>
          <w:sz w:val="26"/>
          <w:szCs w:val="26"/>
          <w:highlight w:val="white"/>
        </w:rPr>
        <w:t xml:space="preserve"> </w:t>
      </w:r>
      <w:r>
        <w:rPr>
          <w:color w:val="000000"/>
          <w:sz w:val="26"/>
          <w:szCs w:val="26"/>
          <w:highlight w:val="white"/>
        </w:rPr>
        <w:t xml:space="preserve">может быть снижена по соглашению Сторон без изменения, </w:t>
      </w:r>
      <w:r>
        <w:rPr>
          <w:color w:val="000000"/>
          <w:sz w:val="26"/>
          <w:szCs w:val="26"/>
          <w:highlight w:val="white"/>
        </w:rPr>
        <w:t xml:space="preserve">предусмотренного </w:t>
      </w:r>
      <w:r>
        <w:rPr>
          <w:bCs/>
          <w:color w:val="000000" w:themeColor="text1"/>
          <w:sz w:val="26"/>
          <w:szCs w:val="26"/>
          <w:highlight w:val="white"/>
        </w:rPr>
        <w:t xml:space="preserve">Контрактом</w:t>
      </w:r>
      <w:r>
        <w:rPr>
          <w:color w:val="000000" w:themeColor="text1"/>
          <w:sz w:val="26"/>
          <w:szCs w:val="26"/>
          <w:highlight w:val="white"/>
        </w:rPr>
        <w:t xml:space="preserve"> </w:t>
      </w:r>
      <w:r>
        <w:rPr>
          <w:color w:val="000000"/>
          <w:sz w:val="26"/>
          <w:szCs w:val="26"/>
          <w:highlight w:val="white"/>
        </w:rPr>
        <w:t xml:space="preserve">количества и качества поставляемого Товара и иных условий </w:t>
      </w:r>
      <w:r>
        <w:rPr>
          <w:bCs/>
          <w:color w:val="000000" w:themeColor="text1"/>
          <w:sz w:val="26"/>
          <w:szCs w:val="26"/>
          <w:highlight w:val="white"/>
        </w:rPr>
        <w:t xml:space="preserve">Контракта</w:t>
      </w:r>
      <w:r>
        <w:rPr>
          <w:color w:val="000000"/>
          <w:sz w:val="26"/>
          <w:szCs w:val="26"/>
          <w:highlight w:val="white"/>
        </w:rPr>
        <w:t xml:space="preserve">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rPr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2.5. Источник финансирования Контракта: </w:t>
      </w:r>
      <w:r>
        <w:rPr>
          <w:sz w:val="26"/>
          <w:szCs w:val="26"/>
          <w:highlight w:val="white"/>
        </w:rPr>
        <w:t xml:space="preserve">финансирование</w:t>
      </w:r>
      <w:r>
        <w:rPr>
          <w:color w:val="000000" w:themeColor="text1"/>
          <w:sz w:val="26"/>
          <w:szCs w:val="26"/>
          <w:highlight w:val="white"/>
        </w:rPr>
        <w:t xml:space="preserve"> контракта осуществляется за счет средств федерального бюджета в пределах лимитов бюджетных обязательств 2026 года по 244 коду вида расходов классификации расходов бюджета.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pStyle w:val="1019"/>
        <w:ind w:left="0" w:right="0" w:firstLine="709"/>
        <w:jc w:val="both"/>
        <w:rPr>
          <w:rFonts w:ascii="Tinos" w:hAnsi="Tinos" w:cs="Tinos"/>
          <w:spacing w:val="2"/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2.6. Расчеты</w:t>
      </w:r>
      <w:r>
        <w:rPr>
          <w:i/>
          <w:sz w:val="26"/>
          <w:szCs w:val="26"/>
          <w:highlight w:val="white"/>
        </w:rPr>
        <w:t xml:space="preserve"> </w:t>
      </w:r>
      <w:r>
        <w:rPr>
          <w:sz w:val="26"/>
          <w:szCs w:val="26"/>
          <w:highlight w:val="white"/>
        </w:rPr>
        <w:t xml:space="preserve">между Заказчиком и Поставщиком производятся</w:t>
      </w:r>
      <w:r>
        <w:rPr>
          <w:i/>
          <w:sz w:val="26"/>
          <w:szCs w:val="26"/>
          <w:highlight w:val="white"/>
        </w:rPr>
        <w:t xml:space="preserve"> </w:t>
      </w:r>
      <w:r>
        <w:rPr>
          <w:sz w:val="26"/>
          <w:szCs w:val="26"/>
          <w:highlight w:val="white"/>
        </w:rPr>
        <w:t xml:space="preserve">не позднее 10 (десяти) рабочих дней с </w:t>
      </w:r>
      <w:r>
        <w:rPr>
          <w:sz w:val="26"/>
          <w:szCs w:val="26"/>
          <w:highlight w:val="white"/>
        </w:rPr>
        <w:t xml:space="preserve">дат</w:t>
      </w:r>
      <w:r>
        <w:rPr>
          <w:sz w:val="26"/>
          <w:szCs w:val="26"/>
          <w:highlight w:val="white"/>
        </w:rPr>
        <w:t xml:space="preserve">ы</w:t>
      </w:r>
      <w:r>
        <w:rPr>
          <w:rFonts w:ascii="Tinos" w:hAnsi="Tinos" w:eastAsia="Tinos" w:cs="Tinos"/>
          <w:spacing w:val="2"/>
          <w:sz w:val="26"/>
          <w:szCs w:val="26"/>
          <w:highlight w:val="white"/>
        </w:rPr>
        <w:t xml:space="preserve"> </w:t>
      </w:r>
      <w:r>
        <w:rPr>
          <w:rFonts w:ascii="Tinos" w:hAnsi="Tinos" w:eastAsia="Tinos" w:cs="Tinos"/>
          <w:sz w:val="26"/>
          <w:szCs w:val="26"/>
          <w:highlight w:val="white"/>
          <w:lang w:val="en-US" w:eastAsia="en-US"/>
        </w:rPr>
        <w:t xml:space="preserve">подписания Заказчиком документа о приемке.</w:t>
      </w:r>
      <w:r>
        <w:rPr>
          <w:rFonts w:ascii="Tinos" w:hAnsi="Tinos" w:cs="Tinos"/>
          <w:spacing w:val="2"/>
          <w:sz w:val="26"/>
          <w:szCs w:val="26"/>
          <w:highlight w:val="white"/>
        </w:rPr>
      </w:r>
      <w:r>
        <w:rPr>
          <w:rFonts w:ascii="Tinos" w:hAnsi="Tinos" w:cs="Tinos"/>
          <w:spacing w:val="2"/>
          <w:sz w:val="26"/>
          <w:szCs w:val="26"/>
          <w:highlight w:val="white"/>
        </w:rPr>
      </w:r>
    </w:p>
    <w:p>
      <w:pPr>
        <w:ind w:firstLine="709"/>
        <w:jc w:val="both"/>
        <w:rPr>
          <w:color w:val="000000" w:themeColor="text1"/>
          <w:sz w:val="26"/>
          <w:szCs w:val="26"/>
          <w:highlight w:val="white"/>
        </w:rPr>
      </w:pPr>
      <w:r>
        <w:rPr>
          <w:rFonts w:ascii="Tinos" w:hAnsi="Tinos" w:eastAsia="Tinos" w:cs="Tinos"/>
          <w:color w:val="000000" w:themeColor="text1"/>
          <w:sz w:val="26"/>
          <w:szCs w:val="26"/>
          <w:highlight w:val="white"/>
        </w:rPr>
        <w:t xml:space="preserve">2.7. Оплата по Контракту осуществляется по безналично</w:t>
      </w:r>
      <w:r>
        <w:rPr>
          <w:color w:val="000000" w:themeColor="text1"/>
          <w:sz w:val="26"/>
          <w:szCs w:val="26"/>
          <w:highlight w:val="white"/>
        </w:rPr>
        <w:t xml:space="preserve">му расчету платежными </w:t>
      </w:r>
      <w:r>
        <w:rPr>
          <w:color w:val="000000" w:themeColor="text1"/>
          <w:sz w:val="26"/>
          <w:szCs w:val="26"/>
          <w:highlight w:val="white"/>
        </w:rPr>
        <w:t xml:space="preserve">поручениями путем перечисления Заказчиком денежных</w:t>
      </w:r>
      <w:r>
        <w:rPr>
          <w:color w:val="000000" w:themeColor="text1"/>
          <w:sz w:val="26"/>
          <w:szCs w:val="26"/>
          <w:highlight w:val="white"/>
        </w:rPr>
        <w:t xml:space="preserve"> средств на расчетный счет Поставщика, указанный в Контракте. В случае изменения расчетного счета Поставщик обязан в </w:t>
      </w:r>
      <w:r>
        <w:rPr>
          <w:sz w:val="26"/>
          <w:szCs w:val="26"/>
          <w:highlight w:val="white"/>
        </w:rPr>
        <w:t xml:space="preserve">трехдневный срок с момента изменения расчетного счета</w:t>
      </w:r>
      <w:r>
        <w:rPr>
          <w:color w:val="000000" w:themeColor="text1"/>
          <w:sz w:val="26"/>
          <w:szCs w:val="26"/>
          <w:highlight w:val="white"/>
        </w:rPr>
        <w:t xml:space="preserve">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2.8. Суммы требований об уплате неустоек (штрафов, пеней), предъявленных Заказчиком Поставщику</w:t>
      </w:r>
      <w:r>
        <w:rPr>
          <w:sz w:val="26"/>
          <w:szCs w:val="26"/>
          <w:highlight w:val="white"/>
        </w:rPr>
        <w:t xml:space="preserve"> </w:t>
      </w:r>
      <w:r>
        <w:rPr>
          <w:sz w:val="26"/>
          <w:szCs w:val="26"/>
          <w:highlight w:val="white"/>
        </w:rPr>
        <w:t xml:space="preserve">в соответствии</w:t>
      </w:r>
      <w:r>
        <w:rPr>
          <w:sz w:val="26"/>
          <w:szCs w:val="26"/>
          <w:highlight w:val="white"/>
        </w:rPr>
        <w:t xml:space="preserve"> с разделом </w:t>
      </w:r>
      <w:r>
        <w:rPr>
          <w:sz w:val="26"/>
          <w:szCs w:val="26"/>
          <w:highlight w:val="white"/>
        </w:rPr>
        <w:t xml:space="preserve">6</w:t>
      </w:r>
      <w:r>
        <w:rPr>
          <w:sz w:val="26"/>
          <w:szCs w:val="26"/>
          <w:highlight w:val="white"/>
        </w:rPr>
        <w:t xml:space="preserve"> Контракта, могут быть удержаны из суммы, подлежащей оплате Поставщику. Сумма неустойки перечисляется в установленном порядке в доход федерального бюджета.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right="140"/>
        <w:jc w:val="center"/>
        <w:spacing w:line="276" w:lineRule="auto"/>
        <w:rPr>
          <w:b/>
          <w:color w:val="000000" w:themeColor="text1"/>
          <w:sz w:val="26"/>
          <w:szCs w:val="28"/>
          <w:highlight w:val="white"/>
        </w:rPr>
      </w:pPr>
      <w:r>
        <w:rPr>
          <w:b/>
          <w:color w:val="000000" w:themeColor="text1"/>
          <w:sz w:val="26"/>
          <w:szCs w:val="28"/>
          <w:highlight w:val="white"/>
        </w:rPr>
      </w:r>
      <w:r>
        <w:rPr>
          <w:b/>
          <w:color w:val="000000" w:themeColor="text1"/>
          <w:sz w:val="26"/>
          <w:szCs w:val="28"/>
          <w:highlight w:val="white"/>
        </w:rPr>
      </w:r>
      <w:r>
        <w:rPr>
          <w:b/>
          <w:color w:val="000000" w:themeColor="text1"/>
          <w:sz w:val="26"/>
          <w:szCs w:val="28"/>
          <w:highlight w:val="white"/>
        </w:rPr>
      </w:r>
    </w:p>
    <w:p>
      <w:pPr>
        <w:pStyle w:val="1032"/>
        <w:numPr>
          <w:ilvl w:val="0"/>
          <w:numId w:val="47"/>
        </w:numPr>
        <w:jc w:val="both"/>
        <w:widowControl w:val="off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 xml:space="preserve">Порядок, сроки и условия поставки и приемки Товара</w:t>
      </w:r>
      <w:r>
        <w:rPr>
          <w:b/>
          <w:sz w:val="26"/>
          <w:szCs w:val="26"/>
          <w:highlight w:val="white"/>
        </w:rPr>
      </w:r>
      <w:r>
        <w:rPr>
          <w:b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b/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3.1. Поставщик самостоятельно доставляет Товар Заказчику по адрес</w:t>
      </w:r>
      <w:r>
        <w:rPr>
          <w:sz w:val="26"/>
          <w:szCs w:val="26"/>
          <w:highlight w:val="white"/>
        </w:rPr>
        <w:t xml:space="preserve">у,</w:t>
      </w:r>
      <w:r>
        <w:rPr>
          <w:sz w:val="26"/>
          <w:szCs w:val="26"/>
          <w:highlight w:val="white"/>
        </w:rPr>
        <w:t xml:space="preserve"> указанн</w:t>
      </w:r>
      <w:r>
        <w:rPr>
          <w:sz w:val="26"/>
          <w:szCs w:val="26"/>
          <w:highlight w:val="white"/>
        </w:rPr>
        <w:t xml:space="preserve">ому</w:t>
      </w:r>
      <w:r>
        <w:rPr>
          <w:sz w:val="26"/>
          <w:szCs w:val="26"/>
          <w:highlight w:val="white"/>
        </w:rPr>
        <w:t xml:space="preserve"> в Спецификации (далее – место доставки) в срок, указанный в </w:t>
      </w:r>
      <w:r>
        <w:rPr>
          <w:sz w:val="26"/>
          <w:szCs w:val="26"/>
          <w:highlight w:val="white"/>
        </w:rPr>
        <w:t xml:space="preserve">п. </w:t>
      </w:r>
      <w:r>
        <w:rPr>
          <w:sz w:val="26"/>
          <w:szCs w:val="26"/>
          <w:highlight w:val="white"/>
        </w:rPr>
        <w:t xml:space="preserve">1</w:t>
      </w:r>
      <w:r>
        <w:rPr>
          <w:sz w:val="26"/>
          <w:szCs w:val="26"/>
          <w:highlight w:val="white"/>
        </w:rPr>
        <w:t xml:space="preserve">.</w:t>
      </w:r>
      <w:r>
        <w:rPr>
          <w:sz w:val="26"/>
          <w:szCs w:val="26"/>
          <w:highlight w:val="white"/>
        </w:rPr>
        <w:t xml:space="preserve">1</w:t>
      </w:r>
      <w:r>
        <w:rPr>
          <w:sz w:val="26"/>
          <w:szCs w:val="26"/>
          <w:highlight w:val="white"/>
        </w:rPr>
        <w:t xml:space="preserve">.</w:t>
      </w:r>
      <w:r>
        <w:rPr>
          <w:sz w:val="26"/>
          <w:szCs w:val="26"/>
          <w:highlight w:val="white"/>
        </w:rPr>
        <w:t xml:space="preserve"> Спецификации.</w:t>
      </w:r>
      <w:r>
        <w:rPr>
          <w:b/>
          <w:sz w:val="26"/>
          <w:szCs w:val="26"/>
          <w:highlight w:val="white"/>
        </w:rPr>
      </w:r>
      <w:r>
        <w:rPr>
          <w:b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Поставщик не менее чем за 1 (один) рабочий день до осуществления поставки Товара направляет в адрес Заказчика уведомление о времени и дате доставки Товара в место</w:t>
      </w:r>
      <w:r>
        <w:rPr>
          <w:sz w:val="26"/>
          <w:szCs w:val="26"/>
          <w:highlight w:val="white"/>
        </w:rPr>
        <w:t xml:space="preserve"> доставки.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spacing w:line="221" w:lineRule="auto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3.2. </w:t>
      </w:r>
      <w:r>
        <w:rPr>
          <w:rFonts w:ascii="Tinos" w:hAnsi="Tinos" w:cs="Tinos"/>
          <w:color w:val="000000" w:themeColor="text1"/>
          <w:sz w:val="26"/>
          <w:szCs w:val="26"/>
          <w:highlight w:val="white"/>
        </w:rPr>
        <w:t xml:space="preserve">Поставщик предоставляет Заказчику </w:t>
      </w:r>
      <w:r>
        <w:rPr>
          <w:sz w:val="26"/>
          <w:szCs w:val="26"/>
          <w:highlight w:val="white"/>
        </w:rPr>
        <w:t xml:space="preserve">счет, счет-фактур</w:t>
      </w:r>
      <w:r>
        <w:rPr>
          <w:sz w:val="26"/>
          <w:szCs w:val="26"/>
          <w:highlight w:val="white"/>
        </w:rPr>
        <w:t xml:space="preserve">у</w:t>
      </w:r>
      <w:r>
        <w:rPr>
          <w:sz w:val="26"/>
          <w:szCs w:val="26"/>
          <w:highlight w:val="white"/>
          <w:vertAlign w:val="superscript"/>
        </w:rPr>
        <w:footnoteReference w:id="5"/>
      </w:r>
      <w:r>
        <w:rPr>
          <w:sz w:val="26"/>
          <w:szCs w:val="26"/>
          <w:highlight w:val="white"/>
        </w:rPr>
        <w:t xml:space="preserve">, документ о приемке в 2-х экземплярах (акт </w:t>
      </w:r>
      <w:r>
        <w:rPr>
          <w:sz w:val="26"/>
          <w:szCs w:val="26"/>
          <w:highlight w:val="white"/>
        </w:rPr>
        <w:t xml:space="preserve">приема-передачи товара</w:t>
      </w:r>
      <w:r>
        <w:rPr>
          <w:sz w:val="26"/>
          <w:szCs w:val="26"/>
          <w:highlight w:val="white"/>
        </w:rPr>
        <w:t xml:space="preserve"> или УПД), подписанные со своей стороны. </w:t>
      </w:r>
      <w:r>
        <w:rPr>
          <w:rFonts w:ascii="Tinos" w:hAnsi="Tinos" w:eastAsia="Tinos" w:cs="Tinos"/>
          <w:color w:val="000000"/>
          <w:sz w:val="26"/>
          <w:szCs w:val="26"/>
          <w:highlight w:val="white"/>
        </w:rPr>
        <w:t xml:space="preserve">П</w:t>
      </w:r>
      <w:r>
        <w:rPr>
          <w:rFonts w:ascii="Tinos" w:hAnsi="Tinos" w:eastAsia="Tinos" w:cs="Tinos"/>
          <w:color w:val="000000"/>
          <w:sz w:val="26"/>
          <w:szCs w:val="26"/>
          <w:highlight w:val="white"/>
        </w:rPr>
        <w:t xml:space="preserve">ри доставке Товара осущест</w:t>
      </w:r>
      <w:r>
        <w:rPr>
          <w:rFonts w:ascii="Tinos" w:hAnsi="Tinos" w:eastAsia="Tinos" w:cs="Tinos"/>
          <w:color w:val="000000"/>
          <w:sz w:val="26"/>
          <w:szCs w:val="26"/>
          <w:highlight w:val="white"/>
        </w:rPr>
        <w:t xml:space="preserve">вляется</w:t>
      </w:r>
      <w:r>
        <w:rPr>
          <w:rFonts w:ascii="Tinos" w:hAnsi="Tinos" w:eastAsia="Tinos" w:cs="Tinos"/>
          <w:color w:val="000000"/>
          <w:sz w:val="26"/>
          <w:szCs w:val="26"/>
          <w:highlight w:val="white"/>
        </w:rPr>
        <w:t xml:space="preserve"> передача Поставщиком документов об оценке соответствия, предусмотренных правом Евразийского экономического союза и законодательством Российской Федерации, обя</w:t>
      </w:r>
      <w:r>
        <w:rPr>
          <w:rFonts w:ascii="Tinos" w:hAnsi="Tinos" w:eastAsia="Tinos" w:cs="Tinos"/>
          <w:color w:val="000000"/>
          <w:sz w:val="26"/>
          <w:szCs w:val="26"/>
          <w:highlight w:val="white"/>
        </w:rPr>
        <w:t xml:space="preserve">зательных для данного вида Товара, а также иных документов, подтверждающих качество Товара</w:t>
      </w:r>
      <w:r>
        <w:rPr>
          <w:rFonts w:ascii="Tinos" w:hAnsi="Tinos" w:eastAsia="Tinos" w:cs="Tinos"/>
          <w:color w:val="000000"/>
          <w:sz w:val="26"/>
          <w:szCs w:val="26"/>
          <w:highlight w:val="white"/>
        </w:rPr>
        <w:t xml:space="preserve">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3.3. Заказчик проводит проверку соответствия наименования, количества </w:t>
      </w:r>
      <w:r>
        <w:rPr>
          <w:bCs/>
          <w:sz w:val="26"/>
          <w:szCs w:val="26"/>
          <w:highlight w:val="white"/>
        </w:rPr>
        <w:t xml:space="preserve">и иных характеристик поставляемого Товара, </w:t>
      </w:r>
      <w:r>
        <w:rPr>
          <w:sz w:val="26"/>
          <w:szCs w:val="26"/>
          <w:highlight w:val="white"/>
        </w:rPr>
        <w:t xml:space="preserve">сведениям, содержащимся в сопроводительных документах Поставщика.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3.4.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</w:t>
      </w:r>
      <w:r>
        <w:rPr>
          <w:sz w:val="26"/>
          <w:szCs w:val="26"/>
          <w:highlight w:val="white"/>
        </w:rPr>
        <w:t xml:space="preserve">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 г. N 44-ФЗ.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1019"/>
        <w:ind w:left="0" w:right="0" w:firstLine="709"/>
        <w:jc w:val="both"/>
        <w:spacing w:after="0" w:line="214" w:lineRule="auto"/>
        <w:rPr>
          <w:rFonts w:ascii="Tinos" w:hAnsi="Tinos" w:cs="Tinos"/>
          <w:sz w:val="26"/>
          <w:szCs w:val="26"/>
          <w:highlight w:val="white"/>
          <w:shd w:val="clear" w:color="auto" w:fill="ffffff"/>
        </w:rPr>
      </w:pPr>
      <w:r>
        <w:rPr>
          <w:rFonts w:ascii="Tinos" w:hAnsi="Tinos" w:cs="Tinos"/>
          <w:sz w:val="26"/>
          <w:szCs w:val="26"/>
          <w:highlight w:val="white"/>
          <w:shd w:val="clear" w:color="auto" w:fill="ffffff"/>
        </w:rPr>
      </w:r>
      <w:r>
        <w:rPr>
          <w:rFonts w:ascii="Tinos" w:hAnsi="Tinos" w:cs="Tinos"/>
          <w:sz w:val="26"/>
          <w:szCs w:val="26"/>
          <w:highlight w:val="white"/>
          <w:shd w:val="clear" w:color="auto" w:fill="ffffff"/>
        </w:rPr>
        <w:t xml:space="preserve">3</w:t>
      </w:r>
      <w:r>
        <w:rPr>
          <w:rFonts w:ascii="Tinos" w:hAnsi="Tinos" w:cs="Tinos"/>
          <w:sz w:val="26"/>
          <w:szCs w:val="26"/>
          <w:highlight w:val="white"/>
          <w:shd w:val="clear" w:color="auto" w:fill="ffffff"/>
        </w:rPr>
        <w:t xml:space="preserve">.5. Приемка поставленного Товара осуществляется без присутствия Поставщика и оформляется Актом приемки товаров, работ, услуг (ф.0510452). Подписание Акта приемки товаров, работ, услуг (ф.0510452) Поставщиком и направление указанного акта в адрес Поставщика</w:t>
      </w:r>
      <w:r>
        <w:rPr>
          <w:rFonts w:ascii="Tinos" w:hAnsi="Tinos" w:cs="Tinos"/>
          <w:sz w:val="26"/>
          <w:szCs w:val="26"/>
          <w:highlight w:val="white"/>
          <w:shd w:val="clear" w:color="auto" w:fill="ffffff"/>
        </w:rPr>
        <w:t xml:space="preserve"> не требуется.</w:t>
      </w:r>
      <w:r>
        <w:rPr>
          <w:rFonts w:ascii="Tinos" w:hAnsi="Tinos" w:cs="Tinos"/>
          <w:sz w:val="26"/>
          <w:szCs w:val="26"/>
          <w:highlight w:val="white"/>
          <w:shd w:val="clear" w:color="auto" w:fill="ffffff"/>
        </w:rPr>
      </w:r>
      <w:r>
        <w:rPr>
          <w:rFonts w:ascii="Tinos" w:hAnsi="Tinos" w:cs="Tinos"/>
          <w:sz w:val="26"/>
          <w:szCs w:val="26"/>
          <w:highlight w:val="white"/>
          <w:shd w:val="clear" w:color="auto" w:fill="ffffff"/>
        </w:rPr>
      </w:r>
    </w:p>
    <w:p>
      <w:pPr>
        <w:ind w:left="0" w:right="0" w:firstLine="709"/>
        <w:jc w:val="both"/>
        <w:spacing w:after="0" w:line="214" w:lineRule="auto"/>
        <w:rPr>
          <w:rFonts w:ascii="Tinos" w:hAnsi="Tinos" w:cs="Tinos"/>
          <w:sz w:val="26"/>
          <w:szCs w:val="26"/>
          <w:highlight w:val="white"/>
        </w:rPr>
      </w:pPr>
      <w:r>
        <w:rPr>
          <w:rFonts w:ascii="Tinos" w:hAnsi="Tinos" w:cs="Tinos"/>
          <w:sz w:val="26"/>
          <w:szCs w:val="26"/>
          <w:highlight w:val="white"/>
          <w:shd w:val="clear" w:color="auto" w:fill="ffffff"/>
        </w:rPr>
      </w:r>
      <w:r>
        <w:rPr>
          <w:rFonts w:ascii="Tinos" w:hAnsi="Tinos" w:cs="Tinos"/>
          <w:sz w:val="26"/>
          <w:szCs w:val="26"/>
          <w:highlight w:val="white"/>
          <w:shd w:val="clear" w:color="auto" w:fill="ffffff"/>
        </w:rPr>
        <w:t xml:space="preserve">3.6. При отсутствии у Заказчика претензий по количеству и качеству поставленного Товара Заказчик в течение 10 (десяти) рабочих дней с момента доставки Товара Поставщиком подписывает предоставленный Поставщиком документ о приемке.</w:t>
      </w:r>
      <w:r>
        <w:rPr>
          <w:rFonts w:ascii="Tinos" w:hAnsi="Tinos" w:cs="Tinos"/>
          <w:sz w:val="26"/>
          <w:szCs w:val="26"/>
          <w:highlight w:val="white"/>
        </w:rPr>
      </w:r>
      <w:r>
        <w:rPr>
          <w:rFonts w:ascii="Tinos" w:hAnsi="Tinos" w:cs="Tinos"/>
          <w:sz w:val="26"/>
          <w:szCs w:val="26"/>
          <w:highlight w:val="white"/>
        </w:rPr>
      </w:r>
    </w:p>
    <w:p>
      <w:pPr>
        <w:ind w:firstLine="709"/>
        <w:jc w:val="both"/>
        <w:spacing w:line="238" w:lineRule="auto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3.7.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</w:t>
      </w:r>
      <w:r>
        <w:rPr>
          <w:sz w:val="26"/>
          <w:szCs w:val="26"/>
          <w:highlight w:val="white"/>
        </w:rPr>
        <w:t xml:space="preserve">целостности упаковки, повреждение соде</w:t>
      </w:r>
      <w:r>
        <w:rPr>
          <w:sz w:val="26"/>
          <w:szCs w:val="26"/>
          <w:highlight w:val="white"/>
        </w:rPr>
        <w:t xml:space="preserve">ржимого и т.д.), препятствующих его приемке, Заказчик в срок, установленный в пункте 3.6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3.8. Во всех случаях, влекущих возврат Товара Поставщику, Заказчик обязан обеспечить сохранность этого Товара до моме</w:t>
      </w:r>
      <w:r>
        <w:rPr>
          <w:sz w:val="26"/>
          <w:szCs w:val="26"/>
          <w:highlight w:val="white"/>
        </w:rPr>
        <w:t xml:space="preserve">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3.9.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3.6 Контракта.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3.10.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1032"/>
        <w:numPr>
          <w:ilvl w:val="0"/>
          <w:numId w:val="47"/>
        </w:numPr>
        <w:jc w:val="both"/>
        <w:widowControl w:val="off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 xml:space="preserve">Взаимодействие Сторон</w:t>
      </w:r>
      <w:r>
        <w:rPr>
          <w:b/>
          <w:sz w:val="26"/>
          <w:szCs w:val="26"/>
          <w:highlight w:val="white"/>
        </w:rPr>
      </w:r>
      <w:r>
        <w:rPr>
          <w:b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4.1. Поставщик обязан: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bCs/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4.1.1. </w:t>
      </w:r>
      <w:r>
        <w:rPr>
          <w:bCs/>
          <w:sz w:val="26"/>
          <w:szCs w:val="26"/>
          <w:highlight w:val="white"/>
        </w:rPr>
        <w:t xml:space="preserve">поставить Товар в порядке, количестве, в срок и на условиях, предусмотренных Контрактом и Спецификацией;</w:t>
      </w:r>
      <w:r>
        <w:rPr>
          <w:bCs/>
          <w:sz w:val="26"/>
          <w:szCs w:val="26"/>
          <w:highlight w:val="white"/>
        </w:rPr>
      </w:r>
      <w:r>
        <w:rPr>
          <w:bCs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4.1.2. обеспечить соответствие поставляемог</w:t>
      </w:r>
      <w:r>
        <w:rPr>
          <w:sz w:val="26"/>
          <w:szCs w:val="26"/>
          <w:highlight w:val="white"/>
        </w:rPr>
        <w:t xml:space="preserve">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4.1.4. в случае принятия решения об одностороннем отказе от исполнения настоящего Контракта передать или направить решение Заказчику в соответствии с частью 20.2 статьи 95 Федерального закона от 05 апреля 2013 № 44-ФЗ;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4.1.5. </w:t>
      </w:r>
      <w:r>
        <w:rPr>
          <w:sz w:val="26"/>
          <w:szCs w:val="26"/>
          <w:highlight w:val="white"/>
        </w:rPr>
        <w:t xml:space="preserve"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4.2. Поставщик вправе: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4.2.1. требовать от Заказчика произвести приемку Товара в порядке и в сроки, предусмотренные Контрактом;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4.2.3. принять решение об одностороннем отказе от исполнения Контракта в соответствии с гражданским законодательством;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4.2.4. требовать возмещения убытков, уплаты неустоек (штрафов, пеней) в соответствии с разделом </w:t>
      </w:r>
      <w:r>
        <w:rPr>
          <w:sz w:val="26"/>
          <w:szCs w:val="26"/>
          <w:highlight w:val="white"/>
        </w:rPr>
        <w:t xml:space="preserve">6</w:t>
      </w:r>
      <w:r>
        <w:rPr>
          <w:sz w:val="26"/>
          <w:szCs w:val="26"/>
          <w:highlight w:val="white"/>
        </w:rPr>
        <w:t xml:space="preserve"> Контракта;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</w:t>
      </w:r>
      <w:r>
        <w:rPr>
          <w:sz w:val="26"/>
          <w:szCs w:val="26"/>
          <w:highlight w:val="white"/>
        </w:rPr>
        <w:t xml:space="preserve">м и соответствующими техническими и функциональными характеристиками, указанными в Контракте </w:t>
      </w:r>
      <w:r>
        <w:rPr>
          <w:sz w:val="26"/>
          <w:szCs w:val="26"/>
          <w:highlight w:val="white"/>
        </w:rPr>
        <w:t xml:space="preserve">(за исключением </w:t>
      </w:r>
      <w:r>
        <w:rPr>
          <w:sz w:val="26"/>
          <w:szCs w:val="26"/>
          <w:highlight w:val="white"/>
        </w:rPr>
        <w:t xml:space="preserve">случаев, предусмотренных подпунктом "в" пункта 1, подпунктом "б" пункта 2, подпунктом "в" пункта 3 части 4 статьи 14 Федерального закона от 5 апреля 2013 г.  N 44-ФЗ).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4.3. Заказчик обязуется: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4.3.2. в случае принятия решения об одностороннем отказе от исполнения настоящего Контракта передать или направить решение Поставщику в соответствии с частью 12.2 статьи 95 Федерального закона от 05 апреля 2013 № 44-ФЗ;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4.3.3. требовать уплаты неустоек (штрафов, пеней) в соответствии с разделом </w:t>
      </w:r>
      <w:r>
        <w:rPr>
          <w:sz w:val="26"/>
          <w:szCs w:val="26"/>
          <w:highlight w:val="white"/>
        </w:rPr>
        <w:t xml:space="preserve">6</w:t>
      </w:r>
      <w:r>
        <w:rPr>
          <w:sz w:val="26"/>
          <w:szCs w:val="26"/>
          <w:highlight w:val="white"/>
        </w:rPr>
        <w:t xml:space="preserve"> Контракта;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4.3.4. провести экспертизу поставленного Товара для проверки его соответствия условиям Контракта в соответствии с Федеральным законом от 5 апреля 2013 г. N 44-ФЗ.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4.4. Заказчик вправе: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4.4.1. требовать от Поставщика надлежащего исполнения обязательств по Контракту;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4.4.4. требовать возмещения убытков в соответствии с разделом </w:t>
      </w:r>
      <w:r>
        <w:rPr>
          <w:sz w:val="26"/>
          <w:szCs w:val="26"/>
          <w:highlight w:val="white"/>
        </w:rPr>
        <w:t xml:space="preserve">6</w:t>
      </w:r>
      <w:r>
        <w:rPr>
          <w:sz w:val="26"/>
          <w:szCs w:val="26"/>
          <w:highlight w:val="white"/>
        </w:rPr>
        <w:t xml:space="preserve"> Контракта, причиненных по вине Поставщика;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от 5 апреля 2013 г. N 44-ФЗ;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4.4.6. отказаться от приемки и оплаты Товара, не соответствующего условиям Контракта;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1032"/>
        <w:contextualSpacing w:val="0"/>
        <w:ind w:left="0" w:right="142"/>
        <w:jc w:val="center"/>
        <w:rPr>
          <w:b/>
          <w:color w:val="000000" w:themeColor="text1"/>
          <w:sz w:val="26"/>
          <w:szCs w:val="28"/>
          <w:highlight w:val="white"/>
        </w:rPr>
      </w:pPr>
      <w:r>
        <w:rPr>
          <w:b/>
          <w:color w:val="000000" w:themeColor="text1"/>
          <w:sz w:val="26"/>
          <w:szCs w:val="28"/>
          <w:highlight w:val="white"/>
        </w:rPr>
        <w:t xml:space="preserve">5. </w:t>
      </w:r>
      <w:r>
        <w:rPr>
          <w:b/>
          <w:color w:val="000000" w:themeColor="text1"/>
          <w:sz w:val="26"/>
          <w:szCs w:val="28"/>
          <w:highlight w:val="white"/>
        </w:rPr>
        <w:t xml:space="preserve">Качество Товара</w:t>
      </w:r>
      <w:r>
        <w:rPr>
          <w:b/>
          <w:color w:val="000000" w:themeColor="text1"/>
          <w:sz w:val="26"/>
          <w:szCs w:val="28"/>
          <w:highlight w:val="white"/>
        </w:rPr>
      </w:r>
      <w:r>
        <w:rPr>
          <w:b/>
          <w:color w:val="000000" w:themeColor="text1"/>
          <w:sz w:val="26"/>
          <w:szCs w:val="28"/>
          <w:highlight w:val="white"/>
        </w:rPr>
      </w:r>
    </w:p>
    <w:p>
      <w:pPr>
        <w:ind w:right="142" w:firstLine="709"/>
        <w:jc w:val="both"/>
        <w:tabs>
          <w:tab w:val="left" w:pos="0" w:leader="none"/>
        </w:tabs>
        <w:rPr>
          <w:color w:val="000000" w:themeColor="text1"/>
          <w:sz w:val="26"/>
          <w:szCs w:val="28"/>
          <w:highlight w:val="white"/>
        </w:rPr>
      </w:pPr>
      <w:r>
        <w:rPr>
          <w:color w:val="000000" w:themeColor="text1"/>
          <w:sz w:val="26"/>
          <w:szCs w:val="28"/>
          <w:highlight w:val="white"/>
        </w:rPr>
        <w:t xml:space="preserve">5.1. Поставщик гарантирует, что поставляемый Товар соответствует требованиям, установленным Контрактом.</w:t>
      </w:r>
      <w:r>
        <w:rPr>
          <w:color w:val="000000" w:themeColor="text1"/>
          <w:sz w:val="26"/>
          <w:szCs w:val="28"/>
          <w:highlight w:val="white"/>
        </w:rPr>
      </w:r>
      <w:r>
        <w:rPr>
          <w:color w:val="000000" w:themeColor="text1"/>
          <w:sz w:val="26"/>
          <w:szCs w:val="28"/>
          <w:highlight w:val="white"/>
        </w:rPr>
      </w:r>
    </w:p>
    <w:p>
      <w:pPr>
        <w:ind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  <w:r>
        <w:rPr>
          <w:color w:val="000000" w:themeColor="text1"/>
          <w:sz w:val="26"/>
          <w:szCs w:val="28"/>
          <w:highlight w:val="white"/>
        </w:rPr>
      </w:r>
      <w:r>
        <w:rPr>
          <w:color w:val="000000" w:themeColor="text1"/>
          <w:sz w:val="26"/>
          <w:szCs w:val="28"/>
          <w:highlight w:val="white"/>
        </w:rPr>
      </w:r>
    </w:p>
    <w:p>
      <w:pPr>
        <w:ind w:right="140" w:firstLine="720"/>
        <w:jc w:val="both"/>
        <w:tabs>
          <w:tab w:val="left" w:pos="1260" w:leader="none"/>
        </w:tabs>
        <w:rPr>
          <w:color w:val="000000" w:themeColor="text1"/>
          <w:sz w:val="26"/>
          <w:szCs w:val="28"/>
          <w:highlight w:val="white"/>
        </w:rPr>
      </w:pPr>
      <w:r>
        <w:rPr>
          <w:color w:val="000000" w:themeColor="text1"/>
          <w:sz w:val="26"/>
          <w:szCs w:val="28"/>
          <w:highlight w:val="white"/>
        </w:rPr>
        <w:t xml:space="preserve">5.3. Товар должен быть упакован и замаркирован в соответствии с действующими стандартами. </w:t>
      </w:r>
      <w:r>
        <w:rPr>
          <w:color w:val="000000" w:themeColor="text1"/>
          <w:sz w:val="26"/>
          <w:szCs w:val="28"/>
          <w:highlight w:val="white"/>
        </w:rPr>
      </w:r>
      <w:r>
        <w:rPr>
          <w:color w:val="000000" w:themeColor="text1"/>
          <w:sz w:val="26"/>
          <w:szCs w:val="28"/>
          <w:highlight w:val="white"/>
        </w:rPr>
      </w:r>
    </w:p>
    <w:p>
      <w:pPr>
        <w:ind w:right="140" w:firstLine="720"/>
        <w:jc w:val="both"/>
        <w:tabs>
          <w:tab w:val="left" w:pos="1260" w:leader="none"/>
        </w:tabs>
        <w:rPr>
          <w:sz w:val="26"/>
          <w:szCs w:val="28"/>
          <w:highlight w:val="white"/>
        </w:rPr>
      </w:pPr>
      <w:r>
        <w:rPr>
          <w:color w:val="000000" w:themeColor="text1"/>
          <w:sz w:val="26"/>
          <w:szCs w:val="28"/>
          <w:highlight w:val="white"/>
        </w:rPr>
        <w:t xml:space="preserve">Поставщик поставляет Товар в упаковке</w:t>
      </w:r>
      <w:r>
        <w:rPr>
          <w:highlight w:val="white"/>
        </w:rPr>
        <w:t xml:space="preserve"> </w:t>
      </w:r>
      <w:r>
        <w:rPr>
          <w:color w:val="000000" w:themeColor="text1"/>
          <w:sz w:val="26"/>
          <w:szCs w:val="28"/>
          <w:highlight w:val="white"/>
        </w:rPr>
        <w:t xml:space="preserve">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</w:t>
      </w:r>
      <w:r>
        <w:rPr>
          <w:sz w:val="26"/>
          <w:szCs w:val="28"/>
          <w:highlight w:val="white"/>
        </w:rPr>
        <w:t xml:space="preserve">перевозке с учетом возможных перегрузок в пути и длительного хранения. </w:t>
      </w:r>
      <w:r>
        <w:rPr>
          <w:sz w:val="26"/>
          <w:szCs w:val="28"/>
          <w:highlight w:val="white"/>
        </w:rPr>
      </w:r>
      <w:r>
        <w:rPr>
          <w:sz w:val="26"/>
          <w:szCs w:val="28"/>
          <w:highlight w:val="white"/>
        </w:rPr>
      </w:r>
    </w:p>
    <w:p>
      <w:pPr>
        <w:ind w:firstLine="709"/>
        <w:jc w:val="both"/>
        <w:widowControl w:val="off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5</w:t>
      </w:r>
      <w:r>
        <w:rPr>
          <w:color w:val="000000"/>
          <w:sz w:val="26"/>
          <w:szCs w:val="28"/>
          <w:highlight w:val="white"/>
        </w:rPr>
        <w:t xml:space="preserve">.4. Требования к гарантийному сроку Товара и (или) объему предоставления гаран</w:t>
      </w:r>
      <w:r>
        <w:rPr>
          <w:color w:val="000000"/>
          <w:sz w:val="26"/>
          <w:szCs w:val="28"/>
          <w:highlight w:val="white"/>
        </w:rPr>
        <w:t xml:space="preserve">тий его качества, к гарантийному обслуживанию Товара, к расходам на обслуживание Товара в течение гарантийного срока указаны в Спецификации.</w:t>
      </w:r>
      <w:bookmarkStart w:id="0" w:name="P1547"/>
      <w:r>
        <w:rPr>
          <w:highlight w:val="white"/>
        </w:rPr>
      </w:r>
      <w:bookmarkEnd w:id="0"/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both"/>
        <w:widowControl w:val="off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pStyle w:val="1032"/>
        <w:numPr>
          <w:ilvl w:val="0"/>
          <w:numId w:val="48"/>
        </w:numPr>
        <w:contextualSpacing w:val="0"/>
        <w:jc w:val="center"/>
        <w:rPr>
          <w:b/>
          <w:color w:val="000000" w:themeColor="text1"/>
          <w:sz w:val="26"/>
          <w:szCs w:val="26"/>
          <w:highlight w:val="white"/>
        </w:rPr>
      </w:pPr>
      <w:r>
        <w:rPr>
          <w:b/>
          <w:color w:val="000000" w:themeColor="text1"/>
          <w:sz w:val="26"/>
          <w:szCs w:val="26"/>
          <w:highlight w:val="white"/>
        </w:rPr>
        <w:t xml:space="preserve">Ответственность Сторон</w:t>
      </w: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6.1.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8"/>
          <w:highlight w:val="white"/>
        </w:rPr>
      </w:pPr>
      <w:r>
        <w:rPr>
          <w:sz w:val="26"/>
          <w:szCs w:val="28"/>
          <w:highlight w:val="white"/>
        </w:rPr>
        <w:t xml:space="preserve">6.2.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 </w:t>
      </w:r>
      <w:r>
        <w:rPr>
          <w:sz w:val="26"/>
          <w:szCs w:val="28"/>
          <w:highlight w:val="white"/>
        </w:rPr>
      </w:r>
      <w:r>
        <w:rPr>
          <w:sz w:val="26"/>
          <w:szCs w:val="28"/>
          <w:highlight w:val="white"/>
        </w:rPr>
      </w:r>
    </w:p>
    <w:p>
      <w:pPr>
        <w:ind w:firstLine="709"/>
        <w:jc w:val="both"/>
        <w:rPr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6.3. </w:t>
      </w:r>
      <w:r>
        <w:rPr>
          <w:sz w:val="26"/>
          <w:szCs w:val="28"/>
          <w:highlight w:val="white"/>
        </w:rPr>
        <w:t xml:space="preserve">В случае просрочки исполнения </w:t>
      </w:r>
      <w:r>
        <w:rPr>
          <w:b/>
          <w:sz w:val="26"/>
          <w:szCs w:val="28"/>
          <w:highlight w:val="white"/>
        </w:rPr>
        <w:t xml:space="preserve">Поставщиком</w:t>
      </w:r>
      <w:r>
        <w:rPr>
          <w:sz w:val="26"/>
          <w:szCs w:val="28"/>
          <w:highlight w:val="white"/>
        </w:rPr>
        <w:t xml:space="preserve"> обязательств (в том числе гарантийного обязательства), </w:t>
      </w:r>
      <w:r>
        <w:rPr>
          <w:sz w:val="26"/>
          <w:szCs w:val="28"/>
          <w:highlight w:val="white"/>
        </w:rPr>
        <w:t xml:space="preserve">предусмотренных Контрактом, Поставщик уплачивает Заказчику пени. Пеня начисляется за каждый день просрочки исполнения Поставщиком обя</w:t>
      </w:r>
      <w:r>
        <w:rPr>
          <w:sz w:val="26"/>
          <w:szCs w:val="28"/>
          <w:highlight w:val="white"/>
        </w:rPr>
        <w:t xml:space="preserve">зательства, предусмотренного Контрактом, начиная со дня, следующего после дня истечения, установленного Контрактом срока исполнения обязательства. Размер пени составляет одна трехсотая действующей на дату уплаты пени ключевой ставки Центрального банка Росс</w:t>
      </w:r>
      <w:r>
        <w:rPr>
          <w:sz w:val="26"/>
          <w:szCs w:val="28"/>
          <w:highlight w:val="white"/>
        </w:rPr>
        <w:t xml:space="preserve">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Поставщиком.</w:t>
      </w:r>
      <w:r>
        <w:rPr>
          <w:sz w:val="26"/>
          <w:szCs w:val="28"/>
          <w:highlight w:val="white"/>
        </w:rPr>
      </w:r>
      <w:r>
        <w:rPr>
          <w:sz w:val="26"/>
          <w:szCs w:val="28"/>
          <w:highlight w:val="white"/>
        </w:rPr>
      </w:r>
    </w:p>
    <w:p>
      <w:pPr>
        <w:ind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6.4. За каждый факт неисполне</w:t>
      </w:r>
      <w:r>
        <w:rPr>
          <w:color w:val="000000"/>
          <w:sz w:val="26"/>
          <w:szCs w:val="28"/>
          <w:highlight w:val="white"/>
        </w:rPr>
        <w:t xml:space="preserve">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Поставщик уплачивает Заказчику штраф. 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both"/>
        <w:rPr>
          <w:sz w:val="26"/>
          <w:szCs w:val="28"/>
          <w:highlight w:val="white"/>
        </w:rPr>
      </w:pPr>
      <w:r>
        <w:rPr>
          <w:sz w:val="26"/>
          <w:szCs w:val="28"/>
          <w:highlight w:val="white"/>
        </w:rPr>
        <w:t xml:space="preserve">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</w:t>
      </w:r>
      <w:r>
        <w:rPr>
          <w:sz w:val="26"/>
          <w:szCs w:val="28"/>
          <w:highlight w:val="white"/>
        </w:rPr>
        <w:t xml:space="preserve">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№ 1042 (далее </w:t>
      </w:r>
      <w:r>
        <w:rPr>
          <w:sz w:val="26"/>
          <w:szCs w:val="28"/>
          <w:highlight w:val="white"/>
        </w:rPr>
        <w:t xml:space="preserve">– Правила), и составляет 10% цены Контракта (этапа).</w:t>
      </w:r>
      <w:r>
        <w:rPr>
          <w:sz w:val="26"/>
          <w:szCs w:val="28"/>
          <w:highlight w:val="white"/>
        </w:rPr>
      </w:r>
      <w:r>
        <w:rPr>
          <w:sz w:val="26"/>
          <w:szCs w:val="28"/>
          <w:highlight w:val="white"/>
        </w:rPr>
      </w:r>
    </w:p>
    <w:p>
      <w:pPr>
        <w:ind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6.5. За каждый факт неисполнения или ненадлежащего исполнения Поставщиком</w:t>
      </w:r>
      <w:r>
        <w:rPr>
          <w:color w:val="000000"/>
          <w:sz w:val="26"/>
          <w:szCs w:val="28"/>
          <w:highlight w:val="white"/>
        </w:rPr>
        <w:t xml:space="preserve"> обязательства, предусмотренного Контрактом, которое не имеет стоимостного выражения, Поставщик уплачивает Заказчику штраф. Размер штрафа определяется в соответствии с Правилами и составляет: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both"/>
        <w:rPr>
          <w:color w:val="000000"/>
          <w:sz w:val="26"/>
          <w:szCs w:val="28"/>
          <w:highlight w:val="white"/>
        </w:rPr>
      </w:pPr>
      <w:r>
        <w:rPr>
          <w:highlight w:val="white"/>
        </w:rPr>
      </w:r>
      <w:bookmarkStart w:id="1" w:name="P1558"/>
      <w:r>
        <w:rPr>
          <w:highlight w:val="white"/>
        </w:rPr>
      </w:r>
      <w:bookmarkEnd w:id="1"/>
      <w:r>
        <w:rPr>
          <w:color w:val="000000"/>
          <w:sz w:val="26"/>
          <w:szCs w:val="28"/>
          <w:highlight w:val="white"/>
        </w:rPr>
        <w:t xml:space="preserve">а) 1000 рублей, если цена контракта не превышает 3 млн. рублей;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б) 5000 рублей, если цена контракта составляет от 3 млн. рублей до 50 млн. рублей (</w:t>
      </w:r>
      <w:r>
        <w:rPr>
          <w:color w:val="000000"/>
          <w:sz w:val="26"/>
          <w:szCs w:val="28"/>
          <w:highlight w:val="white"/>
        </w:rPr>
        <w:t xml:space="preserve">включительно).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6.6. В случае просрочки исполнения </w:t>
      </w:r>
      <w:r>
        <w:rPr>
          <w:b/>
          <w:color w:val="000000"/>
          <w:sz w:val="26"/>
          <w:szCs w:val="28"/>
          <w:highlight w:val="white"/>
        </w:rPr>
        <w:t xml:space="preserve">Заказчиком</w:t>
      </w:r>
      <w:r>
        <w:rPr>
          <w:color w:val="000000"/>
          <w:sz w:val="26"/>
          <w:szCs w:val="28"/>
          <w:highlight w:val="white"/>
        </w:rPr>
        <w:t xml:space="preserve"> обязательств, предусмотренных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</w:t>
      </w:r>
      <w:r>
        <w:rPr>
          <w:color w:val="000000"/>
          <w:sz w:val="26"/>
          <w:szCs w:val="28"/>
          <w:highlight w:val="white"/>
        </w:rPr>
        <w:t xml:space="preserve">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both"/>
        <w:rPr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6.7. За каждый факт неисполнения </w:t>
      </w:r>
      <w:r>
        <w:rPr>
          <w:sz w:val="26"/>
          <w:szCs w:val="28"/>
          <w:highlight w:val="white"/>
        </w:rPr>
        <w:t xml:space="preserve">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уплату штрафа. Размер штрафа определяется в соответствии с Правилами и составляет:</w:t>
      </w:r>
      <w:r>
        <w:rPr>
          <w:sz w:val="26"/>
          <w:szCs w:val="28"/>
          <w:highlight w:val="white"/>
        </w:rPr>
      </w:r>
      <w:r>
        <w:rPr>
          <w:sz w:val="26"/>
          <w:szCs w:val="28"/>
          <w:highlight w:val="white"/>
        </w:rPr>
      </w:r>
    </w:p>
    <w:p>
      <w:pPr>
        <w:ind w:firstLine="539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а) 1000 рублей, если цена контракта не превышает 3 млн. рублей (включительно);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539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б) 5000 рублей, если цена контракта составляет от 3 млн. рублей до 50 млн. рублей (включительно).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rPr>
          <w:sz w:val="26"/>
          <w:szCs w:val="28"/>
          <w:highlight w:val="white"/>
        </w:rPr>
      </w:pPr>
      <w:r>
        <w:rPr>
          <w:sz w:val="26"/>
          <w:szCs w:val="28"/>
          <w:highlight w:val="white"/>
        </w:rPr>
        <w:t xml:space="preserve">6.8. Применение неустойки (штрафа, пени) не освобождает Стороны от исполнения обязательств по Контракту.</w:t>
      </w:r>
      <w:r>
        <w:rPr>
          <w:sz w:val="26"/>
          <w:szCs w:val="28"/>
          <w:highlight w:val="white"/>
        </w:rPr>
      </w:r>
      <w:r>
        <w:rPr>
          <w:sz w:val="26"/>
          <w:szCs w:val="28"/>
          <w:highlight w:val="white"/>
        </w:rPr>
      </w:r>
    </w:p>
    <w:p>
      <w:pPr>
        <w:ind w:firstLine="709"/>
        <w:jc w:val="both"/>
        <w:rPr>
          <w:color w:val="000000"/>
          <w:sz w:val="26"/>
          <w:szCs w:val="28"/>
          <w:highlight w:val="white"/>
        </w:rPr>
      </w:pPr>
      <w:r>
        <w:rPr>
          <w:sz w:val="26"/>
          <w:szCs w:val="28"/>
          <w:highlight w:val="white"/>
        </w:rPr>
        <w:t xml:space="preserve">6.9. Общая сумма начисленных штрафов за неисполнение или </w:t>
      </w:r>
      <w:r>
        <w:rPr>
          <w:color w:val="000000"/>
          <w:sz w:val="26"/>
          <w:szCs w:val="28"/>
          <w:highlight w:val="white"/>
        </w:rPr>
        <w:t xml:space="preserve">ненадлежащее исполнение Поставщиком обязательств, предусмотренных Контрактом, не может превышать цену Контракта.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6.10.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6.11. В случае расторжения Контракта в связи с односторонним отказом </w:t>
      </w:r>
      <w:r>
        <w:rPr>
          <w:color w:val="000000"/>
          <w:sz w:val="26"/>
          <w:szCs w:val="28"/>
          <w:highlight w:val="white"/>
        </w:rPr>
        <w:t xml:space="preserve">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both"/>
        <w:widowControl w:val="off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</w:p>
    <w:p>
      <w:pPr>
        <w:pStyle w:val="1032"/>
        <w:numPr>
          <w:ilvl w:val="0"/>
          <w:numId w:val="48"/>
        </w:numPr>
        <w:contextualSpacing w:val="0"/>
        <w:ind w:left="0" w:hanging="12"/>
        <w:jc w:val="center"/>
        <w:rPr>
          <w:b/>
          <w:color w:val="000000" w:themeColor="text1"/>
          <w:sz w:val="26"/>
          <w:szCs w:val="28"/>
          <w:highlight w:val="white"/>
        </w:rPr>
      </w:pPr>
      <w:r>
        <w:rPr>
          <w:b/>
          <w:color w:val="000000" w:themeColor="text1"/>
          <w:sz w:val="26"/>
          <w:szCs w:val="28"/>
          <w:highlight w:val="white"/>
        </w:rPr>
        <w:t xml:space="preserve">Обеспечение исполнения Контракта</w:t>
      </w:r>
      <w:r>
        <w:rPr>
          <w:b/>
          <w:color w:val="000000" w:themeColor="text1"/>
          <w:sz w:val="26"/>
          <w:szCs w:val="28"/>
          <w:highlight w:val="white"/>
        </w:rPr>
      </w:r>
      <w:r>
        <w:rPr>
          <w:b/>
          <w:color w:val="000000" w:themeColor="text1"/>
          <w:sz w:val="26"/>
          <w:szCs w:val="28"/>
          <w:highlight w:val="white"/>
        </w:rPr>
      </w:r>
    </w:p>
    <w:p>
      <w:pPr>
        <w:ind w:right="140" w:firstLine="709"/>
        <w:rPr>
          <w:color w:val="000000"/>
          <w:sz w:val="26"/>
          <w:szCs w:val="26"/>
          <w:highlight w:val="white"/>
        </w:rPr>
      </w:pPr>
      <w:r>
        <w:rPr>
          <w:highlight w:val="white"/>
        </w:rPr>
      </w:r>
      <w:bookmarkStart w:id="2" w:name="P1570"/>
      <w:r>
        <w:rPr>
          <w:highlight w:val="white"/>
        </w:rPr>
      </w:r>
      <w:bookmarkEnd w:id="2"/>
      <w:r>
        <w:rPr>
          <w:color w:val="000000"/>
          <w:sz w:val="26"/>
          <w:szCs w:val="26"/>
          <w:highlight w:val="white"/>
        </w:rPr>
        <w:t xml:space="preserve">7.1. Обеспечение исполнения Контракта не устанавливается.</w:t>
      </w: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left="360"/>
        <w:jc w:val="center"/>
        <w:rPr>
          <w:rFonts w:ascii="Calibri" w:hAnsi="Calibri" w:cs="Calibri"/>
          <w:sz w:val="26"/>
          <w:szCs w:val="20"/>
          <w:highlight w:val="white"/>
        </w:rPr>
      </w:pPr>
      <w:r>
        <w:rPr>
          <w:b/>
          <w:color w:val="000000" w:themeColor="text1"/>
          <w:sz w:val="26"/>
          <w:szCs w:val="28"/>
          <w:highlight w:val="white"/>
        </w:rPr>
        <w:t xml:space="preserve">8. Обеспечение гарантийных обязательств</w:t>
      </w:r>
      <w:r>
        <w:rPr>
          <w:rFonts w:ascii="Calibri" w:hAnsi="Calibri" w:cs="Calibri"/>
          <w:sz w:val="26"/>
          <w:szCs w:val="20"/>
          <w:highlight w:val="white"/>
        </w:rPr>
      </w:r>
      <w:r>
        <w:rPr>
          <w:rFonts w:ascii="Calibri" w:hAnsi="Calibri" w:cs="Calibri"/>
          <w:sz w:val="26"/>
          <w:szCs w:val="20"/>
          <w:highlight w:val="white"/>
        </w:rPr>
      </w:r>
    </w:p>
    <w:p>
      <w:pPr>
        <w:ind w:left="567" w:right="140" w:firstLine="142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8.1. Обеспечение гарантийных обязательств не устанавливается.</w:t>
      </w: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</w:p>
    <w:p>
      <w:pPr>
        <w:pStyle w:val="1032"/>
        <w:numPr>
          <w:ilvl w:val="0"/>
          <w:numId w:val="49"/>
        </w:numPr>
        <w:contextualSpacing w:val="0"/>
        <w:jc w:val="center"/>
        <w:rPr>
          <w:b/>
          <w:color w:val="000000" w:themeColor="text1"/>
          <w:sz w:val="26"/>
          <w:szCs w:val="26"/>
          <w:highlight w:val="white"/>
        </w:rPr>
      </w:pPr>
      <w:r>
        <w:rPr>
          <w:b/>
          <w:color w:val="000000" w:themeColor="text1"/>
          <w:sz w:val="26"/>
          <w:szCs w:val="26"/>
          <w:highlight w:val="white"/>
        </w:rPr>
        <w:t xml:space="preserve">Обстоятельства непреодолимой силы</w:t>
      </w: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9.1. Стороны не несут ответственность за полное или частичное</w:t>
      </w:r>
      <w:r>
        <w:rPr>
          <w:sz w:val="26"/>
          <w:szCs w:val="26"/>
          <w:highlight w:val="white"/>
        </w:rPr>
        <w:t xml:space="preserve"> </w:t>
      </w:r>
      <w:r>
        <w:rPr>
          <w:color w:val="000000"/>
          <w:sz w:val="26"/>
          <w:szCs w:val="26"/>
          <w:highlight w:val="white"/>
        </w:rPr>
        <w:t xml:space="preserve">неисполнение предусмотренных Контрактом</w:t>
      </w:r>
      <w:r>
        <w:rPr>
          <w:sz w:val="26"/>
          <w:szCs w:val="26"/>
          <w:highlight w:val="white"/>
        </w:rPr>
        <w:t xml:space="preserve"> </w:t>
      </w:r>
      <w:r>
        <w:rPr>
          <w:color w:val="000000"/>
          <w:sz w:val="26"/>
          <w:szCs w:val="26"/>
          <w:highlight w:val="white"/>
        </w:rPr>
        <w:t xml:space="preserve">обязательств, если такое неисполнение связано с обстоятельствами</w:t>
      </w:r>
      <w:r>
        <w:rPr>
          <w:sz w:val="26"/>
          <w:szCs w:val="26"/>
          <w:highlight w:val="white"/>
        </w:rPr>
        <w:t xml:space="preserve"> </w:t>
      </w:r>
      <w:r>
        <w:rPr>
          <w:color w:val="000000"/>
          <w:sz w:val="26"/>
          <w:szCs w:val="26"/>
          <w:highlight w:val="white"/>
        </w:rPr>
        <w:t xml:space="preserve">непреодолимой силы.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9.2.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10 (десяти) дней</w:t>
      </w:r>
      <w:r>
        <w:rPr>
          <w:sz w:val="26"/>
          <w:szCs w:val="26"/>
          <w:highlight w:val="white"/>
        </w:rPr>
        <w:t xml:space="preserve"> </w:t>
      </w:r>
      <w:r>
        <w:rPr>
          <w:color w:val="000000"/>
          <w:sz w:val="26"/>
          <w:szCs w:val="26"/>
          <w:highlight w:val="white"/>
        </w:rPr>
        <w:t xml:space="preserve">с момента их</w:t>
      </w:r>
      <w:r>
        <w:rPr>
          <w:sz w:val="26"/>
          <w:szCs w:val="26"/>
          <w:highlight w:val="white"/>
        </w:rPr>
        <w:t xml:space="preserve"> </w:t>
      </w:r>
      <w:r>
        <w:rPr>
          <w:color w:val="000000"/>
          <w:sz w:val="26"/>
          <w:szCs w:val="26"/>
          <w:highlight w:val="white"/>
        </w:rPr>
        <w:t xml:space="preserve">наступления в письменной форме извещает другую Сторону с приложением</w:t>
      </w:r>
      <w:r>
        <w:rPr>
          <w:sz w:val="26"/>
          <w:szCs w:val="26"/>
          <w:highlight w:val="white"/>
        </w:rPr>
        <w:t xml:space="preserve"> </w:t>
      </w:r>
      <w:r>
        <w:rPr>
          <w:color w:val="000000"/>
          <w:sz w:val="26"/>
          <w:szCs w:val="26"/>
          <w:highlight w:val="white"/>
        </w:rPr>
        <w:t xml:space="preserve">документов, удостоверяющих факт наступления указанных обстоятельств.</w:t>
      </w: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9.3. В случае возникновения обстоятельств непреодолимой силы Стороны вправе расторгнуть Контракт, и в этом случае ни одна из Сторон не вправе</w:t>
      </w:r>
      <w:r>
        <w:rPr>
          <w:sz w:val="26"/>
          <w:szCs w:val="26"/>
          <w:highlight w:val="white"/>
        </w:rPr>
        <w:t xml:space="preserve"> </w:t>
      </w:r>
      <w:r>
        <w:rPr>
          <w:color w:val="000000"/>
          <w:sz w:val="26"/>
          <w:szCs w:val="26"/>
          <w:highlight w:val="white"/>
        </w:rPr>
        <w:t xml:space="preserve">требовать возмещения убытков.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9.4. Подтверждением наличия обстоятельств непреодолимой силы и их</w:t>
      </w:r>
      <w:r>
        <w:rPr>
          <w:sz w:val="26"/>
          <w:szCs w:val="26"/>
          <w:highlight w:val="white"/>
        </w:rPr>
        <w:t xml:space="preserve"> </w:t>
      </w:r>
      <w:r>
        <w:rPr>
          <w:color w:val="000000"/>
          <w:sz w:val="26"/>
          <w:szCs w:val="26"/>
          <w:highlight w:val="white"/>
        </w:rPr>
        <w:t xml:space="preserve">продолжительности является письменное свидетельство</w:t>
      </w:r>
      <w:r>
        <w:rPr>
          <w:sz w:val="26"/>
          <w:szCs w:val="26"/>
          <w:highlight w:val="white"/>
        </w:rPr>
        <w:t xml:space="preserve"> уполномоченных </w:t>
      </w:r>
      <w:r>
        <w:rPr>
          <w:color w:val="000000"/>
          <w:sz w:val="26"/>
          <w:szCs w:val="26"/>
          <w:highlight w:val="white"/>
        </w:rPr>
        <w:t xml:space="preserve">органов или уполномоченных организаций.</w:t>
      </w: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</w:p>
    <w:p>
      <w:pPr>
        <w:pStyle w:val="1032"/>
        <w:numPr>
          <w:ilvl w:val="0"/>
          <w:numId w:val="49"/>
        </w:numPr>
        <w:contextualSpacing w:val="0"/>
        <w:ind w:left="0" w:hanging="12"/>
        <w:jc w:val="center"/>
        <w:rPr>
          <w:color w:val="000000" w:themeColor="text1"/>
          <w:sz w:val="26"/>
          <w:szCs w:val="26"/>
          <w:highlight w:val="white"/>
        </w:rPr>
      </w:pPr>
      <w:r>
        <w:rPr>
          <w:b/>
          <w:color w:val="000000" w:themeColor="text1"/>
          <w:sz w:val="26"/>
          <w:szCs w:val="26"/>
          <w:highlight w:val="white"/>
        </w:rPr>
        <w:t xml:space="preserve">Рассмотрение</w:t>
      </w:r>
      <w:r>
        <w:rPr>
          <w:b/>
          <w:bCs/>
          <w:color w:val="000000" w:themeColor="text1"/>
          <w:sz w:val="26"/>
          <w:szCs w:val="26"/>
          <w:highlight w:val="white"/>
        </w:rPr>
        <w:t xml:space="preserve"> и разрешение споров, переписка Сторон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10</w:t>
      </w:r>
      <w:r>
        <w:rPr>
          <w:color w:val="000000"/>
          <w:sz w:val="26"/>
          <w:szCs w:val="26"/>
          <w:highlight w:val="white"/>
        </w:rPr>
        <w:t xml:space="preserve"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10</w:t>
      </w:r>
      <w:r>
        <w:rPr>
          <w:color w:val="000000"/>
          <w:sz w:val="26"/>
          <w:szCs w:val="26"/>
          <w:highlight w:val="white"/>
        </w:rPr>
        <w:t xml:space="preserve">.2. Претензия оформляется в письменной форме. В претензии перечисляются доп</w:t>
      </w:r>
      <w:r>
        <w:rPr>
          <w:color w:val="000000"/>
          <w:sz w:val="26"/>
          <w:szCs w:val="26"/>
          <w:highlight w:val="white"/>
        </w:rPr>
        <w:t xml:space="preserve">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10.3. Срок рассмотрения претензии не </w:t>
      </w:r>
      <w:r>
        <w:rPr>
          <w:sz w:val="26"/>
          <w:szCs w:val="26"/>
          <w:highlight w:val="white"/>
        </w:rPr>
        <w:t xml:space="preserve">может превышать 10 (десяти) рабочих дней. Переписка Сторон может осуществляться в виде писем или электронных сообщений, а в случаях направления телекса, факса, иного электронного сообщения - с последующим предоставлением оригинала документа.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10.4. При </w:t>
      </w:r>
      <w:r>
        <w:rPr>
          <w:sz w:val="26"/>
          <w:szCs w:val="26"/>
          <w:highlight w:val="white"/>
        </w:rPr>
        <w:t xml:space="preserve">неурегулировании</w:t>
      </w:r>
      <w:r>
        <w:rPr>
          <w:sz w:val="26"/>
          <w:szCs w:val="26"/>
          <w:highlight w:val="white"/>
        </w:rPr>
        <w:t xml:space="preserve"> Сторонами спора</w:t>
      </w:r>
      <w:r>
        <w:rPr>
          <w:sz w:val="26"/>
          <w:szCs w:val="26"/>
          <w:highlight w:val="white"/>
        </w:rPr>
        <w:t xml:space="preserve"> в досудебном порядке, спор разрешается в судебном порядке в Арбитражном суде Самарской области.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1032"/>
        <w:numPr>
          <w:ilvl w:val="0"/>
          <w:numId w:val="49"/>
        </w:numPr>
        <w:ind w:left="0" w:hanging="12"/>
        <w:jc w:val="center"/>
        <w:widowControl w:val="off"/>
        <w:rPr>
          <w:b/>
          <w:color w:val="000000"/>
          <w:sz w:val="26"/>
          <w:szCs w:val="28"/>
          <w:highlight w:val="white"/>
        </w:rPr>
      </w:pPr>
      <w:r>
        <w:rPr>
          <w:b/>
          <w:color w:val="000000"/>
          <w:sz w:val="26"/>
          <w:szCs w:val="28"/>
          <w:highlight w:val="white"/>
        </w:rPr>
        <w:t xml:space="preserve">Антикоррупционная оговорка</w:t>
      </w:r>
      <w:r>
        <w:rPr>
          <w:b/>
          <w:color w:val="000000"/>
          <w:sz w:val="26"/>
          <w:szCs w:val="28"/>
          <w:highlight w:val="white"/>
        </w:rPr>
      </w:r>
      <w:r>
        <w:rPr>
          <w:b/>
          <w:color w:val="000000"/>
          <w:sz w:val="26"/>
          <w:szCs w:val="28"/>
          <w:highlight w:val="white"/>
        </w:rPr>
      </w:r>
    </w:p>
    <w:p>
      <w:pPr>
        <w:ind w:right="140"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11</w:t>
      </w:r>
      <w:r>
        <w:rPr>
          <w:color w:val="000000"/>
          <w:sz w:val="26"/>
          <w:szCs w:val="28"/>
          <w:highlight w:val="white"/>
        </w:rPr>
        <w:t xml:space="preserve">.1. Стороны подтверждают соблюдение ими требований законодательства Российской Федерации о противодействии коррупции.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right="140"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11</w:t>
      </w:r>
      <w:r>
        <w:rPr>
          <w:color w:val="000000"/>
          <w:sz w:val="26"/>
          <w:szCs w:val="28"/>
          <w:highlight w:val="white"/>
        </w:rPr>
        <w:t xml:space="preserve">.2. При исполнении обязательств по контракту Стороны, их аффилированные лица, работники, а также лица, действующие от имени и по поручению Сторон, не выплачивают, не предлагают выпла</w:t>
      </w:r>
      <w:r>
        <w:rPr>
          <w:color w:val="000000"/>
          <w:sz w:val="26"/>
          <w:szCs w:val="28"/>
          <w:highlight w:val="white"/>
        </w:rPr>
        <w:t xml:space="preserve">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right="140"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11</w:t>
      </w:r>
      <w:r>
        <w:rPr>
          <w:color w:val="000000"/>
          <w:sz w:val="26"/>
          <w:szCs w:val="28"/>
          <w:highlight w:val="white"/>
        </w:rPr>
        <w:t xml:space="preserve">.3. При исполнении обязательств по контракту Стороны, их аффилированные лица, рабо</w:t>
      </w:r>
      <w:r>
        <w:rPr>
          <w:color w:val="000000"/>
          <w:sz w:val="26"/>
          <w:szCs w:val="28"/>
          <w:highlight w:val="white"/>
        </w:rPr>
        <w:t xml:space="preserve">тники, а также лица, действующие от имени и по поручению Сторон, не осуществляют действия, квалифицируемые применимым для целей государственного контракта законодательством Российской Федерации как дача (получение) взятки, коммерческий подкуп, а также иные</w:t>
      </w:r>
      <w:r>
        <w:rPr>
          <w:color w:val="000000"/>
          <w:sz w:val="26"/>
          <w:szCs w:val="28"/>
          <w:highlight w:val="white"/>
        </w:rPr>
        <w:t xml:space="preserve">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 исполнением условий контракта.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right="140"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11</w:t>
      </w:r>
      <w:r>
        <w:rPr>
          <w:color w:val="000000"/>
          <w:sz w:val="26"/>
          <w:szCs w:val="28"/>
          <w:highlight w:val="white"/>
        </w:rPr>
        <w:t xml:space="preserve">.4. В случае возникновения у Стороны обоснованных подозрений, что произошло или может произойти нарушение каких-либо положений пунктов 2 и 3 текущего раздела контракта, а также возникновение личной заинтересованности при исполнении контракта, которая при</w:t>
      </w:r>
      <w:r>
        <w:rPr>
          <w:color w:val="000000"/>
          <w:sz w:val="26"/>
          <w:szCs w:val="28"/>
          <w:highlight w:val="white"/>
        </w:rPr>
        <w:t xml:space="preserve">водит или может привести к конфликту интересов,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подтверждающие или дающие основан</w:t>
      </w:r>
      <w:r>
        <w:rPr>
          <w:color w:val="000000"/>
          <w:sz w:val="26"/>
          <w:szCs w:val="28"/>
          <w:highlight w:val="white"/>
        </w:rPr>
        <w:t xml:space="preserve">ие предполагать, что произошло или может произойти нарушение каких-либо положений пунктов 2 и 3 текущего раздела контракта, а также возникновение личной заинтересованности при исполнении контракта, которая приводит или может привести к конфликту интересов.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right="140"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11</w:t>
      </w:r>
      <w:r>
        <w:rPr>
          <w:color w:val="000000"/>
          <w:sz w:val="26"/>
          <w:szCs w:val="28"/>
          <w:highlight w:val="white"/>
        </w:rPr>
        <w:t xml:space="preserve">.5. Сторона, получившая письменное уведомление, указанное в предыдущем пункте контракта, обязана рассмотреть уведомление и сообщить другой Стороне об итогах его рассмотрения в течение 10 (десяти) рабочих дней с даты получения.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right="140"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11</w:t>
      </w:r>
      <w:r>
        <w:rPr>
          <w:color w:val="000000"/>
          <w:sz w:val="26"/>
          <w:szCs w:val="28"/>
          <w:highlight w:val="white"/>
        </w:rPr>
        <w:t xml:space="preserve">.6. Стороны гарантируют осуществление надлежащего разбирательства по фактам нарушения положений пунктов 2 и 3 настоящего раздела контракта с соблюдением принципов конфиденциально</w:t>
      </w:r>
      <w:r>
        <w:rPr>
          <w:color w:val="000000"/>
          <w:sz w:val="26"/>
          <w:szCs w:val="28"/>
          <w:highlight w:val="white"/>
        </w:rPr>
        <w:t xml:space="preserve">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both"/>
        <w:widowControl w:val="off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</w:p>
    <w:p>
      <w:pPr>
        <w:pStyle w:val="1032"/>
        <w:numPr>
          <w:ilvl w:val="0"/>
          <w:numId w:val="49"/>
        </w:numPr>
        <w:contextualSpacing w:val="0"/>
        <w:ind w:left="0" w:firstLine="0"/>
        <w:jc w:val="center"/>
        <w:widowControl w:val="off"/>
        <w:rPr>
          <w:b/>
          <w:color w:val="000000" w:themeColor="text1"/>
          <w:sz w:val="26"/>
          <w:szCs w:val="26"/>
          <w:highlight w:val="white"/>
        </w:rPr>
      </w:pPr>
      <w:r>
        <w:rPr>
          <w:b/>
          <w:color w:val="000000" w:themeColor="text1"/>
          <w:sz w:val="26"/>
          <w:szCs w:val="26"/>
          <w:highlight w:val="white"/>
        </w:rPr>
        <w:t xml:space="preserve">Срок действия и порядок расторжения Контракта</w:t>
      </w: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rPr>
          <w:color w:val="000000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12</w:t>
      </w:r>
      <w:r>
        <w:rPr>
          <w:color w:val="000000" w:themeColor="text1"/>
          <w:sz w:val="26"/>
          <w:szCs w:val="26"/>
          <w:highlight w:val="white"/>
        </w:rPr>
        <w:t xml:space="preserve">.1 </w:t>
      </w:r>
      <w:r>
        <w:rPr>
          <w:color w:val="000000"/>
          <w:sz w:val="26"/>
          <w:szCs w:val="26"/>
          <w:highlight w:val="white"/>
        </w:rPr>
        <w:t xml:space="preserve">Контракт вступает в силу с момента его подписания обеими Сторонами и </w:t>
      </w:r>
      <w:r>
        <w:rPr>
          <w:sz w:val="26"/>
          <w:szCs w:val="26"/>
          <w:highlight w:val="white"/>
        </w:rPr>
        <w:t xml:space="preserve">действует п</w:t>
      </w:r>
      <w:r>
        <w:rPr>
          <w:sz w:val="26"/>
          <w:szCs w:val="26"/>
          <w:highlight w:val="white"/>
        </w:rPr>
        <w:t xml:space="preserve">о </w:t>
      </w:r>
      <w:r>
        <w:rPr>
          <w:sz w:val="26"/>
          <w:szCs w:val="26"/>
          <w:highlight w:val="white"/>
        </w:rPr>
        <w:t xml:space="preserve">30</w:t>
      </w:r>
      <w:r>
        <w:rPr>
          <w:sz w:val="26"/>
          <w:szCs w:val="26"/>
          <w:highlight w:val="white"/>
        </w:rPr>
        <w:t xml:space="preserve">.09</w:t>
      </w:r>
      <w:r>
        <w:rPr>
          <w:sz w:val="26"/>
          <w:szCs w:val="26"/>
          <w:highlight w:val="white"/>
        </w:rPr>
        <w:t xml:space="preserve">.2026</w:t>
      </w:r>
      <w:r>
        <w:rPr>
          <w:sz w:val="26"/>
          <w:szCs w:val="26"/>
          <w:highlight w:val="white"/>
        </w:rPr>
        <w:t xml:space="preserve"> </w:t>
      </w:r>
      <w:r>
        <w:rPr>
          <w:sz w:val="26"/>
          <w:szCs w:val="26"/>
          <w:highlight w:val="white"/>
        </w:rPr>
        <w:t xml:space="preserve">г. </w:t>
      </w:r>
      <w:r>
        <w:rPr>
          <w:sz w:val="26"/>
          <w:szCs w:val="26"/>
          <w:highlight w:val="white"/>
        </w:rPr>
        <w:t xml:space="preserve">Окончание </w:t>
      </w:r>
      <w:r>
        <w:rPr>
          <w:color w:val="000000"/>
          <w:sz w:val="26"/>
          <w:szCs w:val="26"/>
          <w:highlight w:val="white"/>
        </w:rPr>
        <w:t xml:space="preserve">срока действия Контракта не влечет прекращения неисполненных обязательств Сторон по Контракту.</w:t>
      </w: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</w:p>
    <w:p>
      <w:pPr>
        <w:ind w:firstLine="709"/>
        <w:jc w:val="both"/>
        <w:rPr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12</w:t>
      </w:r>
      <w:r>
        <w:rPr>
          <w:color w:val="000000" w:themeColor="text1"/>
          <w:sz w:val="26"/>
          <w:szCs w:val="26"/>
          <w:highlight w:val="white"/>
        </w:rPr>
        <w:t xml:space="preserve">.2 Расторжение Контракта допускается по соглашению Сторон, по решению суда или в связи с односторонним отказом Стороны от исполнения </w:t>
      </w:r>
      <w:r>
        <w:rPr>
          <w:color w:val="000000"/>
          <w:sz w:val="26"/>
          <w:szCs w:val="26"/>
          <w:highlight w:val="white"/>
        </w:rPr>
        <w:t xml:space="preserve">Контракта</w:t>
      </w:r>
      <w:r>
        <w:rPr>
          <w:sz w:val="26"/>
          <w:szCs w:val="26"/>
          <w:highlight w:val="white"/>
        </w:rPr>
        <w:t xml:space="preserve"> </w:t>
      </w:r>
      <w:r>
        <w:rPr>
          <w:color w:val="000000" w:themeColor="text1"/>
          <w:sz w:val="26"/>
          <w:szCs w:val="26"/>
          <w:highlight w:val="white"/>
        </w:rPr>
        <w:t xml:space="preserve">в соответствии с гражданским законодательством Российской Федерации в порядке, предусмотренном частями 9 – 23 статьи 95 Федерального закона от 5 апреля 2013 г. № 44-ФЗ.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rPr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pStyle w:val="1032"/>
        <w:numPr>
          <w:ilvl w:val="0"/>
          <w:numId w:val="49"/>
        </w:numPr>
        <w:contextualSpacing w:val="0"/>
        <w:ind w:left="0" w:hanging="12"/>
        <w:jc w:val="center"/>
        <w:rPr>
          <w:b/>
          <w:color w:val="000000" w:themeColor="text1"/>
          <w:sz w:val="26"/>
          <w:szCs w:val="26"/>
          <w:highlight w:val="white"/>
        </w:rPr>
      </w:pPr>
      <w:r>
        <w:rPr>
          <w:b/>
          <w:color w:val="000000" w:themeColor="text1"/>
          <w:sz w:val="26"/>
          <w:szCs w:val="26"/>
          <w:highlight w:val="white"/>
        </w:rPr>
        <w:t xml:space="preserve">Прочие положения</w:t>
      </w: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</w:p>
    <w:p>
      <w:pPr>
        <w:ind w:firstLine="720"/>
        <w:jc w:val="both"/>
        <w:tabs>
          <w:tab w:val="left" w:pos="1260" w:leader="none"/>
        </w:tabs>
        <w:rPr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13.1. Во всем, что не предусмотрено Контрактом, Стороны руководствуются законодательством Российской Федерации.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pStyle w:val="1041"/>
        <w:ind w:left="0"/>
        <w:spacing w:after="0" w:line="240" w:lineRule="auto"/>
        <w:rPr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13.2. </w:t>
      </w:r>
      <w:r>
        <w:rPr>
          <w:color w:val="000000" w:themeColor="text1"/>
          <w:sz w:val="26"/>
          <w:szCs w:val="26"/>
          <w:highlight w:val="white"/>
        </w:rPr>
        <w:tab/>
      </w:r>
      <w:r>
        <w:rPr>
          <w:sz w:val="26"/>
          <w:szCs w:val="26"/>
          <w:highlight w:val="white"/>
        </w:rPr>
        <w:t xml:space="preserve"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</w:t>
      </w:r>
      <w:r>
        <w:rPr>
          <w:color w:val="000000" w:themeColor="text1"/>
          <w:sz w:val="26"/>
          <w:szCs w:val="26"/>
          <w:highlight w:val="white"/>
        </w:rPr>
        <w:t xml:space="preserve">. 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ind w:firstLine="720"/>
        <w:jc w:val="both"/>
        <w:tabs>
          <w:tab w:val="left" w:pos="1260" w:leader="none"/>
        </w:tabs>
        <w:rPr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13.3.</w:t>
      </w:r>
      <w:r>
        <w:rPr>
          <w:color w:val="000000" w:themeColor="text1"/>
          <w:sz w:val="26"/>
          <w:szCs w:val="26"/>
          <w:highlight w:val="white"/>
        </w:rPr>
        <w:tab/>
        <w:t xml:space="preserve">Внесение изменений и дополнений, не противоречащих законодательству Российской Федерации, в условия </w:t>
      </w:r>
      <w:r>
        <w:rPr>
          <w:color w:val="000000"/>
          <w:sz w:val="26"/>
          <w:szCs w:val="26"/>
          <w:highlight w:val="white"/>
        </w:rPr>
        <w:t xml:space="preserve">Контракта</w:t>
      </w:r>
      <w:r>
        <w:rPr>
          <w:color w:val="000000" w:themeColor="text1"/>
          <w:sz w:val="26"/>
          <w:szCs w:val="26"/>
          <w:highlight w:val="white"/>
        </w:rPr>
        <w:t xml:space="preserve">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ind w:firstLine="720"/>
        <w:jc w:val="both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13.4. Изменение условий Контракта</w:t>
      </w:r>
      <w:r>
        <w:rPr>
          <w:sz w:val="26"/>
          <w:szCs w:val="26"/>
          <w:highlight w:val="white"/>
        </w:rPr>
        <w:t xml:space="preserve"> </w:t>
      </w:r>
      <w:r>
        <w:rPr>
          <w:color w:val="000000"/>
          <w:sz w:val="26"/>
          <w:szCs w:val="26"/>
          <w:highlight w:val="white"/>
        </w:rPr>
        <w:t xml:space="preserve">при его исполнении не допускается, за исключением случаев, предусмотренных Федеральным законом от 5 апреля 2013 г. № 44-ФЗ.</w:t>
      </w: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</w:p>
    <w:p>
      <w:pPr>
        <w:ind w:firstLine="720"/>
        <w:jc w:val="both"/>
        <w:tabs>
          <w:tab w:val="left" w:pos="1260" w:leader="none"/>
        </w:tabs>
        <w:rPr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13.5.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ind w:firstLine="720"/>
        <w:jc w:val="both"/>
        <w:tabs>
          <w:tab w:val="left" w:pos="1260" w:leader="none"/>
        </w:tabs>
        <w:rPr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ind w:firstLine="720"/>
        <w:jc w:val="both"/>
        <w:tabs>
          <w:tab w:val="left" w:pos="1260" w:leader="none"/>
        </w:tabs>
        <w:rPr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13.6. </w:t>
      </w:r>
      <w:r>
        <w:rPr>
          <w:color w:val="000000" w:themeColor="text1"/>
          <w:sz w:val="26"/>
          <w:szCs w:val="26"/>
          <w:highlight w:val="white"/>
        </w:rPr>
        <w:tab/>
        <w:t xml:space="preserve">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13.7. </w:t>
      </w:r>
      <w:r>
        <w:rPr>
          <w:color w:val="000000"/>
          <w:sz w:val="26"/>
          <w:szCs w:val="28"/>
          <w:highlight w:val="white"/>
        </w:rPr>
        <w:t xml:space="preserve">Контракт составлен в 2 (двух) экземплярах, идентичных по содержанию и имеющих одинаковую юридическую силу, один из которых передан Поставщику, второй - находятся у Заказчика</w:t>
      </w:r>
      <w:r>
        <w:rPr>
          <w:color w:val="000000"/>
          <w:sz w:val="26"/>
          <w:szCs w:val="26"/>
          <w:highlight w:val="white"/>
          <w:vertAlign w:val="superscript"/>
        </w:rPr>
        <w:footnoteReference w:id="6"/>
      </w:r>
      <w:r>
        <w:rPr>
          <w:color w:val="000000"/>
          <w:sz w:val="26"/>
          <w:szCs w:val="28"/>
          <w:highlight w:val="white"/>
        </w:rPr>
        <w:t xml:space="preserve">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</w:r>
      <w:r>
        <w:rPr>
          <w:b/>
          <w:sz w:val="26"/>
          <w:szCs w:val="26"/>
          <w:highlight w:val="white"/>
        </w:rPr>
      </w:r>
      <w:r>
        <w:rPr>
          <w:b/>
          <w:sz w:val="26"/>
          <w:szCs w:val="26"/>
          <w:highlight w:val="white"/>
        </w:rPr>
      </w:r>
    </w:p>
    <w:p>
      <w:pPr>
        <w:pStyle w:val="1088"/>
        <w:ind w:left="567" w:right="140"/>
        <w:rPr>
          <w:rFonts w:ascii="Times New Roman" w:hAnsi="Times New Roman"/>
          <w:b/>
          <w:color w:val="000000" w:themeColor="text1"/>
          <w:sz w:val="26"/>
          <w:szCs w:val="26"/>
          <w:highlight w:val="white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  <w:highlight w:val="white"/>
        </w:rPr>
        <w:t xml:space="preserve">14</w:t>
      </w:r>
      <w:r>
        <w:rPr>
          <w:rFonts w:ascii="Times New Roman" w:hAnsi="Times New Roman"/>
          <w:b/>
          <w:color w:val="000000" w:themeColor="text1"/>
          <w:sz w:val="26"/>
          <w:szCs w:val="26"/>
          <w:highlight w:val="white"/>
        </w:rPr>
        <w:t xml:space="preserve">. Перечень приложений</w:t>
      </w:r>
      <w:r>
        <w:rPr>
          <w:rFonts w:ascii="Times New Roman" w:hAnsi="Times New Roman"/>
          <w:b/>
          <w:color w:val="000000" w:themeColor="text1"/>
          <w:sz w:val="26"/>
          <w:szCs w:val="26"/>
          <w:highlight w:val="white"/>
        </w:rPr>
      </w:r>
      <w:r>
        <w:rPr>
          <w:rFonts w:ascii="Times New Roman" w:hAnsi="Times New Roman"/>
          <w:b/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1</w:t>
      </w:r>
      <w:r>
        <w:rPr>
          <w:sz w:val="26"/>
          <w:szCs w:val="26"/>
          <w:highlight w:val="white"/>
        </w:rPr>
        <w:t xml:space="preserve">4</w:t>
      </w:r>
      <w:r>
        <w:rPr>
          <w:sz w:val="26"/>
          <w:szCs w:val="26"/>
          <w:highlight w:val="white"/>
        </w:rPr>
        <w:t xml:space="preserve">.1</w:t>
      </w:r>
      <w:r>
        <w:rPr>
          <w:sz w:val="26"/>
          <w:szCs w:val="26"/>
          <w:highlight w:val="white"/>
        </w:rPr>
        <w:t xml:space="preserve">. Неотъемлемым приложением к </w:t>
      </w:r>
      <w:r>
        <w:rPr>
          <w:sz w:val="26"/>
          <w:szCs w:val="26"/>
          <w:highlight w:val="white"/>
        </w:rPr>
        <w:t xml:space="preserve">Контракту</w:t>
      </w:r>
      <w:r>
        <w:rPr>
          <w:sz w:val="26"/>
          <w:szCs w:val="26"/>
          <w:highlight w:val="white"/>
        </w:rPr>
        <w:t xml:space="preserve"> является: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Приложение – Спецификация.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right="140" w:firstLine="720"/>
        <w:tabs>
          <w:tab w:val="left" w:pos="1260" w:leader="none"/>
        </w:tabs>
        <w:rPr>
          <w:b/>
          <w:color w:val="000000" w:themeColor="text1"/>
          <w:sz w:val="26"/>
          <w:szCs w:val="26"/>
          <w:highlight w:val="white"/>
        </w:rPr>
      </w:pP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</w:p>
    <w:p>
      <w:pPr>
        <w:ind w:left="567" w:right="140"/>
        <w:jc w:val="center"/>
        <w:rPr>
          <w:b/>
          <w:color w:val="000000" w:themeColor="text1"/>
          <w:sz w:val="26"/>
          <w:szCs w:val="26"/>
          <w:highlight w:val="white"/>
        </w:rPr>
      </w:pPr>
      <w:r>
        <w:rPr>
          <w:b/>
          <w:color w:val="000000" w:themeColor="text1"/>
          <w:sz w:val="26"/>
          <w:szCs w:val="26"/>
          <w:highlight w:val="white"/>
        </w:rPr>
        <w:t xml:space="preserve">1</w:t>
      </w:r>
      <w:r>
        <w:rPr>
          <w:b/>
          <w:color w:val="000000" w:themeColor="text1"/>
          <w:sz w:val="26"/>
          <w:szCs w:val="26"/>
          <w:highlight w:val="white"/>
        </w:rPr>
        <w:t xml:space="preserve">5</w:t>
      </w:r>
      <w:r>
        <w:rPr>
          <w:b/>
          <w:color w:val="000000" w:themeColor="text1"/>
          <w:sz w:val="26"/>
          <w:szCs w:val="26"/>
          <w:highlight w:val="white"/>
        </w:rPr>
        <w:t xml:space="preserve">. Адреса и банковские реквизиты Сторон</w:t>
      </w: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</w:p>
    <w:p>
      <w:pPr>
        <w:ind w:left="567" w:right="140"/>
        <w:jc w:val="center"/>
        <w:rPr>
          <w:b/>
          <w:color w:val="000000" w:themeColor="text1"/>
          <w:sz w:val="26"/>
          <w:szCs w:val="26"/>
          <w:highlight w:val="white"/>
        </w:rPr>
      </w:pP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</w:p>
    <w:tbl>
      <w:tblPr>
        <w:tblW w:w="10577" w:type="dxa"/>
        <w:tblInd w:w="-231" w:type="dxa"/>
        <w:tblLayout w:type="fixed"/>
        <w:tblLook w:val="01E0" w:firstRow="1" w:lastRow="1" w:firstColumn="1" w:lastColumn="1" w:noHBand="0" w:noVBand="0"/>
      </w:tblPr>
      <w:tblGrid>
        <w:gridCol w:w="230"/>
        <w:gridCol w:w="5104"/>
        <w:gridCol w:w="628"/>
        <w:gridCol w:w="4548"/>
        <w:gridCol w:w="67"/>
      </w:tblGrid>
      <w:tr>
        <w:tblPrEx/>
        <w:trPr>
          <w:gridAfter w:val="1"/>
          <w:gridBefore w:val="1"/>
        </w:trPr>
        <w:tc>
          <w:tcPr>
            <w:tcW w:w="5104" w:type="dxa"/>
            <w:textDirection w:val="lrTb"/>
            <w:noWrap w:val="false"/>
          </w:tcPr>
          <w:p>
            <w:pPr>
              <w:widowControl w:val="off"/>
              <w:tabs>
                <w:tab w:val="left" w:pos="1425" w:leader="none"/>
                <w:tab w:val="right" w:pos="9355" w:leader="none"/>
              </w:tabs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ЗАКАЗЧИК:</w:t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  <w:p>
            <w:pPr>
              <w:spacing w:line="240" w:lineRule="exact"/>
              <w:tabs>
                <w:tab w:val="left" w:pos="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Управление Федеральной службы государственной регистрации, кадастра и картографии по Самарской области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spacing w:line="240" w:lineRule="exact"/>
              <w:tabs>
                <w:tab w:val="left" w:pos="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(Управление </w:t>
            </w:r>
            <w:r>
              <w:rPr>
                <w:sz w:val="24"/>
                <w:szCs w:val="24"/>
                <w:highlight w:val="white"/>
              </w:rPr>
              <w:t xml:space="preserve">Росреестра</w:t>
            </w:r>
            <w:r>
              <w:rPr>
                <w:sz w:val="24"/>
                <w:szCs w:val="24"/>
                <w:highlight w:val="white"/>
              </w:rPr>
              <w:t xml:space="preserve"> по Самарской области)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spacing w:line="240" w:lineRule="exact"/>
              <w:tabs>
                <w:tab w:val="left" w:pos="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443099, г. Самара, ул. Некрасовская, д.3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spacing w:line="240" w:lineRule="exact"/>
              <w:tabs>
                <w:tab w:val="left" w:pos="0" w:leader="none"/>
              </w:tabs>
              <w:rPr>
                <w:rFonts w:ascii="Tinos" w:hAnsi="Tinos" w:cs="Tinos"/>
                <w:sz w:val="25"/>
                <w:szCs w:val="25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ИНН 6317053595 КПП 631701001</w:t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</w:p>
          <w:p>
            <w:pPr>
              <w:pStyle w:val="1019"/>
              <w:rPr>
                <w:rFonts w:ascii="Tinos" w:hAnsi="Tinos" w:cs="Tinos"/>
                <w:sz w:val="25"/>
                <w:szCs w:val="25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ОГРН 1046300581590 </w:t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</w:p>
          <w:p>
            <w:pPr>
              <w:pStyle w:val="1019"/>
              <w:rPr>
                <w:rFonts w:ascii="Tinos" w:hAnsi="Tinos" w:cs="Tinos"/>
                <w:sz w:val="25"/>
                <w:szCs w:val="25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ОКАТО 36401388000 ОКПО 75165015 </w:t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</w:p>
          <w:p>
            <w:pPr>
              <w:pStyle w:val="1019"/>
              <w:rPr>
                <w:rFonts w:ascii="Tinos" w:hAnsi="Tinos" w:cs="Tinos"/>
                <w:sz w:val="25"/>
                <w:szCs w:val="25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ОКТМО 36701340000</w:t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</w:p>
          <w:p>
            <w:pPr>
              <w:pStyle w:val="1019"/>
              <w:rPr>
                <w:rFonts w:ascii="Tinos" w:hAnsi="Tinos" w:cs="Tinos"/>
                <w:sz w:val="25"/>
                <w:szCs w:val="25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Лицевой счет 03421А48812 УФК по Нижегородской области</w:t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</w:p>
          <w:p>
            <w:pPr>
              <w:pStyle w:val="1019"/>
              <w:rPr>
                <w:rFonts w:ascii="Tinos" w:hAnsi="Tinos" w:cs="Tinos"/>
                <w:b w:val="0"/>
                <w:bCs w:val="0"/>
                <w:sz w:val="25"/>
                <w:szCs w:val="25"/>
                <w:highlight w:val="whit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white"/>
              </w:rPr>
              <w:t xml:space="preserve">Казначейский счет -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white"/>
              </w:rPr>
              <w:t xml:space="preserve">03211643000000013249</w:t>
            </w:r>
            <w:r>
              <w:rPr>
                <w:rFonts w:ascii="Tinos" w:hAnsi="Tinos" w:cs="Tinos"/>
                <w:b w:val="0"/>
                <w:bCs w:val="0"/>
                <w:sz w:val="25"/>
                <w:szCs w:val="25"/>
                <w:highlight w:val="white"/>
              </w:rPr>
            </w:r>
            <w:r>
              <w:rPr>
                <w:rFonts w:ascii="Tinos" w:hAnsi="Tinos" w:cs="Tinos"/>
                <w:b w:val="0"/>
                <w:bCs w:val="0"/>
                <w:sz w:val="25"/>
                <w:szCs w:val="25"/>
                <w:highlight w:val="white"/>
              </w:rPr>
            </w:r>
          </w:p>
          <w:p>
            <w:pPr>
              <w:pStyle w:val="1019"/>
              <w:rPr>
                <w:rFonts w:ascii="Tinos" w:hAnsi="Tinos" w:cs="Tinos"/>
                <w:b w:val="0"/>
                <w:bCs w:val="0"/>
                <w:sz w:val="25"/>
                <w:szCs w:val="25"/>
                <w:highlight w:val="whit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white"/>
              </w:rPr>
              <w:t xml:space="preserve">ОКЦ № 1 Волго-Вятского ГУ Банка России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white"/>
              </w:rPr>
              <w:t xml:space="preserve">//УФК по Нижегородской области,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white"/>
              </w:rPr>
              <w:t xml:space="preserve">        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white"/>
              </w:rPr>
              <w:t xml:space="preserve">г. Нижний Новгород</w:t>
            </w:r>
            <w:r>
              <w:rPr>
                <w:rFonts w:ascii="Tinos" w:hAnsi="Tinos" w:cs="Tinos"/>
                <w:b w:val="0"/>
                <w:bCs w:val="0"/>
                <w:sz w:val="25"/>
                <w:szCs w:val="25"/>
                <w:highlight w:val="white"/>
              </w:rPr>
            </w:r>
            <w:r>
              <w:rPr>
                <w:rFonts w:ascii="Tinos" w:hAnsi="Tinos" w:cs="Tinos"/>
                <w:b w:val="0"/>
                <w:bCs w:val="0"/>
                <w:sz w:val="25"/>
                <w:szCs w:val="25"/>
                <w:highlight w:val="white"/>
              </w:rPr>
            </w:r>
          </w:p>
          <w:p>
            <w:pPr>
              <w:pStyle w:val="1019"/>
              <w:rPr>
                <w:rFonts w:ascii="Tinos" w:hAnsi="Tinos" w:cs="Tinos"/>
                <w:b w:val="0"/>
                <w:bCs w:val="0"/>
                <w:sz w:val="25"/>
                <w:szCs w:val="25"/>
                <w:highlight w:val="whit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white"/>
              </w:rPr>
              <w:t xml:space="preserve">Единый казначейский счет - 40102810745370000024</w:t>
            </w:r>
            <w:r>
              <w:rPr>
                <w:rFonts w:ascii="Tinos" w:hAnsi="Tinos" w:cs="Tinos"/>
                <w:b w:val="0"/>
                <w:bCs w:val="0"/>
                <w:sz w:val="25"/>
                <w:szCs w:val="25"/>
                <w:highlight w:val="white"/>
              </w:rPr>
            </w:r>
            <w:r>
              <w:rPr>
                <w:rFonts w:ascii="Tinos" w:hAnsi="Tinos" w:cs="Tinos"/>
                <w:b w:val="0"/>
                <w:bCs w:val="0"/>
                <w:sz w:val="25"/>
                <w:szCs w:val="25"/>
                <w:highlight w:val="white"/>
              </w:rPr>
            </w:r>
          </w:p>
          <w:p>
            <w:pPr>
              <w:pStyle w:val="1019"/>
              <w:rPr>
                <w:rFonts w:ascii="Tinos" w:hAnsi="Tinos" w:cs="Tinos"/>
                <w:b w:val="0"/>
                <w:bCs w:val="0"/>
                <w:sz w:val="25"/>
                <w:szCs w:val="25"/>
                <w:highlight w:val="whit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white"/>
              </w:rPr>
              <w:t xml:space="preserve">БИК 012202102</w:t>
            </w:r>
            <w:r>
              <w:rPr>
                <w:rFonts w:ascii="Tinos" w:hAnsi="Tinos" w:cs="Tinos"/>
                <w:b w:val="0"/>
                <w:bCs w:val="0"/>
                <w:sz w:val="25"/>
                <w:szCs w:val="25"/>
                <w:highlight w:val="white"/>
              </w:rPr>
            </w:r>
            <w:r>
              <w:rPr>
                <w:rFonts w:ascii="Tinos" w:hAnsi="Tinos" w:cs="Tinos"/>
                <w:b w:val="0"/>
                <w:bCs w:val="0"/>
                <w:sz w:val="25"/>
                <w:szCs w:val="25"/>
                <w:highlight w:val="white"/>
              </w:rPr>
            </w:r>
          </w:p>
          <w:p>
            <w:pPr>
              <w:pStyle w:val="1019"/>
              <w:rPr>
                <w:rFonts w:ascii="Tinos" w:hAnsi="Tinos" w:cs="Tinos"/>
                <w:sz w:val="25"/>
                <w:szCs w:val="25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тел./факс (846) 333-54-25 </w:t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</w:p>
          <w:p>
            <w:pPr>
              <w:pStyle w:val="1019"/>
              <w:rPr>
                <w:rFonts w:ascii="Tinos" w:hAnsi="Tinos" w:cs="Tinos"/>
                <w:sz w:val="25"/>
                <w:szCs w:val="25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val="en-US"/>
              </w:rPr>
              <w:t xml:space="preserve">e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val="en-US"/>
              </w:rPr>
              <w:t xml:space="preserve">mail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: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fldChar w:fldCharType="begin"/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instrText xml:space="preserve"> HYPERLINK "mailto:63_upr@rosreestr.ru" </w:instrTex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fldChar w:fldCharType="separate"/>
            </w:r>
            <w:r>
              <w:rPr>
                <w:rStyle w:val="1103"/>
                <w:rFonts w:ascii="Tinos" w:hAnsi="Tinos" w:eastAsia="Tinos" w:cs="Tinos"/>
                <w:color w:val="000000"/>
                <w:sz w:val="24"/>
                <w:szCs w:val="24"/>
                <w:highlight w:val="white"/>
                <w:u w:val="none"/>
              </w:rPr>
              <w:t xml:space="preserve">63_</w:t>
            </w:r>
            <w:r>
              <w:rPr>
                <w:rStyle w:val="1103"/>
                <w:rFonts w:ascii="Tinos" w:hAnsi="Tinos" w:eastAsia="Tinos" w:cs="Tinos"/>
                <w:color w:val="000000"/>
                <w:sz w:val="24"/>
                <w:szCs w:val="24"/>
                <w:highlight w:val="white"/>
                <w:u w:val="none"/>
                <w:lang w:val="en-US"/>
              </w:rPr>
              <w:t xml:space="preserve">upr</w:t>
            </w:r>
            <w:r>
              <w:rPr>
                <w:rStyle w:val="1103"/>
                <w:rFonts w:ascii="Tinos" w:hAnsi="Tinos" w:eastAsia="Tinos" w:cs="Tinos"/>
                <w:color w:val="000000"/>
                <w:sz w:val="24"/>
                <w:szCs w:val="24"/>
                <w:highlight w:val="white"/>
                <w:u w:val="none"/>
              </w:rPr>
              <w:t xml:space="preserve">@</w:t>
            </w:r>
            <w:r>
              <w:rPr>
                <w:rStyle w:val="1103"/>
                <w:rFonts w:ascii="Tinos" w:hAnsi="Tinos" w:eastAsia="Tinos" w:cs="Tinos"/>
                <w:color w:val="000000"/>
                <w:sz w:val="24"/>
                <w:szCs w:val="24"/>
                <w:highlight w:val="white"/>
                <w:u w:val="none"/>
                <w:lang w:val="en-US"/>
              </w:rPr>
              <w:t xml:space="preserve">rosreestr</w:t>
            </w:r>
            <w:r>
              <w:rPr>
                <w:rStyle w:val="1103"/>
                <w:rFonts w:ascii="Tinos" w:hAnsi="Tinos" w:eastAsia="Tinos" w:cs="Tinos"/>
                <w:color w:val="000000"/>
                <w:sz w:val="24"/>
                <w:szCs w:val="24"/>
                <w:highlight w:val="white"/>
                <w:u w:val="none"/>
              </w:rPr>
              <w:t xml:space="preserve">.</w:t>
            </w:r>
            <w:r>
              <w:rPr>
                <w:rStyle w:val="1103"/>
                <w:rFonts w:ascii="Tinos" w:hAnsi="Tinos" w:eastAsia="Tinos" w:cs="Tinos"/>
                <w:color w:val="000000"/>
                <w:sz w:val="24"/>
                <w:szCs w:val="24"/>
                <w:highlight w:val="white"/>
                <w:u w:val="none"/>
                <w:lang w:val="en-US"/>
              </w:rPr>
              <w:t xml:space="preserve">ru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fldChar w:fldCharType="end"/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</w:p>
          <w:p>
            <w:pPr>
              <w:pStyle w:val="1019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widowControl w:val="off"/>
              <w:tabs>
                <w:tab w:val="left" w:pos="1425" w:leader="none"/>
                <w:tab w:val="right" w:pos="935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val="en-US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628" w:type="dxa"/>
            <w:textDirection w:val="lrTb"/>
            <w:noWrap w:val="false"/>
          </w:tcPr>
          <w:p>
            <w:pPr>
              <w:ind w:firstLine="400"/>
              <w:jc w:val="both"/>
              <w:widowControl w:val="off"/>
              <w:tabs>
                <w:tab w:val="left" w:pos="1425" w:leader="none"/>
                <w:tab w:val="right" w:pos="9355" w:leader="none"/>
              </w:tabs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  <w:lang w:val="en-US"/>
              </w:rPr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</w:tc>
        <w:tc>
          <w:tcPr>
            <w:tcW w:w="4548" w:type="dxa"/>
            <w:textDirection w:val="lrTb"/>
            <w:noWrap w:val="false"/>
          </w:tcPr>
          <w:p>
            <w:pPr>
              <w:widowControl w:val="off"/>
              <w:tabs>
                <w:tab w:val="left" w:pos="1425" w:leader="none"/>
                <w:tab w:val="right" w:pos="9355" w:leader="none"/>
              </w:tabs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ПОСТАВЩИК:</w:t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val="en-US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642"/>
        </w:trPr>
        <w:tc>
          <w:tcPr>
            <w:gridSpan w:val="2"/>
            <w:tcW w:w="5334" w:type="dxa"/>
            <w:textDirection w:val="lrTb"/>
            <w:noWrap w:val="false"/>
          </w:tcPr>
          <w:p>
            <w:pPr>
              <w:ind w:left="231"/>
              <w:widowControl w:val="off"/>
              <w:tabs>
                <w:tab w:val="left" w:pos="1425" w:leader="none"/>
                <w:tab w:val="right" w:pos="9355" w:leader="none"/>
              </w:tabs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  <w:p>
            <w:pPr>
              <w:ind w:left="231"/>
              <w:widowControl w:val="off"/>
              <w:tabs>
                <w:tab w:val="left" w:pos="1425" w:leader="none"/>
                <w:tab w:val="right" w:pos="9355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Заместитель руководителя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  <w:p>
            <w:pPr>
              <w:ind w:left="231"/>
              <w:widowControl w:val="off"/>
              <w:tabs>
                <w:tab w:val="left" w:pos="1425" w:leader="none"/>
                <w:tab w:val="right" w:pos="9355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  <w:p>
            <w:pPr>
              <w:ind w:left="231"/>
              <w:widowControl w:val="off"/>
              <w:tabs>
                <w:tab w:val="left" w:pos="1425" w:leader="none"/>
                <w:tab w:val="right" w:pos="9355" w:leader="none"/>
              </w:tabs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_____________________ О.Г. Суздальцева      </w:t>
            </w:r>
            <w:r>
              <w:rPr>
                <w:b/>
                <w:sz w:val="22"/>
                <w:szCs w:val="22"/>
                <w:highlight w:val="white"/>
              </w:rPr>
              <w:t xml:space="preserve">                                                                             </w:t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W w:w="5243" w:type="dxa"/>
            <w:textDirection w:val="lrTb"/>
            <w:noWrap w:val="false"/>
          </w:tcPr>
          <w:p>
            <w:pPr>
              <w:ind w:left="231"/>
              <w:jc w:val="both"/>
              <w:widowControl w:val="off"/>
              <w:tabs>
                <w:tab w:val="left" w:pos="1425" w:leader="none"/>
                <w:tab w:val="right" w:pos="9355" w:leader="none"/>
              </w:tabs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</w:tc>
      </w:tr>
    </w:tbl>
    <w:p>
      <w:pPr>
        <w:ind w:right="140"/>
        <w:jc w:val="center"/>
        <w:tabs>
          <w:tab w:val="left" w:pos="1260" w:leader="none"/>
        </w:tabs>
        <w:rPr>
          <w:b/>
          <w:color w:val="000000" w:themeColor="text1"/>
          <w:sz w:val="26"/>
          <w:szCs w:val="26"/>
          <w:highlight w:val="white"/>
        </w:rPr>
      </w:pP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</w:p>
    <w:p>
      <w:pPr>
        <w:ind w:right="140"/>
        <w:jc w:val="center"/>
        <w:tabs>
          <w:tab w:val="left" w:pos="1260" w:leader="none"/>
        </w:tabs>
        <w:rPr>
          <w:b/>
          <w:color w:val="000000" w:themeColor="text1"/>
          <w:sz w:val="26"/>
          <w:szCs w:val="26"/>
          <w:highlight w:val="white"/>
        </w:rPr>
      </w:pP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</w:p>
    <w:p>
      <w:pPr>
        <w:pStyle w:val="1082"/>
        <w:jc w:val="right"/>
        <w:rPr>
          <w:sz w:val="22"/>
          <w:szCs w:val="22"/>
          <w:highlight w:val="white"/>
        </w:rPr>
      </w:pPr>
      <w:r>
        <w:rPr>
          <w:rFonts w:eastAsia="Calibri"/>
          <w:color w:val="000000"/>
          <w:sz w:val="28"/>
          <w:szCs w:val="20"/>
          <w:highlight w:val="white"/>
        </w:rPr>
        <w:br w:type="column"/>
      </w:r>
      <w:r>
        <w:rPr>
          <w:sz w:val="22"/>
          <w:szCs w:val="22"/>
          <w:highlight w:val="white"/>
        </w:rPr>
        <w:t xml:space="preserve">Приложение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pStyle w:val="1082"/>
        <w:jc w:val="right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к Контракту №_____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pStyle w:val="1082"/>
        <w:jc w:val="right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от «___» ________2026 г.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left="5103"/>
        <w:jc w:val="right"/>
        <w:rPr>
          <w:bCs/>
          <w:color w:val="000000"/>
          <w:sz w:val="28"/>
          <w:szCs w:val="28"/>
          <w:highlight w:val="white"/>
        </w:rPr>
      </w:pPr>
      <w:r>
        <w:rPr>
          <w:bCs/>
          <w:color w:val="000000"/>
          <w:sz w:val="28"/>
          <w:szCs w:val="28"/>
          <w:highlight w:val="white"/>
        </w:rPr>
      </w:r>
      <w:r>
        <w:rPr>
          <w:bCs/>
          <w:color w:val="000000"/>
          <w:sz w:val="28"/>
          <w:szCs w:val="28"/>
          <w:highlight w:val="white"/>
        </w:rPr>
      </w:r>
      <w:r>
        <w:rPr>
          <w:bCs/>
          <w:color w:val="000000"/>
          <w:sz w:val="28"/>
          <w:szCs w:val="28"/>
          <w:highlight w:val="white"/>
        </w:rPr>
      </w:r>
    </w:p>
    <w:p>
      <w:pPr>
        <w:ind w:firstLine="708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 xml:space="preserve">Спецификация</w:t>
      </w:r>
      <w:r>
        <w:rPr>
          <w:b/>
          <w:sz w:val="26"/>
          <w:szCs w:val="26"/>
          <w:highlight w:val="white"/>
        </w:rPr>
      </w:r>
      <w:r>
        <w:rPr>
          <w:b/>
          <w:sz w:val="26"/>
          <w:szCs w:val="26"/>
          <w:highlight w:val="white"/>
        </w:rPr>
      </w:r>
    </w:p>
    <w:tbl>
      <w:tblPr>
        <w:tblW w:w="1049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336"/>
        <w:gridCol w:w="2547"/>
        <w:gridCol w:w="1422"/>
        <w:gridCol w:w="992"/>
        <w:gridCol w:w="1276"/>
        <w:gridCol w:w="1349"/>
      </w:tblGrid>
      <w:tr>
        <w:tblPrEx/>
        <w:trPr>
          <w:jc w:val="center"/>
          <w:trHeight w:val="733"/>
        </w:trPr>
        <w:tc>
          <w:tcPr>
            <w:shd w:val="clear" w:color="auto" w:fill="auto"/>
            <w:tcW w:w="15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Наименование товара</w:t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33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Наименование товара по КТРУ</w:t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Код позиции КТРУ</w:t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Наименование и значение характеристик товара</w:t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</w:p>
          <w:p>
            <w:pPr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Кол-во,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шт.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Цена единицы Товара,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руб.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134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Сумма</w:t>
            </w:r>
            <w:r>
              <w:rPr>
                <w:rStyle w:val="1073"/>
                <w:b/>
                <w:bCs/>
                <w:sz w:val="20"/>
                <w:szCs w:val="20"/>
                <w:highlight w:val="white"/>
              </w:rPr>
              <w:footnoteReference w:id="7"/>
            </w:r>
            <w:r>
              <w:rPr>
                <w:b/>
                <w:bCs/>
                <w:sz w:val="20"/>
                <w:szCs w:val="20"/>
                <w:highlight w:val="white"/>
              </w:rPr>
              <w:t xml:space="preserve">, 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руб.</w:t>
            </w:r>
            <w:r>
              <w:rPr>
                <w:b/>
                <w:highlight w:val="white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552"/>
        </w:trPr>
        <w:tc>
          <w:tcPr>
            <w:shd w:val="clear" w:color="ffffff" w:fill="ffffff"/>
            <w:tcW w:w="1569" w:type="dxa"/>
            <w:vAlign w:val="center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highlight w:val="white"/>
              </w:rPr>
            </w:r>
            <w:r>
              <w:rPr>
                <w:color w:val="000000"/>
                <w:sz w:val="18"/>
                <w:szCs w:val="18"/>
                <w:highlight w:val="white"/>
              </w:rPr>
              <w:t xml:space="preserve">Счетчик воды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13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Счетчик производства и потребления жидкости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i/>
                <w:sz w:val="18"/>
                <w:szCs w:val="18"/>
                <w:highlight w:val="white"/>
              </w:rPr>
            </w:pPr>
            <w:r>
              <w:rPr>
                <w:i/>
                <w:sz w:val="18"/>
                <w:szCs w:val="18"/>
                <w:highlight w:val="white"/>
              </w:rPr>
              <w:t xml:space="preserve">26.51.63.120-00000001</w:t>
            </w:r>
            <w:r>
              <w:rPr>
                <w:i/>
                <w:sz w:val="18"/>
                <w:szCs w:val="18"/>
                <w:highlight w:val="white"/>
              </w:rPr>
            </w:r>
            <w:r>
              <w:rPr>
                <w:i/>
                <w:sz w:val="18"/>
                <w:szCs w:val="18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2547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Тип подключения: 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shd w:val="clear" w:color="ffffff" w:fill="ffffff"/>
            <w:tcW w:w="1422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  <w:t xml:space="preserve">резьба</w:t>
            </w: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shd w:val="clear" w:color="ffffff" w:fill="ffffff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 xml:space="preserve">4</w:t>
            </w: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color w:val="000000"/>
                <w:sz w:val="18"/>
                <w:szCs w:val="18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 xml:space="preserve">2 000,00</w:t>
            </w: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color w:val="000000"/>
                <w:sz w:val="18"/>
                <w:szCs w:val="18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34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 xml:space="preserve">8 </w:t>
            </w:r>
            <w:r>
              <w:rPr>
                <w:color w:val="000000"/>
                <w:sz w:val="18"/>
                <w:szCs w:val="18"/>
                <w:highlight w:val="white"/>
              </w:rPr>
              <w:t xml:space="preserve">000,00</w:t>
            </w: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color w:val="000000"/>
                <w:sz w:val="18"/>
                <w:szCs w:val="18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552"/>
        </w:trPr>
        <w:tc>
          <w:tcPr>
            <w:shd w:val="clear" w:color="ffffff" w:fill="ffffff"/>
            <w:tcW w:w="15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3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2547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Диаметр условного прохода: 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shd w:val="clear" w:color="ffffff" w:fill="ffffff"/>
            <w:tcW w:w="1422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  <w:t xml:space="preserve">15 мм</w:t>
            </w: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shd w:val="clear" w:color="ffffff" w:fill="ffffff"/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134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52"/>
        </w:trPr>
        <w:tc>
          <w:tcPr>
            <w:shd w:val="clear" w:color="ffffff" w:fill="ffffff"/>
            <w:tcW w:w="15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3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2547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Вид: 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shd w:val="clear" w:color="ffffff" w:fill="ffffff"/>
            <w:tcW w:w="1422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  <w:t xml:space="preserve">крыльчатый</w:t>
            </w: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shd w:val="clear" w:color="ffffff" w:fill="ffffff"/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134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52"/>
        </w:trPr>
        <w:tc>
          <w:tcPr>
            <w:shd w:val="clear" w:color="ffffff" w:fill="ffffff"/>
            <w:tcW w:w="15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3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2547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Материал корпуса: 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shd w:val="clear" w:color="ffffff" w:fill="ffffff"/>
            <w:tcW w:w="1422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  <w:t xml:space="preserve">латунь</w:t>
            </w: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shd w:val="clear" w:color="ffffff" w:fill="ffffff"/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134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52"/>
        </w:trPr>
        <w:tc>
          <w:tcPr>
            <w:shd w:val="clear" w:color="ffffff" w:fill="ffffff"/>
            <w:tcW w:w="15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3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2547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18"/>
                <w:szCs w:val="18"/>
                <w:highlight w:val="white"/>
                <w14:ligatures w14:val="none"/>
              </w:rPr>
            </w:pPr>
            <w:r>
              <w:rPr>
                <w:sz w:val="18"/>
                <w:szCs w:val="18"/>
                <w:highlight w:val="white"/>
              </w:rPr>
              <w:t xml:space="preserve">Измеряемая среда:</w:t>
            </w:r>
            <w:r>
              <w:rPr>
                <w:sz w:val="18"/>
                <w:szCs w:val="18"/>
                <w:highlight w:val="white"/>
                <w14:ligatures w14:val="none"/>
              </w:rPr>
            </w:r>
            <w:r>
              <w:rPr>
                <w:sz w:val="18"/>
                <w:szCs w:val="1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422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highlight w:val="white"/>
              </w:rPr>
              <w:t xml:space="preserve">горячая </w:t>
            </w:r>
            <w:r>
              <w:rPr>
                <w:sz w:val="18"/>
                <w:szCs w:val="18"/>
                <w:highlight w:val="white"/>
              </w:rPr>
              <w:t xml:space="preserve">вода</w:t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134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52"/>
        </w:trPr>
        <w:tc>
          <w:tcPr>
            <w:shd w:val="clear" w:color="ffffff" w:fill="ffffff"/>
            <w:tcW w:w="15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3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2547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Модель счетчика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shd w:val="clear" w:color="ffffff" w:fill="ffffff"/>
            <w:tcW w:w="14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i/>
                <w:color w:val="000000"/>
                <w:sz w:val="18"/>
                <w:szCs w:val="18"/>
                <w:highlight w:val="white"/>
                <w:lang w:val="en-US"/>
              </w:rPr>
              <w:t xml:space="preserve">Valtec VLF-15U</w:t>
            </w: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shd w:val="clear" w:color="ffffff" w:fill="ffffff"/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134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pStyle w:val="1019"/>
        <w:jc w:val="both"/>
        <w:rPr>
          <w:spacing w:val="-7"/>
          <w:sz w:val="18"/>
          <w:szCs w:val="18"/>
          <w:highlight w:val="white"/>
        </w:rPr>
      </w:pPr>
      <w:r>
        <w:rPr>
          <w:spacing w:val="-7"/>
          <w:sz w:val="18"/>
          <w:szCs w:val="18"/>
          <w:highlight w:val="white"/>
        </w:rPr>
        <w:t xml:space="preserve">Характеристики товара, которые не предусмотрены позицией КТРУ, введены на основании п.5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РФ от 08.02</w:t>
      </w:r>
      <w:r>
        <w:rPr>
          <w:spacing w:val="-7"/>
          <w:sz w:val="18"/>
          <w:szCs w:val="18"/>
          <w:highlight w:val="white"/>
        </w:rPr>
        <w:t xml:space="preserve">.2017 № 145 (Заказчиком принято решении о расширении предъявляемых характеристик поставляемого товара, которые не предусмотрены в позиции каталога, в связи с недостаточностью описания по приведенным позициям </w:t>
      </w:r>
      <w:r>
        <w:rPr>
          <w:spacing w:val="-7"/>
          <w:sz w:val="18"/>
          <w:szCs w:val="18"/>
          <w:highlight w:val="white"/>
        </w:rPr>
        <w:t xml:space="preserve">каталога, для обеспечения полноты описания объекта закупки, которое позволит максимально качественно и рационально использовать выделенные бюджетные средства для обеспечения деятельности Управления в рамках планируемой закупки,</w:t>
      </w:r>
      <w:r>
        <w:rPr>
          <w:spacing w:val="-7"/>
          <w:sz w:val="18"/>
          <w:szCs w:val="18"/>
          <w:highlight w:val="white"/>
        </w:rPr>
        <w:t xml:space="preserve"> приобрести товар соответствующий потребности Заказчика и надлежащего качества).</w:t>
      </w:r>
      <w:r>
        <w:rPr>
          <w:spacing w:val="-7"/>
          <w:sz w:val="18"/>
          <w:szCs w:val="18"/>
          <w:highlight w:val="white"/>
        </w:rPr>
      </w:r>
      <w:r>
        <w:rPr>
          <w:spacing w:val="-7"/>
          <w:sz w:val="18"/>
          <w:szCs w:val="18"/>
          <w:highlight w:val="white"/>
        </w:rPr>
      </w:r>
    </w:p>
    <w:p>
      <w:pPr>
        <w:pStyle w:val="1082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left="284" w:hanging="284"/>
        <w:jc w:val="center"/>
        <w:shd w:val="clear" w:color="auto" w:fill="ffffff"/>
        <w:widowControl w:val="off"/>
        <w:rPr>
          <w:b/>
          <w:bCs/>
          <w:spacing w:val="-4"/>
          <w:highlight w:val="white"/>
        </w:rPr>
      </w:pPr>
      <w:r>
        <w:rPr>
          <w:b/>
          <w:spacing w:val="-4"/>
          <w:highlight w:val="white"/>
        </w:rPr>
        <w:t xml:space="preserve">1. Сроки, условия и место поставки Товара.</w:t>
      </w:r>
      <w:r>
        <w:rPr>
          <w:b/>
          <w:bCs/>
          <w:spacing w:val="-4"/>
          <w:highlight w:val="white"/>
        </w:rPr>
      </w:r>
      <w:r>
        <w:rPr>
          <w:b/>
          <w:bCs/>
          <w:spacing w:val="-4"/>
          <w:highlight w:val="white"/>
        </w:rPr>
      </w:r>
    </w:p>
    <w:p>
      <w:pPr>
        <w:ind w:left="284" w:hanging="284"/>
        <w:jc w:val="both"/>
        <w:widowControl w:val="off"/>
        <w:rPr>
          <w:highlight w:val="white"/>
        </w:rPr>
      </w:pPr>
      <w:r>
        <w:rPr>
          <w:highlight w:val="white"/>
        </w:rPr>
        <w:t xml:space="preserve">1.1. </w:t>
      </w:r>
      <w:r>
        <w:rPr>
          <w:b/>
          <w:highlight w:val="white"/>
        </w:rPr>
        <w:t xml:space="preserve">Место поставки</w:t>
      </w:r>
      <w:r>
        <w:rPr>
          <w:highlight w:val="white"/>
        </w:rPr>
        <w:t xml:space="preserve">: на склад Заказчика по адресу: г. Самара, ул. Некрасовская, д.3.</w:t>
      </w:r>
      <w:r>
        <w:rPr>
          <w:highlight w:val="white"/>
        </w:rPr>
        <w:t xml:space="preserve"> При поставке Товар</w:t>
      </w:r>
      <w:r>
        <w:rPr>
          <w:highlight w:val="white"/>
        </w:rPr>
        <w:t xml:space="preserve">а</w:t>
      </w:r>
      <w:r>
        <w:rPr>
          <w:highlight w:val="white"/>
        </w:rPr>
        <w:t xml:space="preserve"> проверяется: </w:t>
      </w:r>
      <w:r>
        <w:rPr>
          <w:highlight w:val="white"/>
        </w:rPr>
      </w:r>
      <w:r>
        <w:rPr>
          <w:highlight w:val="white"/>
        </w:rPr>
      </w:r>
    </w:p>
    <w:p>
      <w:pPr>
        <w:ind w:left="284" w:hanging="284"/>
        <w:widowControl w:val="off"/>
        <w:rPr>
          <w:b/>
          <w:highlight w:val="white"/>
        </w:rPr>
      </w:pPr>
      <w:r>
        <w:rPr>
          <w:highlight w:val="white"/>
        </w:rPr>
        <w:t xml:space="preserve">- </w:t>
      </w:r>
      <w:r>
        <w:rPr>
          <w:b/>
          <w:highlight w:val="white"/>
        </w:rPr>
        <w:t xml:space="preserve">Наличие паспорта.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ind w:left="284" w:hanging="284"/>
        <w:widowControl w:val="off"/>
        <w:rPr>
          <w:b/>
          <w:highlight w:val="white"/>
        </w:rPr>
      </w:pPr>
      <w:r>
        <w:rPr>
          <w:b/>
          <w:highlight w:val="white"/>
        </w:rPr>
        <w:t xml:space="preserve">- </w:t>
      </w:r>
      <w:r>
        <w:rPr>
          <w:b/>
          <w:highlight w:val="white"/>
        </w:rPr>
        <w:t xml:space="preserve">Дата выпуска (дата поверки прибора не ранее </w:t>
      </w:r>
      <w:r>
        <w:rPr>
          <w:b/>
          <w:highlight w:val="white"/>
        </w:rPr>
        <w:t xml:space="preserve">2 </w:t>
      </w:r>
      <w:r>
        <w:rPr>
          <w:b/>
          <w:highlight w:val="white"/>
        </w:rPr>
        <w:t xml:space="preserve">квартала </w:t>
      </w:r>
      <w:r>
        <w:rPr>
          <w:b/>
          <w:highlight w:val="white"/>
        </w:rPr>
        <w:t xml:space="preserve">2026 года).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ind w:left="284" w:hanging="284"/>
        <w:widowControl w:val="off"/>
        <w:rPr>
          <w:b/>
          <w:highlight w:val="white"/>
        </w:rPr>
      </w:pPr>
      <w:r>
        <w:rPr>
          <w:b/>
          <w:highlight w:val="white"/>
        </w:rPr>
        <w:t xml:space="preserve">- М</w:t>
      </w:r>
      <w:r>
        <w:rPr>
          <w:b/>
          <w:highlight w:val="white"/>
        </w:rPr>
        <w:t xml:space="preserve">онтажны</w:t>
      </w:r>
      <w:r>
        <w:rPr>
          <w:b/>
          <w:highlight w:val="white"/>
        </w:rPr>
        <w:t xml:space="preserve">й</w:t>
      </w:r>
      <w:r>
        <w:rPr>
          <w:b/>
          <w:highlight w:val="white"/>
        </w:rPr>
        <w:t xml:space="preserve"> комплект</w:t>
      </w:r>
      <w:r>
        <w:rPr>
          <w:b/>
          <w:highlight w:val="white"/>
        </w:rPr>
        <w:t xml:space="preserve"> (сгоны).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ind w:left="284" w:hanging="284"/>
        <w:widowControl w:val="off"/>
        <w:rPr>
          <w:b/>
          <w:highlight w:val="white"/>
        </w:rPr>
      </w:pPr>
      <w:r>
        <w:rPr>
          <w:b/>
          <w:highlight w:val="white"/>
        </w:rPr>
        <w:t xml:space="preserve">- </w:t>
      </w:r>
      <w:r>
        <w:rPr>
          <w:b/>
          <w:highlight w:val="white"/>
        </w:rPr>
        <w:t xml:space="preserve">Межповерочный</w:t>
      </w:r>
      <w:r>
        <w:rPr>
          <w:b/>
          <w:highlight w:val="white"/>
        </w:rPr>
        <w:t xml:space="preserve"> интервал для счетчиков: не менее 6 лет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ind w:left="284" w:hanging="284"/>
        <w:jc w:val="both"/>
        <w:widowControl w:val="off"/>
        <w:rPr>
          <w:highlight w:val="white"/>
        </w:rPr>
      </w:pPr>
      <w:r>
        <w:rPr>
          <w:highlight w:val="white"/>
        </w:rPr>
        <w:t xml:space="preserve">1.2. Время поставки Товара: рабочие дни с </w:t>
      </w:r>
      <w:r>
        <w:rPr>
          <w:highlight w:val="white"/>
        </w:rPr>
        <w:t xml:space="preserve">09.00</w:t>
      </w:r>
      <w:r>
        <w:rPr>
          <w:highlight w:val="white"/>
        </w:rPr>
        <w:t xml:space="preserve"> до </w:t>
      </w:r>
      <w:r>
        <w:rPr>
          <w:highlight w:val="white"/>
        </w:rPr>
        <w:t xml:space="preserve">17.00</w:t>
      </w:r>
      <w:r>
        <w:rPr>
          <w:highlight w:val="white"/>
        </w:rPr>
        <w:t xml:space="preserve"> часов.</w:t>
      </w:r>
      <w:r>
        <w:rPr>
          <w:highlight w:val="white"/>
        </w:rPr>
      </w:r>
      <w:r>
        <w:rPr>
          <w:highlight w:val="white"/>
        </w:rPr>
      </w:r>
    </w:p>
    <w:p>
      <w:pPr>
        <w:ind w:left="284" w:right="-426" w:hanging="284"/>
        <w:jc w:val="both"/>
        <w:widowControl w:val="off"/>
        <w:rPr>
          <w:highlight w:val="white"/>
        </w:rPr>
      </w:pPr>
      <w:r>
        <w:rPr>
          <w:highlight w:val="white"/>
        </w:rPr>
        <w:t xml:space="preserve">1.3. </w:t>
      </w:r>
      <w:r>
        <w:rPr>
          <w:b/>
          <w:highlight w:val="white"/>
        </w:rPr>
        <w:t xml:space="preserve">Срок поставки Товара:</w:t>
      </w:r>
      <w:r>
        <w:rPr>
          <w:highlight w:val="white"/>
        </w:rPr>
        <w:t xml:space="preserve"> в </w:t>
      </w:r>
      <w:r>
        <w:rPr>
          <w:highlight w:val="white"/>
        </w:rPr>
        <w:t xml:space="preserve">течение </w:t>
      </w:r>
      <w:r>
        <w:rPr>
          <w:highlight w:val="white"/>
        </w:rPr>
        <w:t xml:space="preserve">10</w:t>
      </w:r>
      <w:r>
        <w:rPr>
          <w:highlight w:val="white"/>
        </w:rPr>
        <w:t xml:space="preserve"> (десяти</w:t>
      </w:r>
      <w:r>
        <w:rPr>
          <w:highlight w:val="white"/>
        </w:rPr>
        <w:t xml:space="preserve">) </w:t>
      </w:r>
      <w:r>
        <w:rPr>
          <w:highlight w:val="white"/>
        </w:rPr>
        <w:t xml:space="preserve">рабочих</w:t>
      </w:r>
      <w:r>
        <w:rPr>
          <w:highlight w:val="white"/>
        </w:rPr>
        <w:t xml:space="preserve"> дней с даты заключения Контракта</w:t>
      </w:r>
      <w:r>
        <w:rPr>
          <w:highlight w:val="white"/>
        </w:rPr>
        <w:t xml:space="preserve">. </w:t>
      </w:r>
      <w:r>
        <w:rPr>
          <w:highlight w:val="white"/>
        </w:rPr>
      </w:r>
      <w:r>
        <w:rPr>
          <w:highlight w:val="white"/>
        </w:rPr>
      </w:r>
    </w:p>
    <w:p>
      <w:pPr>
        <w:ind w:left="-426" w:firstLine="426"/>
        <w:jc w:val="both"/>
        <w:widowControl w:val="off"/>
        <w:rPr>
          <w:highlight w:val="white"/>
        </w:rPr>
      </w:pPr>
      <w:r>
        <w:rPr>
          <w:highlight w:val="white"/>
        </w:rPr>
        <w:t xml:space="preserve">1.4. Товар поставляется в упаковке и таре, обеспечива</w:t>
      </w:r>
      <w:r>
        <w:rPr>
          <w:highlight w:val="white"/>
        </w:rPr>
        <w:t xml:space="preserve">ющей сохранность Товара при его </w:t>
      </w:r>
      <w:r>
        <w:rPr>
          <w:highlight w:val="white"/>
        </w:rPr>
        <w:t xml:space="preserve">транспортировке и хранении.</w:t>
      </w:r>
      <w:r>
        <w:rPr>
          <w:highlight w:val="white"/>
        </w:rPr>
      </w:r>
      <w:r>
        <w:rPr>
          <w:highlight w:val="white"/>
        </w:rPr>
      </w:r>
    </w:p>
    <w:p>
      <w:pPr>
        <w:ind w:hanging="426"/>
        <w:jc w:val="both"/>
        <w:widowControl w:val="off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1032"/>
        <w:numPr>
          <w:ilvl w:val="0"/>
          <w:numId w:val="45"/>
        </w:numPr>
        <w:jc w:val="center"/>
        <w:spacing w:line="276" w:lineRule="auto"/>
        <w:rPr>
          <w:b/>
          <w:bCs/>
          <w:highlight w:val="white"/>
        </w:rPr>
      </w:pPr>
      <w:r>
        <w:rPr>
          <w:b/>
          <w:bCs/>
          <w:highlight w:val="white"/>
        </w:rPr>
        <w:t xml:space="preserve">Требования к Товару</w:t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pStyle w:val="1032"/>
        <w:ind w:left="-425" w:right="-425" w:firstLine="425"/>
        <w:jc w:val="both"/>
        <w:widowControl w:val="off"/>
        <w:rPr>
          <w:highlight w:val="white"/>
        </w:rPr>
      </w:pPr>
      <w:r>
        <w:rPr>
          <w:highlight w:val="white"/>
        </w:rPr>
        <w:t xml:space="preserve">2.1. Поставляемый Товар новый Товар (Товар,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  <w:r>
        <w:rPr>
          <w:highlight w:val="white"/>
        </w:rPr>
      </w:r>
      <w:r>
        <w:rPr>
          <w:highlight w:val="white"/>
        </w:rPr>
      </w:r>
    </w:p>
    <w:p>
      <w:pPr>
        <w:ind w:left="-426" w:right="-425" w:firstLine="425"/>
        <w:jc w:val="both"/>
        <w:widowControl w:val="off"/>
        <w:tabs>
          <w:tab w:val="left" w:pos="709" w:leader="none"/>
          <w:tab w:val="left" w:pos="900" w:leader="none"/>
          <w:tab w:val="left" w:pos="1620" w:leader="none"/>
        </w:tabs>
        <w:rPr>
          <w:color w:val="000000"/>
          <w:szCs w:val="22"/>
          <w:highlight w:val="white"/>
        </w:rPr>
      </w:pPr>
      <w:r>
        <w:rPr>
          <w:color w:val="000000"/>
          <w:szCs w:val="22"/>
          <w:highlight w:val="white"/>
          <w:lang w:bidi="ru-RU"/>
        </w:rPr>
        <w:t xml:space="preserve">2.</w:t>
      </w:r>
      <w:r>
        <w:rPr>
          <w:color w:val="000000"/>
          <w:szCs w:val="22"/>
          <w:highlight w:val="white"/>
          <w:lang w:bidi="ru-RU"/>
        </w:rPr>
        <w:t xml:space="preserve">2</w:t>
      </w:r>
      <w:r>
        <w:rPr>
          <w:color w:val="000000"/>
          <w:szCs w:val="22"/>
          <w:highlight w:val="white"/>
          <w:lang w:bidi="ru-RU"/>
        </w:rPr>
        <w:t xml:space="preserve">. Поставляемый </w:t>
      </w:r>
      <w:r>
        <w:rPr>
          <w:rFonts w:eastAsia="Courier New"/>
          <w:color w:val="000000"/>
          <w:szCs w:val="22"/>
          <w:highlight w:val="white"/>
          <w:lang w:bidi="ru-RU"/>
        </w:rPr>
        <w:t xml:space="preserve">Товар должен быть включен в Государственный реестр средств измерения Российской Федерации, иметь сертификат, паспорт соответствия и печать государственной поверки.  </w:t>
      </w:r>
      <w:r>
        <w:rPr>
          <w:color w:val="000000"/>
          <w:szCs w:val="22"/>
          <w:highlight w:val="white"/>
        </w:rPr>
      </w:r>
      <w:r>
        <w:rPr>
          <w:color w:val="000000"/>
          <w:szCs w:val="22"/>
          <w:highlight w:val="white"/>
        </w:rPr>
      </w:r>
    </w:p>
    <w:p>
      <w:pPr>
        <w:pStyle w:val="1032"/>
        <w:ind w:left="-425" w:right="-425" w:firstLine="425"/>
        <w:jc w:val="both"/>
        <w:widowControl w:val="off"/>
        <w:rPr>
          <w:highlight w:val="white"/>
        </w:rPr>
      </w:pPr>
      <w:r>
        <w:rPr>
          <w:highlight w:val="white"/>
        </w:rPr>
        <w:t xml:space="preserve">2.</w:t>
      </w:r>
      <w:r>
        <w:rPr>
          <w:highlight w:val="white"/>
        </w:rPr>
        <w:t xml:space="preserve">3</w:t>
      </w:r>
      <w:r>
        <w:rPr>
          <w:highlight w:val="white"/>
        </w:rPr>
        <w:t xml:space="preserve">. </w:t>
      </w:r>
      <w:r>
        <w:rPr>
          <w:color w:val="000000"/>
          <w:highlight w:val="white"/>
        </w:rPr>
        <w:t xml:space="preserve">Товар соответствует требованиям, установленным:</w:t>
      </w:r>
      <w:r>
        <w:rPr>
          <w:highlight w:val="white"/>
        </w:rPr>
      </w:r>
      <w:r>
        <w:rPr>
          <w:highlight w:val="white"/>
        </w:rPr>
      </w:r>
    </w:p>
    <w:p>
      <w:pPr>
        <w:ind w:left="-425" w:right="-425" w:firstLine="425"/>
        <w:jc w:val="both"/>
        <w:rPr>
          <w:highlight w:val="white"/>
        </w:rPr>
      </w:pPr>
      <w:r>
        <w:rPr>
          <w:rFonts w:eastAsia="Calibri"/>
          <w:highlight w:val="white"/>
        </w:rPr>
        <w:t xml:space="preserve">- </w:t>
      </w:r>
      <w:r>
        <w:rPr>
          <w:highlight w:val="white"/>
        </w:rPr>
        <w:t xml:space="preserve">ГОСТ Р 50601-93 «Государственный стандарт Российской Федерации. Счетчики питьевой воды </w:t>
      </w:r>
      <w:r>
        <w:rPr>
          <w:highlight w:val="white"/>
        </w:rPr>
        <w:t xml:space="preserve">крыльчатые</w:t>
      </w:r>
      <w:r>
        <w:rPr>
          <w:highlight w:val="white"/>
        </w:rPr>
        <w:t xml:space="preserve">. Общие технические условия»;</w:t>
      </w:r>
      <w:r>
        <w:rPr>
          <w:highlight w:val="white"/>
        </w:rPr>
      </w:r>
      <w:r>
        <w:rPr>
          <w:highlight w:val="white"/>
        </w:rPr>
      </w:r>
    </w:p>
    <w:p>
      <w:pPr>
        <w:ind w:left="-284" w:right="-426" w:firstLine="284"/>
        <w:jc w:val="both"/>
        <w:rPr>
          <w:rFonts w:eastAsia="Calibri"/>
          <w:highlight w:val="white"/>
        </w:rPr>
      </w:pPr>
      <w:r>
        <w:rPr>
          <w:rFonts w:eastAsia="Calibri"/>
          <w:highlight w:val="white"/>
        </w:rPr>
        <w:t xml:space="preserve">- Федеральным законом от 26.06.2008 № 102 «Об обеспечении единства измерений».</w:t>
      </w:r>
      <w:r>
        <w:rPr>
          <w:rFonts w:eastAsia="Calibri"/>
          <w:highlight w:val="white"/>
        </w:rPr>
      </w:r>
      <w:r>
        <w:rPr>
          <w:rFonts w:eastAsia="Calibri"/>
          <w:highlight w:val="white"/>
        </w:rPr>
      </w:r>
    </w:p>
    <w:p>
      <w:pPr>
        <w:ind w:right="-426"/>
        <w:jc w:val="both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1032"/>
        <w:numPr>
          <w:ilvl w:val="0"/>
          <w:numId w:val="45"/>
        </w:numPr>
        <w:ind w:right="-426"/>
        <w:jc w:val="center"/>
        <w:tabs>
          <w:tab w:val="left" w:pos="1875" w:leader="none"/>
        </w:tabs>
        <w:rPr>
          <w:b/>
          <w:highlight w:val="white"/>
        </w:rPr>
      </w:pPr>
      <w:r>
        <w:rPr>
          <w:b/>
          <w:highlight w:val="white"/>
        </w:rPr>
        <w:t xml:space="preserve">Требования к гарантийному сроку Товара и (или) объему предоставления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pStyle w:val="1032"/>
        <w:ind w:left="1080" w:right="-426"/>
        <w:jc w:val="center"/>
        <w:tabs>
          <w:tab w:val="left" w:pos="1875" w:leader="none"/>
        </w:tabs>
        <w:rPr>
          <w:b/>
          <w:highlight w:val="white"/>
        </w:rPr>
      </w:pPr>
      <w:r>
        <w:rPr>
          <w:b/>
          <w:highlight w:val="white"/>
        </w:rPr>
        <w:t xml:space="preserve">гарантий его качества</w:t>
      </w:r>
      <w:r>
        <w:rPr>
          <w:b/>
          <w:highlight w:val="white"/>
        </w:rPr>
        <w:t xml:space="preserve">.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ind w:left="-426" w:right="-426" w:firstLine="426"/>
        <w:jc w:val="both"/>
        <w:tabs>
          <w:tab w:val="left" w:pos="1875" w:leader="none"/>
        </w:tabs>
        <w:rPr>
          <w:highlight w:val="white"/>
        </w:rPr>
      </w:pPr>
      <w:r>
        <w:rPr>
          <w:highlight w:val="white"/>
        </w:rPr>
        <w:t xml:space="preserve">3</w:t>
      </w:r>
      <w:r>
        <w:rPr>
          <w:highlight w:val="white"/>
        </w:rPr>
        <w:t xml:space="preserve">.1. Поставщик гарантирует качество и безопасность поставляемого Товара действующими стандартами, техническими требованиями, ГОСТам, установленными в Российской Федерации для данного вида Товара. </w:t>
      </w:r>
      <w:r>
        <w:rPr>
          <w:highlight w:val="white"/>
        </w:rPr>
      </w:r>
      <w:r>
        <w:rPr>
          <w:highlight w:val="white"/>
        </w:rPr>
      </w:r>
    </w:p>
    <w:p>
      <w:pPr>
        <w:ind w:left="-426" w:right="-426" w:firstLine="426"/>
        <w:jc w:val="both"/>
        <w:tabs>
          <w:tab w:val="left" w:pos="1875" w:leader="none"/>
        </w:tabs>
        <w:rPr>
          <w:highlight w:val="white"/>
        </w:rPr>
      </w:pPr>
      <w:r>
        <w:rPr>
          <w:highlight w:val="white"/>
        </w:rPr>
        <w:t xml:space="preserve">3</w:t>
      </w:r>
      <w:r>
        <w:rPr>
          <w:highlight w:val="white"/>
        </w:rPr>
        <w:t xml:space="preserve">.2. Гарантийный срок на поставляемый Товар составляет </w:t>
      </w:r>
      <w:r>
        <w:rPr>
          <w:highlight w:val="white"/>
        </w:rPr>
        <w:t xml:space="preserve">не менее </w:t>
      </w:r>
      <w:r>
        <w:rPr>
          <w:highlight w:val="white"/>
        </w:rPr>
        <w:t xml:space="preserve">12 месяцев с </w:t>
      </w:r>
      <w:r>
        <w:rPr>
          <w:highlight w:val="white"/>
        </w:rPr>
        <w:t xml:space="preserve">даты </w:t>
      </w:r>
      <w:r>
        <w:rPr>
          <w:highlight w:val="white"/>
        </w:rPr>
        <w:t xml:space="preserve">подписания </w:t>
      </w:r>
      <w:r>
        <w:rPr>
          <w:highlight w:val="white"/>
        </w:rPr>
        <w:t xml:space="preserve">документа о приемке</w:t>
      </w:r>
      <w:r>
        <w:rPr>
          <w:highlight w:val="white"/>
        </w:rPr>
        <w:t xml:space="preserve"> Заказчиком. </w:t>
      </w:r>
      <w:r>
        <w:rPr>
          <w:highlight w:val="white"/>
        </w:rPr>
      </w:r>
      <w:r>
        <w:rPr>
          <w:highlight w:val="white"/>
        </w:rPr>
      </w:r>
    </w:p>
    <w:p>
      <w:pPr>
        <w:ind w:left="-426" w:right="-426" w:firstLine="426"/>
        <w:jc w:val="both"/>
        <w:tabs>
          <w:tab w:val="left" w:pos="1875" w:leader="none"/>
        </w:tabs>
        <w:rPr>
          <w:highlight w:val="white"/>
        </w:rPr>
      </w:pPr>
      <w:r>
        <w:rPr>
          <w:highlight w:val="white"/>
        </w:rPr>
        <w:t xml:space="preserve">3</w:t>
      </w:r>
      <w:r>
        <w:rPr>
          <w:highlight w:val="white"/>
        </w:rPr>
        <w:t xml:space="preserve">.3. Если в период действия гарантийного срока </w:t>
      </w:r>
      <w:r>
        <w:rPr>
          <w:highlight w:val="white"/>
        </w:rPr>
        <w:t xml:space="preserve">обнаружатся недостатки, которые не позволят продолжить норма</w:t>
      </w:r>
      <w:bookmarkStart w:id="3" w:name="_GoBack"/>
      <w:r>
        <w:rPr>
          <w:highlight w:val="white"/>
        </w:rPr>
      </w:r>
      <w:bookmarkEnd w:id="3"/>
      <w:r>
        <w:rPr>
          <w:highlight w:val="white"/>
        </w:rPr>
        <w:t xml:space="preserve">льную эксплуатацию (использование) Товара, Заказчик вправе потребовать от </w:t>
      </w:r>
      <w:r>
        <w:rPr>
          <w:highlight w:val="white"/>
        </w:rPr>
        <w:t xml:space="preserve">Поставщика безвозмездного устранения недостатков </w:t>
      </w:r>
      <w:r>
        <w:rPr>
          <w:highlight w:val="white"/>
        </w:rPr>
        <w:t xml:space="preserve">Т</w:t>
      </w:r>
      <w:r>
        <w:rPr>
          <w:highlight w:val="white"/>
        </w:rPr>
        <w:t xml:space="preserve">овара или его </w:t>
      </w:r>
      <w:r>
        <w:rPr>
          <w:highlight w:val="white"/>
        </w:rPr>
        <w:t xml:space="preserve">замены. </w:t>
      </w:r>
      <w:r>
        <w:rPr>
          <w:highlight w:val="white"/>
        </w:rPr>
      </w:r>
      <w:r>
        <w:rPr>
          <w:highlight w:val="white"/>
        </w:rPr>
      </w:r>
    </w:p>
    <w:p>
      <w:pPr>
        <w:ind w:left="-426" w:right="-426" w:firstLine="426"/>
        <w:jc w:val="both"/>
        <w:tabs>
          <w:tab w:val="left" w:pos="1875" w:leader="none"/>
        </w:tabs>
        <w:rPr>
          <w:highlight w:val="white"/>
        </w:rPr>
      </w:pPr>
      <w:r>
        <w:rPr>
          <w:highlight w:val="white"/>
        </w:rPr>
        <w:t xml:space="preserve">3</w:t>
      </w:r>
      <w:r>
        <w:rPr>
          <w:highlight w:val="white"/>
        </w:rPr>
        <w:t xml:space="preserve">.4. Заказчик в течение 10 (десяти) рабочих дней с момента обнаружения недостатков письменно уведомляет Поставщика обо всех претензиях, связанных с данным гарантийным обязательством.</w:t>
      </w:r>
      <w:r>
        <w:rPr>
          <w:highlight w:val="white"/>
        </w:rPr>
      </w:r>
      <w:r>
        <w:rPr>
          <w:highlight w:val="white"/>
        </w:rPr>
      </w:r>
    </w:p>
    <w:p>
      <w:pPr>
        <w:ind w:left="-426" w:right="-426" w:firstLine="426"/>
        <w:jc w:val="both"/>
        <w:tabs>
          <w:tab w:val="left" w:pos="1875" w:leader="none"/>
        </w:tabs>
        <w:rPr>
          <w:highlight w:val="white"/>
        </w:rPr>
      </w:pPr>
      <w:r>
        <w:rPr>
          <w:highlight w:val="white"/>
        </w:rPr>
        <w:t xml:space="preserve">3</w:t>
      </w:r>
      <w:r>
        <w:rPr>
          <w:highlight w:val="white"/>
        </w:rPr>
        <w:t xml:space="preserve">.5. После получения такого уведомления Поставщик в течение 10 (десяти) рабочих дней проводит замену некачественного Товара или его части без расходов со стороны Заказчика.</w:t>
      </w:r>
      <w:r>
        <w:rPr>
          <w:highlight w:val="white"/>
        </w:rPr>
      </w:r>
      <w:r>
        <w:rPr>
          <w:highlight w:val="white"/>
        </w:rPr>
      </w:r>
    </w:p>
    <w:p>
      <w:pPr>
        <w:ind w:left="-426" w:right="-426" w:firstLine="426"/>
        <w:jc w:val="both"/>
        <w:tabs>
          <w:tab w:val="left" w:pos="1875" w:leader="none"/>
        </w:tabs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left="-426" w:right="-426" w:firstLine="426"/>
        <w:jc w:val="both"/>
        <w:tabs>
          <w:tab w:val="left" w:pos="1875" w:leader="none"/>
        </w:tabs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left="-426" w:right="-426" w:firstLine="426"/>
        <w:jc w:val="both"/>
        <w:tabs>
          <w:tab w:val="left" w:pos="1875" w:leader="none"/>
        </w:tabs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7"/>
        <w:gridCol w:w="4787"/>
      </w:tblGrid>
      <w:tr>
        <w:tblPrEx/>
        <w:trPr/>
        <w:tc>
          <w:tcPr>
            <w:shd w:val="clear" w:color="auto" w:fill="auto"/>
            <w:tcW w:w="4787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bCs/>
                <w:spacing w:val="-7"/>
                <w:highlight w:val="white"/>
              </w:rPr>
            </w:pPr>
            <w:r>
              <w:rPr>
                <w:b/>
                <w:bCs/>
                <w:spacing w:val="-7"/>
                <w:highlight w:val="white"/>
              </w:rPr>
              <w:t xml:space="preserve">Заказчик:</w:t>
            </w:r>
            <w:r>
              <w:rPr>
                <w:b/>
                <w:bCs/>
                <w:spacing w:val="-7"/>
                <w:highlight w:val="white"/>
              </w:rPr>
            </w:r>
            <w:r>
              <w:rPr>
                <w:b/>
                <w:bCs/>
                <w:spacing w:val="-7"/>
                <w:highlight w:val="white"/>
              </w:rPr>
            </w:r>
          </w:p>
          <w:p>
            <w:pPr>
              <w:ind w:left="231"/>
              <w:widowControl w:val="off"/>
              <w:tabs>
                <w:tab w:val="left" w:pos="1425" w:leader="none"/>
                <w:tab w:val="right" w:pos="9355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Заместитель руководителя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  <w:p>
            <w:pPr>
              <w:widowControl w:val="off"/>
              <w:rPr>
                <w:b/>
                <w:bCs/>
                <w:spacing w:val="-7"/>
                <w:highlight w:val="white"/>
              </w:rPr>
            </w:pPr>
            <w:r>
              <w:rPr>
                <w:b/>
                <w:bCs/>
                <w:spacing w:val="-7"/>
                <w:highlight w:val="white"/>
              </w:rPr>
            </w:r>
            <w:r>
              <w:rPr>
                <w:b/>
                <w:bCs/>
                <w:spacing w:val="-7"/>
                <w:highlight w:val="white"/>
              </w:rPr>
            </w:r>
            <w:r>
              <w:rPr>
                <w:b/>
                <w:bCs/>
                <w:spacing w:val="-7"/>
                <w:highlight w:val="white"/>
              </w:rPr>
            </w:r>
          </w:p>
          <w:p>
            <w:pPr>
              <w:widowControl w:val="off"/>
              <w:rPr>
                <w:spacing w:val="-7"/>
                <w:highlight w:val="white"/>
              </w:rPr>
            </w:pPr>
            <w:r>
              <w:rPr>
                <w:b/>
                <w:bCs/>
                <w:spacing w:val="-7"/>
                <w:highlight w:val="white"/>
              </w:rPr>
              <w:t xml:space="preserve">____________________ О.Г. Суздальцева</w:t>
            </w:r>
            <w:r>
              <w:rPr>
                <w:spacing w:val="-7"/>
                <w:highlight w:val="white"/>
              </w:rPr>
            </w:r>
            <w:r>
              <w:rPr>
                <w:spacing w:val="-7"/>
                <w:highlight w:val="white"/>
              </w:rPr>
            </w:r>
          </w:p>
        </w:tc>
        <w:tc>
          <w:tcPr>
            <w:shd w:val="clear" w:color="auto" w:fill="auto"/>
            <w:tcW w:w="4787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bCs/>
                <w:spacing w:val="-7"/>
                <w:highlight w:val="white"/>
              </w:rPr>
            </w:pPr>
            <w:r>
              <w:rPr>
                <w:b/>
                <w:bCs/>
                <w:spacing w:val="-7"/>
                <w:highlight w:val="white"/>
              </w:rPr>
              <w:t xml:space="preserve">Поставщик:</w:t>
            </w:r>
            <w:r>
              <w:rPr>
                <w:b/>
                <w:bCs/>
                <w:spacing w:val="-7"/>
                <w:highlight w:val="white"/>
              </w:rPr>
            </w:r>
            <w:r>
              <w:rPr>
                <w:b/>
                <w:bCs/>
                <w:spacing w:val="-7"/>
                <w:highlight w:val="white"/>
              </w:rPr>
            </w:r>
          </w:p>
          <w:p>
            <w:pPr>
              <w:widowControl w:val="off"/>
              <w:rPr>
                <w:b/>
                <w:bCs/>
                <w:spacing w:val="-7"/>
                <w:highlight w:val="white"/>
              </w:rPr>
            </w:pPr>
            <w:r>
              <w:rPr>
                <w:b/>
                <w:bCs/>
                <w:spacing w:val="-7"/>
                <w:highlight w:val="white"/>
              </w:rPr>
            </w:r>
            <w:r>
              <w:rPr>
                <w:b/>
                <w:bCs/>
                <w:spacing w:val="-7"/>
                <w:highlight w:val="white"/>
              </w:rPr>
            </w:r>
            <w:r>
              <w:rPr>
                <w:b/>
                <w:bCs/>
                <w:spacing w:val="-7"/>
                <w:highlight w:val="white"/>
              </w:rPr>
            </w:r>
          </w:p>
          <w:p>
            <w:pPr>
              <w:widowControl w:val="off"/>
              <w:rPr>
                <w:b/>
                <w:bCs/>
                <w:spacing w:val="-7"/>
                <w:highlight w:val="white"/>
              </w:rPr>
            </w:pPr>
            <w:r>
              <w:rPr>
                <w:b/>
                <w:bCs/>
                <w:spacing w:val="-7"/>
                <w:highlight w:val="white"/>
              </w:rPr>
            </w:r>
            <w:r>
              <w:rPr>
                <w:b/>
                <w:bCs/>
                <w:spacing w:val="-7"/>
                <w:highlight w:val="white"/>
              </w:rPr>
            </w:r>
            <w:r>
              <w:rPr>
                <w:b/>
                <w:bCs/>
                <w:spacing w:val="-7"/>
                <w:highlight w:val="white"/>
              </w:rPr>
            </w:r>
          </w:p>
          <w:p>
            <w:pPr>
              <w:widowControl w:val="off"/>
              <w:rPr>
                <w:b/>
                <w:bCs/>
                <w:spacing w:val="-7"/>
                <w:highlight w:val="white"/>
              </w:rPr>
            </w:pPr>
            <w:r>
              <w:rPr>
                <w:b/>
                <w:bCs/>
                <w:spacing w:val="-7"/>
                <w:highlight w:val="white"/>
              </w:rPr>
              <w:t xml:space="preserve">________________ </w:t>
            </w:r>
            <w:r>
              <w:rPr>
                <w:b/>
                <w:bCs/>
                <w:spacing w:val="-7"/>
                <w:highlight w:val="white"/>
              </w:rPr>
            </w:r>
            <w:r>
              <w:rPr>
                <w:b/>
                <w:bCs/>
                <w:spacing w:val="-7"/>
                <w:highlight w:val="white"/>
              </w:rPr>
            </w:r>
          </w:p>
        </w:tc>
      </w:tr>
    </w:tbl>
    <w:p>
      <w:pPr>
        <w:ind w:left="-142" w:right="-426"/>
        <w:jc w:val="both"/>
        <w:tabs>
          <w:tab w:val="left" w:pos="1875" w:leader="none"/>
        </w:tabs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707" w:bottom="567" w:left="1134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Cambria">
    <w:panose1 w:val="02040503050406030204"/>
  </w:font>
  <w:font w:name="Verdana">
    <w:panose1 w:val="020B06040305040402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71"/>
        <w:jc w:val="both"/>
        <w:rPr>
          <w:sz w:val="18"/>
          <w:szCs w:val="18"/>
        </w:rPr>
      </w:pPr>
      <w:r>
        <w:rPr>
          <w:rStyle w:val="1073"/>
          <w:sz w:val="18"/>
          <w:szCs w:val="18"/>
        </w:rPr>
        <w:footnoteRef/>
      </w:r>
      <w:r>
        <w:rPr>
          <w:sz w:val="18"/>
          <w:szCs w:val="18"/>
        </w:rPr>
        <w:t xml:space="preserve"> В случае заключения Контракта с победителем закупочной сессии, указывается «и итогового протокола закупочной сессии №____________________________».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1071"/>
        <w:jc w:val="both"/>
      </w:pPr>
      <w:r/>
      <w:r/>
    </w:p>
  </w:footnote>
  <w:footnote w:id="3">
    <w:p>
      <w:pPr>
        <w:pStyle w:val="1071"/>
        <w:ind w:firstLine="709"/>
        <w:jc w:val="both"/>
      </w:pPr>
      <w:r>
        <w:rPr>
          <w:rStyle w:val="1073"/>
        </w:rPr>
        <w:footnoteRef/>
      </w:r>
      <w:r>
        <w:t xml:space="preserve"> В случае если Контракт заключается с лицом, не являющимся в соответствии с Налоговым кодексом РФ плательщиком НДС, указывается "НДС не облагается".</w:t>
      </w:r>
      <w:r/>
    </w:p>
  </w:footnote>
  <w:footnote w:id="4">
    <w:p>
      <w:pPr>
        <w:pStyle w:val="1071"/>
        <w:ind w:firstLine="709"/>
        <w:jc w:val="both"/>
      </w:pPr>
      <w:r>
        <w:rPr>
          <w:rStyle w:val="1073"/>
        </w:rPr>
        <w:footnoteRef/>
      </w:r>
      <w:r>
        <w:t xml:space="preserve"> В случае если Контракт заключается с лицом, не являющимся в соответствии с Налоговым кодексом РФ плательщиком НДС, слово «НДС» исключается.</w:t>
      </w:r>
      <w:r/>
    </w:p>
  </w:footnote>
  <w:footnote w:id="5">
    <w:p>
      <w:pPr>
        <w:pStyle w:val="1099"/>
        <w:ind w:firstLine="709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footnoteRef/>
      </w:r>
      <w:r>
        <w:rPr>
          <w:sz w:val="20"/>
          <w:szCs w:val="20"/>
        </w:rPr>
        <w:t xml:space="preserve"> Счет-фактура не предоставляется, если Поставщик не является плательщиком налога на добавленную стоимость (в том числе находится на упрощенной системе налогообложения).</w:t>
      </w:r>
      <w:r>
        <w:rPr>
          <w:sz w:val="20"/>
          <w:szCs w:val="20"/>
        </w:rPr>
      </w:r>
      <w:r>
        <w:rPr>
          <w:sz w:val="20"/>
          <w:szCs w:val="20"/>
        </w:rPr>
      </w:r>
    </w:p>
  </w:footnote>
  <w:footnote w:id="6">
    <w:p>
      <w:pPr>
        <w:pStyle w:val="1071"/>
        <w:jc w:val="both"/>
      </w:pPr>
      <w:r>
        <w:rPr>
          <w:rStyle w:val="1073"/>
        </w:rPr>
        <w:footnoteRef/>
      </w:r>
      <w:r>
        <w:t xml:space="preserve"> </w:t>
      </w:r>
      <w:r>
        <w:rPr>
          <w:sz w:val="18"/>
          <w:szCs w:val="18"/>
        </w:rPr>
        <w:t xml:space="preserve">В случае заключения Контракта в форме электронного документа данный пункт излагается в следующей редакции: "13.7. Контракт составлен в форме электронного документа, подписанного усиленными электронными подписями Сторон".</w:t>
      </w:r>
      <w:r/>
    </w:p>
  </w:footnote>
  <w:footnote w:id="7">
    <w:p>
      <w:pPr>
        <w:pStyle w:val="1085"/>
        <w:jc w:val="both"/>
        <w:rPr>
          <w:highlight w:val="white"/>
        </w:rPr>
      </w:pPr>
      <w:r>
        <w:rPr>
          <w:rStyle w:val="1073"/>
          <w:highlight w:val="white"/>
        </w:rPr>
        <w:footnoteRef/>
      </w:r>
      <w:r>
        <w:rPr>
          <w:highlight w:val="white"/>
        </w:rPr>
        <w:t xml:space="preserve"> </w:t>
      </w:r>
      <w:r>
        <w:rPr>
          <w:highlight w:val="white"/>
        </w:rPr>
        <w:t xml:space="preserve">При заключении </w:t>
      </w:r>
      <w:r>
        <w:rPr>
          <w:highlight w:val="white"/>
        </w:rPr>
        <w:t xml:space="preserve">Контракта </w:t>
      </w:r>
      <w:r>
        <w:rPr>
          <w:highlight w:val="white"/>
        </w:rPr>
        <w:t xml:space="preserve">цена единицы и сумма </w:t>
      </w:r>
      <w:r>
        <w:rPr>
          <w:highlight w:val="white"/>
        </w:rPr>
        <w:t xml:space="preserve">Контракта </w:t>
      </w:r>
      <w:r>
        <w:rPr>
          <w:highlight w:val="white"/>
        </w:rPr>
        <w:t xml:space="preserve">может быть снижена, по результатам проведения закупочной сессии, проводимой с использованием единого </w:t>
      </w:r>
      <w:r>
        <w:rPr>
          <w:highlight w:val="white"/>
        </w:rPr>
        <w:t xml:space="preserve">агрегатора</w:t>
      </w:r>
      <w:r>
        <w:rPr>
          <w:highlight w:val="white"/>
        </w:rPr>
        <w:t xml:space="preserve"> торговли (https://agregatoreat.ru) на основании Распоряжения Правительства РФ от 28.04.2018 N 824-р «О создании единого </w:t>
      </w:r>
      <w:r>
        <w:rPr>
          <w:highlight w:val="white"/>
        </w:rPr>
        <w:t xml:space="preserve">агрегатора</w:t>
      </w:r>
      <w:r>
        <w:rPr>
          <w:highlight w:val="white"/>
        </w:rPr>
        <w:t xml:space="preserve"> торговли» (при заключении </w:t>
      </w:r>
      <w:r>
        <w:rPr>
          <w:highlight w:val="white"/>
        </w:rPr>
        <w:t xml:space="preserve">Контракта </w:t>
      </w:r>
      <w:r>
        <w:rPr>
          <w:highlight w:val="white"/>
        </w:rPr>
        <w:t xml:space="preserve">данный абзац удаляется).</w:t>
      </w:r>
      <w:bookmarkStart w:id="0" w:name="undefined"/>
      <w:r>
        <w:rPr>
          <w:highlight w:val="white"/>
        </w:rPr>
      </w:r>
      <w:bookmarkEnd w:id="0"/>
      <w:r>
        <w:rPr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pStyle w:val="1071"/>
        <w:jc w:val="both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pStyle w:val="1071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9</w:t>
    </w:r>
    <w: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rFonts w:hint="default" w:ascii="Times New Roman" w:hAnsi="Times New Roman" w:cs="Times New Roman"/>
        <w:b/>
        <w:i w:val="0"/>
        <w:caps w:val="0"/>
        <w: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0" w:leader="none"/>
        </w:tabs>
      </w:pPr>
      <w:rPr>
        <w:rFonts w:hint="default" w:cs="Times New Roman"/>
        <w:b w:val="0"/>
      </w:rPr>
    </w:lvl>
    <w:lvl w:ilvl="2">
      <w:start w:val="1"/>
      <w:numFmt w:val="decimal"/>
      <w:isLgl w:val="false"/>
      <w:suff w:val="tab"/>
      <w:lvlText w:val="%1.3."/>
      <w:lvlJc w:val="left"/>
      <w:pPr>
        <w:ind w:left="1224" w:hanging="504"/>
        <w:tabs>
          <w:tab w:val="num" w:pos="0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  <w:rPr>
        <w:rFonts w:hint="default" w:cs="Times New Roman"/>
      </w:r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">
    <w:multiLevelType w:val="hybridMultilevel"/>
    <w:lvl w:ilvl="0">
      <w:start w:val="3"/>
      <w:numFmt w:val="upperRoman"/>
      <w:isLgl w:val="false"/>
      <w:suff w:val="tab"/>
      <w:lvlText w:val="%1."/>
      <w:lvlJc w:val="left"/>
      <w:pPr>
        <w:ind w:left="2989" w:hanging="720"/>
      </w:pPr>
      <w:rPr>
        <w:rFonts w:hint="default" w:ascii="Times New Roman" w:hAnsi="Times New Roman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4"/>
      <w:numFmt w:val="decimal"/>
      <w:isLgl w:val="false"/>
      <w:suff w:val="tab"/>
      <w:lvlText w:val="%1."/>
      <w:legacy w:legacy="1" w:legacyIndent="239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34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772" w:hanging="63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27"/>
      <w:numFmt w:val="decimal"/>
      <w:isLgl w:val="false"/>
      <w:suff w:val="tab"/>
      <w:lvlText w:val="%1."/>
      <w:lvlJc w:val="left"/>
      <w:pPr>
        <w:ind w:left="1140" w:hanging="705"/>
        <w:tabs>
          <w:tab w:val="num" w:pos="114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15" w:hanging="360"/>
        <w:tabs>
          <w:tab w:val="num" w:pos="151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235" w:hanging="180"/>
        <w:tabs>
          <w:tab w:val="num" w:pos="223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955" w:hanging="360"/>
        <w:tabs>
          <w:tab w:val="num" w:pos="295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75" w:hanging="360"/>
        <w:tabs>
          <w:tab w:val="num" w:pos="367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95" w:hanging="180"/>
        <w:tabs>
          <w:tab w:val="num" w:pos="439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115" w:hanging="360"/>
        <w:tabs>
          <w:tab w:val="num" w:pos="511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835" w:hanging="360"/>
        <w:tabs>
          <w:tab w:val="num" w:pos="583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555" w:hanging="180"/>
        <w:tabs>
          <w:tab w:val="num" w:pos="6555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multiLevelType w:val="hybridMultilevel"/>
    <w:lvl w:ilvl="0">
      <w:start w:val="34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7">
    <w:multiLevelType w:val="hybridMultilevel"/>
    <w:lvl w:ilvl="0">
      <w:start w:val="16"/>
      <w:numFmt w:val="decimal"/>
      <w:isLgl w:val="false"/>
      <w:suff w:val="tab"/>
      <w:lvlText w:val="%1."/>
      <w:legacy w:legacy="1" w:legacyIndent="336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isLgl w:val="false"/>
      <w:suff w:val="tab"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843" w:hanging="1425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552" w:hanging="1425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261" w:hanging="1425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tab"/>
      <w:lvlText w:val="%1.%2.%3.%4."/>
      <w:lvlJc w:val="left"/>
      <w:pPr>
        <w:ind w:left="1431" w:hanging="720"/>
      </w:pPr>
      <w:rPr>
        <w:rFonts w:hint="default"/>
        <w:b/>
      </w:rPr>
    </w:lvl>
    <w:lvl w:ilvl="4">
      <w:start w:val="1"/>
      <w:numFmt w:val="decimal"/>
      <w:isLgl/>
      <w:suff w:val="tab"/>
      <w:lvlText w:val="%1.%2.%3.%4.%5."/>
      <w:lvlJc w:val="left"/>
      <w:pPr>
        <w:ind w:left="1792" w:hanging="1080"/>
      </w:pPr>
      <w:rPr>
        <w:rFonts w:hint="default"/>
        <w:b/>
      </w:rPr>
    </w:lvl>
    <w:lvl w:ilvl="5">
      <w:start w:val="1"/>
      <w:numFmt w:val="decimal"/>
      <w:isLgl/>
      <w:suff w:val="tab"/>
      <w:lvlText w:val="%1.%2.%3.%4.%5.%6."/>
      <w:lvlJc w:val="left"/>
      <w:pPr>
        <w:ind w:left="1793" w:hanging="1080"/>
      </w:pPr>
      <w:rPr>
        <w:rFonts w:hint="default"/>
        <w:b/>
      </w:rPr>
    </w:lvl>
    <w:lvl w:ilvl="6">
      <w:start w:val="1"/>
      <w:numFmt w:val="decimal"/>
      <w:isLgl/>
      <w:suff w:val="tab"/>
      <w:lvlText w:val="%1.%2.%3.%4.%5.%6.%7."/>
      <w:lvlJc w:val="left"/>
      <w:pPr>
        <w:ind w:left="2154" w:hanging="1440"/>
      </w:pPr>
      <w:rPr>
        <w:rFonts w:hint="default"/>
        <w:b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55" w:hanging="1440"/>
      </w:pPr>
      <w:rPr>
        <w:rFonts w:hint="default"/>
        <w:b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16" w:hanging="1800"/>
      </w:pPr>
      <w:rPr>
        <w:rFonts w:hint="default"/>
        <w:b/>
      </w:rPr>
    </w:lvl>
  </w:abstractNum>
  <w:abstractNum w:abstractNumId="2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3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0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7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5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2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9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6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389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5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>
    <w:multiLevelType w:val="hybridMultilevel"/>
    <w:lvl w:ilvl="0">
      <w:start w:val="6"/>
      <w:numFmt w:val="decimal"/>
      <w:isLgl w:val="false"/>
      <w:suff w:val="tab"/>
      <w:lvlText w:val="%1."/>
      <w:legacy w:legacy="1" w:legacyIndent="239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9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3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 w:val="false"/>
      <w:suff w:val="tab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9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 w:ascii="Times New Roman" w:hAnsi="Times New Roman" w:cs="Times New Roman"/>
        <w:b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ascii="Times New Roman" w:hAnsi="Times New Roman" w:cs="Times New Roman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000" w:hanging="432"/>
        <w:tabs>
          <w:tab w:val="num" w:pos="1000" w:leader="none"/>
        </w:tabs>
      </w:pPr>
      <w:rPr>
        <w:rFonts w:hint="default"/>
      </w:rPr>
    </w:lvl>
    <w:lvl w:ilvl="2">
      <w:start w:val="1"/>
      <w:numFmt w:val="none"/>
      <w:isLgl w:val="false"/>
      <w:suff w:val="tab"/>
      <w:lvlText w:val="3.1.1"/>
      <w:lvlJc w:val="left"/>
      <w:pPr>
        <w:ind w:left="1224" w:hanging="504"/>
        <w:tabs>
          <w:tab w:val="num" w:pos="1224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hint="default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  <w:tabs>
          <w:tab w:val="num" w:pos="1429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214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286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358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430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502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574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646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7189" w:leader="none"/>
        </w:tabs>
      </w:pPr>
    </w:lvl>
  </w:abstractNum>
  <w:abstractNum w:abstractNumId="43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4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46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27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48">
    <w:multiLevelType w:val="hybridMultilevel"/>
    <w:lvl w:ilvl="0">
      <w:start w:val="27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num w:numId="1">
    <w:abstractNumId w:val="16"/>
  </w:num>
  <w:num w:numId="2">
    <w:abstractNumId w:val="42"/>
  </w:num>
  <w:num w:numId="3">
    <w:abstractNumId w:val="24"/>
  </w:num>
  <w:num w:numId="4">
    <w:abstractNumId w:val="8"/>
  </w:num>
  <w:num w:numId="5">
    <w:abstractNumId w:val="34"/>
  </w:num>
  <w:num w:numId="6">
    <w:abstractNumId w:val="17"/>
  </w:num>
  <w:num w:numId="7">
    <w:abstractNumId w:val="45"/>
  </w:num>
  <w:num w:numId="8">
    <w:abstractNumId w:val="12"/>
  </w:num>
  <w:num w:numId="9">
    <w:abstractNumId w:val="48"/>
  </w:num>
  <w:num w:numId="10">
    <w:abstractNumId w:val="47"/>
  </w:num>
  <w:num w:numId="11">
    <w:abstractNumId w:val="14"/>
  </w:num>
  <w:num w:numId="12">
    <w:abstractNumId w:val="9"/>
  </w:num>
  <w:num w:numId="13">
    <w:abstractNumId w:val="46"/>
  </w:num>
  <w:num w:numId="14">
    <w:abstractNumId w:val="23"/>
  </w:num>
  <w:num w:numId="15">
    <w:abstractNumId w:val="15"/>
  </w:num>
  <w:num w:numId="16">
    <w:abstractNumId w:val="25"/>
  </w:num>
  <w:num w:numId="17">
    <w:abstractNumId w:val="41"/>
  </w:num>
  <w:num w:numId="18">
    <w:abstractNumId w:val="43"/>
  </w:num>
  <w:num w:numId="19">
    <w:abstractNumId w:val="3"/>
  </w:num>
  <w:num w:numId="20">
    <w:abstractNumId w:val="39"/>
  </w:num>
  <w:num w:numId="21">
    <w:abstractNumId w:val="38"/>
  </w:num>
  <w:num w:numId="22">
    <w:abstractNumId w:val="37"/>
  </w:num>
  <w:num w:numId="23">
    <w:abstractNumId w:val="18"/>
  </w:num>
  <w:num w:numId="24">
    <w:abstractNumId w:val="19"/>
  </w:num>
  <w:num w:numId="25">
    <w:abstractNumId w:val="26"/>
  </w:num>
  <w:num w:numId="26">
    <w:abstractNumId w:val="35"/>
  </w:num>
  <w:num w:numId="27">
    <w:abstractNumId w:val="20"/>
  </w:num>
  <w:num w:numId="28">
    <w:abstractNumId w:val="22"/>
  </w:num>
  <w:num w:numId="29">
    <w:abstractNumId w:val="5"/>
  </w:num>
  <w:num w:numId="30">
    <w:abstractNumId w:val="2"/>
  </w:num>
  <w:num w:numId="31">
    <w:abstractNumId w:val="4"/>
  </w:num>
  <w:num w:numId="32">
    <w:abstractNumId w:val="11"/>
  </w:num>
  <w:num w:numId="33">
    <w:abstractNumId w:val="40"/>
  </w:num>
  <w:num w:numId="34">
    <w:abstractNumId w:val="6"/>
  </w:num>
  <w:num w:numId="35">
    <w:abstractNumId w:val="30"/>
  </w:num>
  <w:num w:numId="36">
    <w:abstractNumId w:val="13"/>
  </w:num>
  <w:num w:numId="37">
    <w:abstractNumId w:val="28"/>
  </w:num>
  <w:num w:numId="38">
    <w:abstractNumId w:val="32"/>
  </w:num>
  <w:num w:numId="39">
    <w:abstractNumId w:val="27"/>
  </w:num>
  <w:num w:numId="40">
    <w:abstractNumId w:val="33"/>
  </w:num>
  <w:num w:numId="41">
    <w:abstractNumId w:val="21"/>
  </w:num>
  <w:num w:numId="42">
    <w:abstractNumId w:val="10"/>
  </w:num>
  <w:num w:numId="43">
    <w:abstractNumId w:val="31"/>
  </w:num>
  <w:num w:numId="44">
    <w:abstractNumId w:val="36"/>
  </w:num>
  <w:num w:numId="45">
    <w:abstractNumId w:val="1"/>
  </w:num>
  <w:num w:numId="46">
    <w:abstractNumId w:val="0"/>
  </w:num>
  <w:num w:numId="47">
    <w:abstractNumId w:val="29"/>
  </w:num>
  <w:num w:numId="48">
    <w:abstractNumId w:val="44"/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60">
    <w:name w:val="Heading 1 Char"/>
    <w:basedOn w:val="1028"/>
    <w:link w:val="1020"/>
    <w:uiPriority w:val="9"/>
    <w:rPr>
      <w:rFonts w:ascii="Arial" w:hAnsi="Arial" w:eastAsia="Arial" w:cs="Arial"/>
      <w:sz w:val="40"/>
      <w:szCs w:val="40"/>
    </w:rPr>
  </w:style>
  <w:style w:type="character" w:styleId="861">
    <w:name w:val="Heading 2 Char"/>
    <w:basedOn w:val="1028"/>
    <w:link w:val="1021"/>
    <w:uiPriority w:val="9"/>
    <w:rPr>
      <w:rFonts w:ascii="Arial" w:hAnsi="Arial" w:eastAsia="Arial" w:cs="Arial"/>
      <w:sz w:val="34"/>
    </w:rPr>
  </w:style>
  <w:style w:type="character" w:styleId="862">
    <w:name w:val="Heading 3 Char"/>
    <w:basedOn w:val="1028"/>
    <w:link w:val="1022"/>
    <w:uiPriority w:val="9"/>
    <w:rPr>
      <w:rFonts w:ascii="Arial" w:hAnsi="Arial" w:eastAsia="Arial" w:cs="Arial"/>
      <w:sz w:val="30"/>
      <w:szCs w:val="30"/>
    </w:rPr>
  </w:style>
  <w:style w:type="character" w:styleId="863">
    <w:name w:val="Heading 4 Char"/>
    <w:basedOn w:val="1028"/>
    <w:link w:val="1023"/>
    <w:uiPriority w:val="9"/>
    <w:rPr>
      <w:rFonts w:ascii="Arial" w:hAnsi="Arial" w:eastAsia="Arial" w:cs="Arial"/>
      <w:b/>
      <w:bCs/>
      <w:sz w:val="26"/>
      <w:szCs w:val="26"/>
    </w:rPr>
  </w:style>
  <w:style w:type="character" w:styleId="864">
    <w:name w:val="Heading 5 Char"/>
    <w:basedOn w:val="1028"/>
    <w:link w:val="1024"/>
    <w:uiPriority w:val="9"/>
    <w:rPr>
      <w:rFonts w:ascii="Arial" w:hAnsi="Arial" w:eastAsia="Arial" w:cs="Arial"/>
      <w:b/>
      <w:bCs/>
      <w:sz w:val="24"/>
      <w:szCs w:val="24"/>
    </w:rPr>
  </w:style>
  <w:style w:type="character" w:styleId="865">
    <w:name w:val="Heading 6 Char"/>
    <w:basedOn w:val="1028"/>
    <w:link w:val="1025"/>
    <w:uiPriority w:val="9"/>
    <w:rPr>
      <w:rFonts w:ascii="Arial" w:hAnsi="Arial" w:eastAsia="Arial" w:cs="Arial"/>
      <w:b/>
      <w:bCs/>
      <w:sz w:val="22"/>
      <w:szCs w:val="22"/>
    </w:rPr>
  </w:style>
  <w:style w:type="character" w:styleId="866">
    <w:name w:val="Heading 7 Char"/>
    <w:basedOn w:val="1028"/>
    <w:link w:val="10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67">
    <w:name w:val="Heading 8 Char"/>
    <w:basedOn w:val="1028"/>
    <w:link w:val="1027"/>
    <w:uiPriority w:val="9"/>
    <w:rPr>
      <w:rFonts w:ascii="Arial" w:hAnsi="Arial" w:eastAsia="Arial" w:cs="Arial"/>
      <w:i/>
      <w:iCs/>
      <w:sz w:val="22"/>
      <w:szCs w:val="22"/>
    </w:rPr>
  </w:style>
  <w:style w:type="paragraph" w:styleId="868">
    <w:name w:val="Heading 9"/>
    <w:basedOn w:val="1019"/>
    <w:next w:val="1019"/>
    <w:link w:val="86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69">
    <w:name w:val="Heading 9 Char"/>
    <w:basedOn w:val="1028"/>
    <w:link w:val="868"/>
    <w:uiPriority w:val="9"/>
    <w:rPr>
      <w:rFonts w:ascii="Arial" w:hAnsi="Arial" w:eastAsia="Arial" w:cs="Arial"/>
      <w:i/>
      <w:iCs/>
      <w:sz w:val="21"/>
      <w:szCs w:val="21"/>
    </w:rPr>
  </w:style>
  <w:style w:type="character" w:styleId="870">
    <w:name w:val="Title Char"/>
    <w:basedOn w:val="1028"/>
    <w:link w:val="1050"/>
    <w:uiPriority w:val="10"/>
    <w:rPr>
      <w:sz w:val="48"/>
      <w:szCs w:val="48"/>
    </w:rPr>
  </w:style>
  <w:style w:type="character" w:styleId="871">
    <w:name w:val="Subtitle Char"/>
    <w:basedOn w:val="1028"/>
    <w:link w:val="1088"/>
    <w:uiPriority w:val="11"/>
    <w:rPr>
      <w:sz w:val="24"/>
      <w:szCs w:val="24"/>
    </w:rPr>
  </w:style>
  <w:style w:type="paragraph" w:styleId="872">
    <w:name w:val="Quote"/>
    <w:basedOn w:val="1019"/>
    <w:next w:val="1019"/>
    <w:link w:val="873"/>
    <w:uiPriority w:val="29"/>
    <w:qFormat/>
    <w:pPr>
      <w:ind w:left="720" w:right="720"/>
    </w:pPr>
    <w:rPr>
      <w:i/>
    </w:rPr>
  </w:style>
  <w:style w:type="character" w:styleId="873">
    <w:name w:val="Quote Char"/>
    <w:link w:val="872"/>
    <w:uiPriority w:val="29"/>
    <w:rPr>
      <w:i/>
    </w:rPr>
  </w:style>
  <w:style w:type="paragraph" w:styleId="874">
    <w:name w:val="Intense Quote"/>
    <w:basedOn w:val="1019"/>
    <w:next w:val="1019"/>
    <w:link w:val="87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75">
    <w:name w:val="Intense Quote Char"/>
    <w:link w:val="874"/>
    <w:uiPriority w:val="30"/>
    <w:rPr>
      <w:i/>
    </w:rPr>
  </w:style>
  <w:style w:type="character" w:styleId="876">
    <w:name w:val="Header Char"/>
    <w:basedOn w:val="1028"/>
    <w:link w:val="1052"/>
    <w:uiPriority w:val="99"/>
  </w:style>
  <w:style w:type="character" w:styleId="877">
    <w:name w:val="Footer Char"/>
    <w:basedOn w:val="1028"/>
    <w:link w:val="1058"/>
    <w:uiPriority w:val="99"/>
  </w:style>
  <w:style w:type="paragraph" w:styleId="878">
    <w:name w:val="Caption"/>
    <w:basedOn w:val="1019"/>
    <w:next w:val="10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79">
    <w:name w:val="Caption Char"/>
    <w:basedOn w:val="878"/>
    <w:link w:val="1058"/>
    <w:uiPriority w:val="99"/>
  </w:style>
  <w:style w:type="table" w:styleId="880">
    <w:name w:val="Table Grid"/>
    <w:basedOn w:val="102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1">
    <w:name w:val="Table Grid Light"/>
    <w:basedOn w:val="10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2">
    <w:name w:val="Plain Table 1"/>
    <w:basedOn w:val="10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83">
    <w:name w:val="Plain Table 2"/>
    <w:basedOn w:val="102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84">
    <w:name w:val="Plain Table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85">
    <w:name w:val="Plain Table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Plain Table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87">
    <w:name w:val="Grid Table 1 Light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Grid Table 1 Light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Grid Table 1 Light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Grid Table 1 Light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Grid Table 1 Light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Grid Table 1 Light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Grid Table 1 Light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Grid Table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Grid Table 2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Grid Table 2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Grid Table 2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Grid Table 2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Grid Table 2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Grid Table 2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Grid Table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Grid Table 3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Grid Table 3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Grid Table 3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Grid Table 3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Grid Table 3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Grid Table 3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Grid Table 4"/>
    <w:basedOn w:val="10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09">
    <w:name w:val="Grid Table 4 - Accent 1"/>
    <w:basedOn w:val="10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10">
    <w:name w:val="Grid Table 4 - Accent 2"/>
    <w:basedOn w:val="10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11">
    <w:name w:val="Grid Table 4 - Accent 3"/>
    <w:basedOn w:val="10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12">
    <w:name w:val="Grid Table 4 - Accent 4"/>
    <w:basedOn w:val="10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13">
    <w:name w:val="Grid Table 4 - Accent 5"/>
    <w:basedOn w:val="10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14">
    <w:name w:val="Grid Table 4 - Accent 6"/>
    <w:basedOn w:val="10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15">
    <w:name w:val="Grid Table 5 Dark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16">
    <w:name w:val="Grid Table 5 Dark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917">
    <w:name w:val="Grid Table 5 Dark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918">
    <w:name w:val="Grid Table 5 Dark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919">
    <w:name w:val="Grid Table 5 Dark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20">
    <w:name w:val="Grid Table 5 Dark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21">
    <w:name w:val="Grid Table 5 Dark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22">
    <w:name w:val="Grid Table 6 Colorful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23">
    <w:name w:val="Grid Table 6 Colorful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4">
    <w:name w:val="Grid Table 6 Colorful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5">
    <w:name w:val="Grid Table 6 Colorful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6">
    <w:name w:val="Grid Table 6 Colorful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27">
    <w:name w:val="Grid Table 6 Colorful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28">
    <w:name w:val="Grid Table 6 Colorful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29">
    <w:name w:val="Grid Table 7 Colorful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>
    <w:name w:val="Grid Table 7 Colorful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>
    <w:name w:val="Grid Table 7 Colorful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>
    <w:name w:val="Grid Table 7 Colorful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>
    <w:name w:val="Grid Table 7 Colorful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>
    <w:name w:val="Grid Table 7 Colorful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>
    <w:name w:val="Grid Table 7 Colorful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>
    <w:name w:val="List Table 1 Light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>
    <w:name w:val="List Table 1 Light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>
    <w:name w:val="List Table 1 Light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>
    <w:name w:val="List Table 1 Light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>
    <w:name w:val="List Table 1 Light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>
    <w:name w:val="List Table 1 Light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>
    <w:name w:val="List Table 1 Light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>
    <w:name w:val="List Table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44">
    <w:name w:val="List Table 2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45">
    <w:name w:val="List Table 2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46">
    <w:name w:val="List Table 2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47">
    <w:name w:val="List Table 2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48">
    <w:name w:val="List Table 2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49">
    <w:name w:val="List Table 2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50">
    <w:name w:val="List Table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1">
    <w:name w:val="List Table 3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2">
    <w:name w:val="List Table 3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3">
    <w:name w:val="List Table 3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4">
    <w:name w:val="List Table 3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5">
    <w:name w:val="List Table 3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6">
    <w:name w:val="List Table 3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7">
    <w:name w:val="List Table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8">
    <w:name w:val="List Table 4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9">
    <w:name w:val="List Table 4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0">
    <w:name w:val="List Table 4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1">
    <w:name w:val="List Table 4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2">
    <w:name w:val="List Table 4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3">
    <w:name w:val="List Table 4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4">
    <w:name w:val="List Table 5 Dark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65">
    <w:name w:val="List Table 5 Dark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66">
    <w:name w:val="List Table 5 Dark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67">
    <w:name w:val="List Table 5 Dark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68">
    <w:name w:val="List Table 5 Dark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69">
    <w:name w:val="List Table 5 Dark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70">
    <w:name w:val="List Table 5 Dark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71">
    <w:name w:val="List Table 6 Colorful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72">
    <w:name w:val="List Table 6 Colorful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73">
    <w:name w:val="List Table 6 Colorful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74">
    <w:name w:val="List Table 6 Colorful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75">
    <w:name w:val="List Table 6 Colorful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76">
    <w:name w:val="List Table 6 Colorful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77">
    <w:name w:val="List Table 6 Colorful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78">
    <w:name w:val="List Table 7 Colorful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79">
    <w:name w:val="List Table 7 Colorful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80">
    <w:name w:val="List Table 7 Colorful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81">
    <w:name w:val="List Table 7 Colorful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82">
    <w:name w:val="List Table 7 Colorful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83">
    <w:name w:val="List Table 7 Colorful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84">
    <w:name w:val="List Table 7 Colorful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85">
    <w:name w:val="Lined - Accent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86">
    <w:name w:val="Lined - Accent 1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87">
    <w:name w:val="Lined - Accent 2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88">
    <w:name w:val="Lined - Accent 3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89">
    <w:name w:val="Lined - Accent 4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90">
    <w:name w:val="Lined - Accent 5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91">
    <w:name w:val="Lined - Accent 6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92">
    <w:name w:val="Bordered &amp; Lined - Accent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93">
    <w:name w:val="Bordered &amp; Lined - Accent 1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94">
    <w:name w:val="Bordered &amp; Lined - Accent 2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95">
    <w:name w:val="Bordered &amp; Lined - Accent 3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96">
    <w:name w:val="Bordered &amp; Lined - Accent 4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97">
    <w:name w:val="Bordered &amp; Lined - Accent 5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98">
    <w:name w:val="Bordered &amp; Lined - Accent 6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99">
    <w:name w:val="Bordered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00">
    <w:name w:val="Bordered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01">
    <w:name w:val="Bordered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02">
    <w:name w:val="Bordered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03">
    <w:name w:val="Bordered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04">
    <w:name w:val="Bordered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05">
    <w:name w:val="Bordered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006">
    <w:name w:val="Footnote Text Char"/>
    <w:link w:val="1071"/>
    <w:uiPriority w:val="99"/>
    <w:rPr>
      <w:sz w:val="18"/>
    </w:rPr>
  </w:style>
  <w:style w:type="character" w:styleId="1007">
    <w:name w:val="Endnote Text Char"/>
    <w:link w:val="1085"/>
    <w:uiPriority w:val="99"/>
    <w:rPr>
      <w:sz w:val="20"/>
    </w:rPr>
  </w:style>
  <w:style w:type="paragraph" w:styleId="1008">
    <w:name w:val="toc 1"/>
    <w:basedOn w:val="1019"/>
    <w:next w:val="1019"/>
    <w:uiPriority w:val="39"/>
    <w:unhideWhenUsed/>
    <w:pPr>
      <w:ind w:left="0" w:right="0" w:firstLine="0"/>
      <w:spacing w:after="57"/>
    </w:pPr>
  </w:style>
  <w:style w:type="paragraph" w:styleId="1009">
    <w:name w:val="toc 2"/>
    <w:basedOn w:val="1019"/>
    <w:next w:val="1019"/>
    <w:uiPriority w:val="39"/>
    <w:unhideWhenUsed/>
    <w:pPr>
      <w:ind w:left="283" w:right="0" w:firstLine="0"/>
      <w:spacing w:after="57"/>
    </w:pPr>
  </w:style>
  <w:style w:type="paragraph" w:styleId="1010">
    <w:name w:val="toc 3"/>
    <w:basedOn w:val="1019"/>
    <w:next w:val="1019"/>
    <w:uiPriority w:val="39"/>
    <w:unhideWhenUsed/>
    <w:pPr>
      <w:ind w:left="567" w:right="0" w:firstLine="0"/>
      <w:spacing w:after="57"/>
    </w:pPr>
  </w:style>
  <w:style w:type="paragraph" w:styleId="1011">
    <w:name w:val="toc 4"/>
    <w:basedOn w:val="1019"/>
    <w:next w:val="1019"/>
    <w:uiPriority w:val="39"/>
    <w:unhideWhenUsed/>
    <w:pPr>
      <w:ind w:left="850" w:right="0" w:firstLine="0"/>
      <w:spacing w:after="57"/>
    </w:pPr>
  </w:style>
  <w:style w:type="paragraph" w:styleId="1012">
    <w:name w:val="toc 5"/>
    <w:basedOn w:val="1019"/>
    <w:next w:val="1019"/>
    <w:uiPriority w:val="39"/>
    <w:unhideWhenUsed/>
    <w:pPr>
      <w:ind w:left="1134" w:right="0" w:firstLine="0"/>
      <w:spacing w:after="57"/>
    </w:pPr>
  </w:style>
  <w:style w:type="paragraph" w:styleId="1013">
    <w:name w:val="toc 6"/>
    <w:basedOn w:val="1019"/>
    <w:next w:val="1019"/>
    <w:uiPriority w:val="39"/>
    <w:unhideWhenUsed/>
    <w:pPr>
      <w:ind w:left="1417" w:right="0" w:firstLine="0"/>
      <w:spacing w:after="57"/>
    </w:pPr>
  </w:style>
  <w:style w:type="paragraph" w:styleId="1014">
    <w:name w:val="toc 7"/>
    <w:basedOn w:val="1019"/>
    <w:next w:val="1019"/>
    <w:uiPriority w:val="39"/>
    <w:unhideWhenUsed/>
    <w:pPr>
      <w:ind w:left="1701" w:right="0" w:firstLine="0"/>
      <w:spacing w:after="57"/>
    </w:pPr>
  </w:style>
  <w:style w:type="paragraph" w:styleId="1015">
    <w:name w:val="toc 8"/>
    <w:basedOn w:val="1019"/>
    <w:next w:val="1019"/>
    <w:uiPriority w:val="39"/>
    <w:unhideWhenUsed/>
    <w:pPr>
      <w:ind w:left="1984" w:right="0" w:firstLine="0"/>
      <w:spacing w:after="57"/>
    </w:pPr>
  </w:style>
  <w:style w:type="paragraph" w:styleId="1016">
    <w:name w:val="toc 9"/>
    <w:basedOn w:val="1019"/>
    <w:next w:val="1019"/>
    <w:uiPriority w:val="39"/>
    <w:unhideWhenUsed/>
    <w:pPr>
      <w:ind w:left="2268" w:right="0" w:firstLine="0"/>
      <w:spacing w:after="57"/>
    </w:pPr>
  </w:style>
  <w:style w:type="paragraph" w:styleId="1017">
    <w:name w:val="TOC Heading"/>
    <w:uiPriority w:val="39"/>
    <w:unhideWhenUsed/>
  </w:style>
  <w:style w:type="paragraph" w:styleId="1018">
    <w:name w:val="table of figures"/>
    <w:basedOn w:val="1019"/>
    <w:next w:val="1019"/>
    <w:uiPriority w:val="99"/>
    <w:unhideWhenUsed/>
    <w:pPr>
      <w:spacing w:after="0" w:afterAutospacing="0"/>
    </w:pPr>
  </w:style>
  <w:style w:type="paragraph" w:styleId="1019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0">
    <w:name w:val="Heading 1"/>
    <w:basedOn w:val="1019"/>
    <w:next w:val="1019"/>
    <w:link w:val="1033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1021">
    <w:name w:val="Heading 2"/>
    <w:basedOn w:val="1019"/>
    <w:next w:val="1019"/>
    <w:link w:val="1034"/>
    <w:qFormat/>
    <w:pPr>
      <w:ind w:firstLine="720"/>
      <w:jc w:val="both"/>
      <w:keepNext/>
      <w:spacing w:before="240" w:after="60" w:line="360" w:lineRule="auto"/>
      <w:widowControl w:val="off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1022">
    <w:name w:val="Heading 3"/>
    <w:basedOn w:val="1019"/>
    <w:next w:val="1019"/>
    <w:link w:val="1035"/>
    <w:qFormat/>
    <w:pPr>
      <w:ind w:firstLine="720"/>
      <w:jc w:val="both"/>
      <w:keepNext/>
      <w:spacing w:before="240" w:after="60" w:line="360" w:lineRule="auto"/>
      <w:widowControl w:val="off"/>
      <w:outlineLvl w:val="2"/>
    </w:pPr>
    <w:rPr>
      <w:rFonts w:ascii="Arial" w:hAnsi="Arial" w:cs="Arial"/>
      <w:b/>
      <w:bCs/>
      <w:sz w:val="26"/>
      <w:szCs w:val="26"/>
    </w:rPr>
  </w:style>
  <w:style w:type="paragraph" w:styleId="1023">
    <w:name w:val="Heading 4"/>
    <w:basedOn w:val="1019"/>
    <w:next w:val="1019"/>
    <w:link w:val="1036"/>
    <w:qFormat/>
    <w:pPr>
      <w:jc w:val="center"/>
      <w:keepNext/>
      <w:widowControl w:val="off"/>
      <w:outlineLvl w:val="3"/>
    </w:pPr>
    <w:rPr>
      <w:b/>
      <w:bCs/>
      <w:color w:val="000000"/>
      <w:sz w:val="28"/>
      <w:szCs w:val="28"/>
    </w:rPr>
  </w:style>
  <w:style w:type="paragraph" w:styleId="1024">
    <w:name w:val="Heading 5"/>
    <w:basedOn w:val="1019"/>
    <w:next w:val="1019"/>
    <w:link w:val="1037"/>
    <w:qFormat/>
    <w:pPr>
      <w:ind w:firstLine="5940"/>
      <w:keepNext/>
      <w:outlineLvl w:val="4"/>
    </w:pPr>
    <w:rPr>
      <w:caps/>
      <w:sz w:val="28"/>
      <w:szCs w:val="28"/>
    </w:rPr>
  </w:style>
  <w:style w:type="paragraph" w:styleId="1025">
    <w:name w:val="Heading 6"/>
    <w:basedOn w:val="1019"/>
    <w:next w:val="1019"/>
    <w:link w:val="1038"/>
    <w:qFormat/>
    <w:pPr>
      <w:ind w:firstLine="720"/>
      <w:jc w:val="both"/>
      <w:spacing w:before="240" w:after="60" w:line="360" w:lineRule="auto"/>
      <w:widowControl w:val="off"/>
      <w:outlineLvl w:val="5"/>
    </w:pPr>
    <w:rPr>
      <w:b/>
      <w:bCs/>
      <w:sz w:val="22"/>
      <w:szCs w:val="22"/>
    </w:rPr>
  </w:style>
  <w:style w:type="paragraph" w:styleId="1026">
    <w:name w:val="Heading 7"/>
    <w:basedOn w:val="1019"/>
    <w:next w:val="1019"/>
    <w:link w:val="1039"/>
    <w:qFormat/>
    <w:pPr>
      <w:spacing w:before="240" w:after="60"/>
      <w:outlineLvl w:val="6"/>
    </w:pPr>
  </w:style>
  <w:style w:type="paragraph" w:styleId="1027">
    <w:name w:val="Heading 8"/>
    <w:basedOn w:val="1019"/>
    <w:next w:val="1019"/>
    <w:link w:val="1040"/>
    <w:qFormat/>
    <w:pPr>
      <w:ind w:firstLine="720"/>
      <w:jc w:val="center"/>
      <w:keepNext/>
      <w:spacing w:line="336" w:lineRule="auto"/>
      <w:widowControl w:val="off"/>
      <w:outlineLvl w:val="7"/>
    </w:pPr>
    <w:rPr>
      <w:b/>
      <w:bCs/>
      <w:sz w:val="28"/>
      <w:szCs w:val="28"/>
    </w:rPr>
  </w:style>
  <w:style w:type="character" w:styleId="1028" w:default="1">
    <w:name w:val="Default Paragraph Font"/>
    <w:uiPriority w:val="1"/>
    <w:unhideWhenUsed/>
  </w:style>
  <w:style w:type="table" w:styleId="10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30" w:default="1">
    <w:name w:val="No List"/>
    <w:uiPriority w:val="99"/>
    <w:semiHidden/>
    <w:unhideWhenUsed/>
  </w:style>
  <w:style w:type="paragraph" w:styleId="1031" w:customStyle="1">
    <w:name w:val="ConsPlusTitle"/>
    <w:pPr>
      <w:spacing w:after="0" w:line="240" w:lineRule="auto"/>
      <w:widowControl w:val="off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032">
    <w:name w:val="List Paragraph"/>
    <w:basedOn w:val="1019"/>
    <w:link w:val="1100"/>
    <w:uiPriority w:val="34"/>
    <w:qFormat/>
    <w:pPr>
      <w:contextualSpacing/>
      <w:ind w:left="720"/>
    </w:pPr>
  </w:style>
  <w:style w:type="character" w:styleId="1033" w:customStyle="1">
    <w:name w:val="Заголовок 1 Знак"/>
    <w:basedOn w:val="1028"/>
    <w:link w:val="1020"/>
    <w:rPr>
      <w:rFonts w:ascii="Arial" w:hAnsi="Arial" w:eastAsia="Times New Roman" w:cs="Arial"/>
      <w:b/>
      <w:bCs/>
      <w:sz w:val="32"/>
      <w:szCs w:val="32"/>
      <w:lang w:eastAsia="ru-RU"/>
    </w:rPr>
  </w:style>
  <w:style w:type="character" w:styleId="1034" w:customStyle="1">
    <w:name w:val="Заголовок 2 Знак"/>
    <w:basedOn w:val="1028"/>
    <w:link w:val="1021"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1035" w:customStyle="1">
    <w:name w:val="Заголовок 3 Знак"/>
    <w:basedOn w:val="1028"/>
    <w:link w:val="1022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1036" w:customStyle="1">
    <w:name w:val="Заголовок 4 Знак"/>
    <w:basedOn w:val="1028"/>
    <w:link w:val="1023"/>
    <w:rPr>
      <w:rFonts w:ascii="Times New Roman" w:hAnsi="Times New Roman" w:eastAsia="Times New Roman" w:cs="Times New Roman"/>
      <w:b/>
      <w:bCs/>
      <w:color w:val="000000"/>
      <w:sz w:val="28"/>
      <w:szCs w:val="28"/>
      <w:lang w:eastAsia="ru-RU"/>
    </w:rPr>
  </w:style>
  <w:style w:type="character" w:styleId="1037" w:customStyle="1">
    <w:name w:val="Заголовок 5 Знак"/>
    <w:basedOn w:val="1028"/>
    <w:link w:val="1024"/>
    <w:rPr>
      <w:rFonts w:ascii="Times New Roman" w:hAnsi="Times New Roman" w:eastAsia="Times New Roman" w:cs="Times New Roman"/>
      <w:caps/>
      <w:sz w:val="28"/>
      <w:szCs w:val="28"/>
      <w:lang w:eastAsia="ru-RU"/>
    </w:rPr>
  </w:style>
  <w:style w:type="character" w:styleId="1038" w:customStyle="1">
    <w:name w:val="Заголовок 6 Знак"/>
    <w:basedOn w:val="1028"/>
    <w:link w:val="1025"/>
    <w:rPr>
      <w:rFonts w:ascii="Times New Roman" w:hAnsi="Times New Roman" w:eastAsia="Times New Roman" w:cs="Times New Roman"/>
      <w:b/>
      <w:bCs/>
      <w:lang w:eastAsia="ru-RU"/>
    </w:rPr>
  </w:style>
  <w:style w:type="character" w:styleId="1039" w:customStyle="1">
    <w:name w:val="Заголовок 7 Знак"/>
    <w:basedOn w:val="1028"/>
    <w:link w:val="1026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40" w:customStyle="1">
    <w:name w:val="Заголовок 8 Знак"/>
    <w:basedOn w:val="1028"/>
    <w:link w:val="1027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1041">
    <w:name w:val="Body Text Indent"/>
    <w:basedOn w:val="1019"/>
    <w:link w:val="1042"/>
    <w:uiPriority w:val="99"/>
    <w:pPr>
      <w:ind w:left="283" w:firstLine="720"/>
      <w:jc w:val="both"/>
      <w:spacing w:after="120" w:line="360" w:lineRule="auto"/>
      <w:widowControl w:val="off"/>
    </w:pPr>
  </w:style>
  <w:style w:type="character" w:styleId="1042" w:customStyle="1">
    <w:name w:val="Основной текст с отступом Знак"/>
    <w:basedOn w:val="1028"/>
    <w:link w:val="104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43">
    <w:name w:val="Body Text Indent 3"/>
    <w:basedOn w:val="1019"/>
    <w:link w:val="1044"/>
    <w:uiPriority w:val="99"/>
    <w:pPr>
      <w:ind w:firstLine="720"/>
      <w:jc w:val="both"/>
      <w:spacing w:line="360" w:lineRule="auto"/>
      <w:widowControl w:val="off"/>
    </w:pPr>
    <w:rPr>
      <w:sz w:val="28"/>
      <w:szCs w:val="28"/>
    </w:rPr>
  </w:style>
  <w:style w:type="character" w:styleId="1044" w:customStyle="1">
    <w:name w:val="Основной текст с отступом 3 Знак"/>
    <w:basedOn w:val="1028"/>
    <w:link w:val="1043"/>
    <w:uiPriority w:val="99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45">
    <w:name w:val="Body Text"/>
    <w:basedOn w:val="1019"/>
    <w:link w:val="1075"/>
    <w:pPr>
      <w:jc w:val="both"/>
      <w:widowControl w:val="off"/>
    </w:pPr>
    <w:rPr>
      <w:color w:val="000000"/>
      <w:sz w:val="28"/>
      <w:szCs w:val="28"/>
    </w:rPr>
  </w:style>
  <w:style w:type="character" w:styleId="1046" w:customStyle="1">
    <w:name w:val="Основной текст Знак"/>
    <w:basedOn w:val="1028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47" w:customStyle="1">
    <w:name w:val="Обычный1"/>
    <w:pPr>
      <w:ind w:left="120" w:firstLine="560"/>
      <w:spacing w:after="0" w:line="240" w:lineRule="auto"/>
      <w:widowControl w:val="off"/>
    </w:pPr>
    <w:rPr>
      <w:rFonts w:ascii="Arial" w:hAnsi="Arial" w:eastAsia="Times New Roman" w:cs="Times New Roman"/>
      <w:szCs w:val="20"/>
      <w:lang w:eastAsia="ru-RU"/>
    </w:rPr>
  </w:style>
  <w:style w:type="paragraph" w:styleId="1048">
    <w:name w:val="Body Text 3"/>
    <w:basedOn w:val="1019"/>
    <w:link w:val="1049"/>
    <w:pPr>
      <w:spacing w:after="120"/>
    </w:pPr>
    <w:rPr>
      <w:sz w:val="16"/>
      <w:szCs w:val="16"/>
    </w:rPr>
  </w:style>
  <w:style w:type="character" w:styleId="1049" w:customStyle="1">
    <w:name w:val="Основной текст 3 Знак"/>
    <w:basedOn w:val="1028"/>
    <w:link w:val="1048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050">
    <w:name w:val="Title"/>
    <w:basedOn w:val="1019"/>
    <w:link w:val="1051"/>
    <w:qFormat/>
    <w:pPr>
      <w:jc w:val="center"/>
    </w:pPr>
    <w:rPr>
      <w:sz w:val="28"/>
      <w:szCs w:val="20"/>
    </w:rPr>
  </w:style>
  <w:style w:type="character" w:styleId="1051" w:customStyle="1">
    <w:name w:val="Заголовок Знак"/>
    <w:basedOn w:val="1028"/>
    <w:link w:val="1050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052">
    <w:name w:val="Header"/>
    <w:basedOn w:val="1019"/>
    <w:link w:val="1053"/>
    <w:uiPriority w:val="99"/>
    <w:pPr>
      <w:tabs>
        <w:tab w:val="center" w:pos="4677" w:leader="none"/>
        <w:tab w:val="right" w:pos="9355" w:leader="none"/>
      </w:tabs>
    </w:pPr>
  </w:style>
  <w:style w:type="character" w:styleId="1053" w:customStyle="1">
    <w:name w:val="Верхний колонтитул Знак"/>
    <w:basedOn w:val="1028"/>
    <w:link w:val="1052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54">
    <w:name w:val="page number"/>
    <w:basedOn w:val="1028"/>
  </w:style>
  <w:style w:type="paragraph" w:styleId="1055" w:customStyle="1">
    <w:name w:val="Основной текст с отступом 31"/>
    <w:basedOn w:val="1047"/>
    <w:pPr>
      <w:ind w:left="0" w:firstLine="709"/>
      <w:jc w:val="both"/>
      <w:spacing w:line="360" w:lineRule="auto"/>
    </w:pPr>
    <w:rPr>
      <w:sz w:val="24"/>
    </w:rPr>
  </w:style>
  <w:style w:type="paragraph" w:styleId="1056" w:customStyle="1">
    <w:name w:val="Текст_начало_2"/>
    <w:basedOn w:val="1019"/>
    <w:pPr>
      <w:jc w:val="both"/>
      <w:spacing w:line="360" w:lineRule="exact"/>
    </w:pPr>
    <w:rPr>
      <w:rFonts w:ascii="Arial" w:hAnsi="Arial"/>
      <w:szCs w:val="20"/>
      <w:lang w:val="en-GB"/>
    </w:rPr>
  </w:style>
  <w:style w:type="paragraph" w:styleId="1057" w:customStyle="1">
    <w:name w:val="Body Text 21"/>
    <w:basedOn w:val="1047"/>
    <w:pPr>
      <w:ind w:left="0" w:firstLine="851"/>
      <w:jc w:val="both"/>
      <w:spacing w:line="360" w:lineRule="auto"/>
    </w:pPr>
    <w:rPr>
      <w:sz w:val="24"/>
    </w:rPr>
  </w:style>
  <w:style w:type="paragraph" w:styleId="1058">
    <w:name w:val="Footer"/>
    <w:basedOn w:val="1019"/>
    <w:link w:val="1059"/>
    <w:uiPriority w:val="99"/>
    <w:pPr>
      <w:tabs>
        <w:tab w:val="center" w:pos="4677" w:leader="none"/>
        <w:tab w:val="right" w:pos="9355" w:leader="none"/>
      </w:tabs>
    </w:pPr>
  </w:style>
  <w:style w:type="character" w:styleId="1059" w:customStyle="1">
    <w:name w:val="Нижний колонтитул Знак"/>
    <w:basedOn w:val="1028"/>
    <w:link w:val="1058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60">
    <w:name w:val="Body Text 2"/>
    <w:basedOn w:val="1019"/>
    <w:link w:val="1061"/>
    <w:uiPriority w:val="99"/>
    <w:pPr>
      <w:jc w:val="both"/>
    </w:pPr>
    <w:rPr>
      <w:sz w:val="28"/>
      <w:szCs w:val="28"/>
    </w:rPr>
  </w:style>
  <w:style w:type="character" w:styleId="1061" w:customStyle="1">
    <w:name w:val="Основной текст 2 Знак"/>
    <w:basedOn w:val="1028"/>
    <w:link w:val="1060"/>
    <w:uiPriority w:val="99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62">
    <w:name w:val="Balloon Text"/>
    <w:basedOn w:val="1019"/>
    <w:link w:val="1063"/>
    <w:uiPriority w:val="99"/>
    <w:semiHidden/>
    <w:rPr>
      <w:rFonts w:ascii="Tahoma" w:hAnsi="Tahoma" w:cs="Tahoma"/>
      <w:sz w:val="16"/>
      <w:szCs w:val="16"/>
    </w:rPr>
  </w:style>
  <w:style w:type="character" w:styleId="1063" w:customStyle="1">
    <w:name w:val="Текст выноски Знак"/>
    <w:basedOn w:val="1028"/>
    <w:link w:val="1062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1064">
    <w:name w:val="Body Text Indent 2"/>
    <w:basedOn w:val="1019"/>
    <w:link w:val="1065"/>
    <w:pPr>
      <w:ind w:firstLine="360"/>
      <w:jc w:val="both"/>
      <w:widowControl w:val="off"/>
    </w:pPr>
    <w:rPr>
      <w:color w:val="000000"/>
      <w:spacing w:val="-1"/>
      <w:sz w:val="28"/>
      <w:szCs w:val="28"/>
    </w:rPr>
  </w:style>
  <w:style w:type="character" w:styleId="1065" w:customStyle="1">
    <w:name w:val="Основной текст с отступом 2 Знак"/>
    <w:basedOn w:val="1028"/>
    <w:link w:val="1064"/>
    <w:rPr>
      <w:rFonts w:ascii="Times New Roman" w:hAnsi="Times New Roman" w:eastAsia="Times New Roman" w:cs="Times New Roman"/>
      <w:color w:val="000000"/>
      <w:spacing w:val="-1"/>
      <w:sz w:val="28"/>
      <w:szCs w:val="28"/>
      <w:lang w:eastAsia="ru-RU"/>
    </w:rPr>
  </w:style>
  <w:style w:type="paragraph" w:styleId="1066">
    <w:name w:val="Block Text"/>
    <w:basedOn w:val="1019"/>
    <w:pPr>
      <w:ind w:left="5040" w:right="140"/>
    </w:pPr>
    <w:rPr>
      <w:sz w:val="22"/>
      <w:szCs w:val="22"/>
    </w:rPr>
  </w:style>
  <w:style w:type="paragraph" w:styleId="1067" w:customStyle="1">
    <w:name w:val="FR1"/>
    <w:pPr>
      <w:jc w:val="center"/>
      <w:spacing w:before="3100" w:after="0" w:line="240" w:lineRule="auto"/>
      <w:widowControl w:val="off"/>
    </w:pPr>
    <w:rPr>
      <w:rFonts w:ascii="Times New Roman" w:hAnsi="Times New Roman" w:eastAsia="Times New Roman" w:cs="Times New Roman"/>
      <w:sz w:val="64"/>
      <w:szCs w:val="20"/>
      <w:lang w:eastAsia="ru-RU"/>
    </w:rPr>
  </w:style>
  <w:style w:type="paragraph" w:styleId="1068" w:customStyle="1">
    <w:name w:val="ConsNormal"/>
    <w:link w:val="1070"/>
    <w:semiHidden/>
    <w:pPr>
      <w:ind w:right="19772"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1069" w:customStyle="1">
    <w:name w:val="Heading"/>
    <w:pPr>
      <w:spacing w:after="0" w:line="240" w:lineRule="auto"/>
    </w:pPr>
    <w:rPr>
      <w:rFonts w:ascii="Arial" w:hAnsi="Arial" w:eastAsia="Times New Roman" w:cs="Arial"/>
      <w:b/>
      <w:bCs/>
      <w:lang w:eastAsia="ru-RU"/>
    </w:rPr>
  </w:style>
  <w:style w:type="character" w:styleId="1070" w:customStyle="1">
    <w:name w:val="ConsNormal Знак"/>
    <w:basedOn w:val="1028"/>
    <w:link w:val="1068"/>
    <w:semiHidden/>
    <w:rPr>
      <w:rFonts w:ascii="Arial" w:hAnsi="Arial" w:eastAsia="Times New Roman" w:cs="Arial"/>
      <w:sz w:val="20"/>
      <w:szCs w:val="20"/>
      <w:lang w:eastAsia="ru-RU"/>
    </w:rPr>
  </w:style>
  <w:style w:type="paragraph" w:styleId="1071">
    <w:name w:val="footnote text"/>
    <w:basedOn w:val="1019"/>
    <w:link w:val="1072"/>
    <w:qFormat/>
    <w:rPr>
      <w:sz w:val="20"/>
      <w:szCs w:val="20"/>
    </w:rPr>
  </w:style>
  <w:style w:type="character" w:styleId="1072" w:customStyle="1">
    <w:name w:val="Текст сноски Знак"/>
    <w:basedOn w:val="1028"/>
    <w:link w:val="1071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73">
    <w:name w:val="footnote reference"/>
    <w:basedOn w:val="1028"/>
    <w:uiPriority w:val="99"/>
    <w:rPr>
      <w:vertAlign w:val="superscript"/>
    </w:rPr>
  </w:style>
  <w:style w:type="paragraph" w:styleId="1074" w:customStyle="1">
    <w:name w:val="ConsPlusNormal"/>
    <w:pPr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character" w:styleId="1075" w:customStyle="1">
    <w:name w:val="Основной текст Знак1"/>
    <w:link w:val="1045"/>
    <w:rPr>
      <w:rFonts w:ascii="Times New Roman" w:hAnsi="Times New Roman" w:eastAsia="Times New Roman" w:cs="Times New Roman"/>
      <w:color w:val="000000"/>
      <w:sz w:val="28"/>
      <w:szCs w:val="28"/>
    </w:rPr>
  </w:style>
  <w:style w:type="paragraph" w:styleId="1076" w:customStyle="1">
    <w:name w:val="Обычный2"/>
    <w:uiPriority w:val="99"/>
    <w:pPr>
      <w:ind w:left="120" w:firstLine="560"/>
      <w:spacing w:after="0" w:line="240" w:lineRule="auto"/>
      <w:widowControl w:val="off"/>
    </w:pPr>
    <w:rPr>
      <w:rFonts w:ascii="Arial" w:hAnsi="Arial" w:eastAsia="Times New Roman" w:cs="Arial"/>
      <w:lang w:eastAsia="ru-RU"/>
    </w:rPr>
  </w:style>
  <w:style w:type="paragraph" w:styleId="1077" w:customStyle="1">
    <w:name w:val="Основной текст 21"/>
    <w:basedOn w:val="1019"/>
    <w:pPr>
      <w:jc w:val="both"/>
      <w:widowControl w:val="off"/>
    </w:pPr>
    <w:rPr>
      <w:rFonts w:eastAsia="Calibri"/>
      <w:i/>
      <w:sz w:val="22"/>
      <w:szCs w:val="20"/>
      <w:lang w:val="en-US" w:eastAsia="ar-SA"/>
    </w:rPr>
  </w:style>
  <w:style w:type="character" w:styleId="1078" w:customStyle="1">
    <w:name w:val="Font Style13"/>
    <w:uiPriority w:val="99"/>
    <w:rPr>
      <w:rFonts w:ascii="Times New Roman" w:hAnsi="Times New Roman" w:cs="Times New Roman"/>
      <w:i/>
      <w:iCs/>
      <w:spacing w:val="-20"/>
      <w:sz w:val="24"/>
      <w:szCs w:val="24"/>
    </w:rPr>
  </w:style>
  <w:style w:type="character" w:styleId="1079" w:customStyle="1">
    <w:name w:val="Font Style14"/>
    <w:uiPriority w:val="99"/>
    <w:rPr>
      <w:rFonts w:ascii="Times New Roman" w:hAnsi="Times New Roman" w:cs="Times New Roman"/>
      <w:sz w:val="26"/>
      <w:szCs w:val="26"/>
    </w:rPr>
  </w:style>
  <w:style w:type="paragraph" w:styleId="1080" w:customStyle="1">
    <w:name w:val="Обычный.Нормальный абзац Знак"/>
    <w:pPr>
      <w:ind w:firstLine="709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081" w:customStyle="1">
    <w:name w:val="Обычный1"/>
    <w:pPr>
      <w:spacing w:before="100" w:after="100" w:line="240" w:lineRule="auto"/>
      <w:widowControl w:val="off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082">
    <w:name w:val="No Spacing"/>
    <w:uiPriority w:val="1"/>
    <w:qFormat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83" w:customStyle="1">
    <w:name w:val="Знак3"/>
    <w:basedOn w:val="1019"/>
    <w:pPr>
      <w:spacing w:after="160" w:line="240" w:lineRule="exact"/>
    </w:pPr>
    <w:rPr>
      <w:rFonts w:ascii="Verdana" w:hAnsi="Verdana"/>
      <w:lang w:val="en-US" w:eastAsia="en-US"/>
    </w:rPr>
  </w:style>
  <w:style w:type="character" w:styleId="1084">
    <w:name w:val="Placeholder Text"/>
    <w:basedOn w:val="1028"/>
    <w:uiPriority w:val="99"/>
    <w:semiHidden/>
    <w:rPr>
      <w:color w:val="808080"/>
    </w:rPr>
  </w:style>
  <w:style w:type="paragraph" w:styleId="1085">
    <w:name w:val="endnote text"/>
    <w:basedOn w:val="1019"/>
    <w:link w:val="1086"/>
    <w:uiPriority w:val="99"/>
    <w:semiHidden/>
    <w:unhideWhenUsed/>
    <w:pPr>
      <w:jc w:val="both"/>
    </w:pPr>
    <w:rPr>
      <w:sz w:val="20"/>
      <w:szCs w:val="20"/>
    </w:rPr>
  </w:style>
  <w:style w:type="character" w:styleId="1086" w:customStyle="1">
    <w:name w:val="Текст концевой сноски Знак"/>
    <w:basedOn w:val="1028"/>
    <w:link w:val="1085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87">
    <w:name w:val="endnote reference"/>
    <w:basedOn w:val="1028"/>
    <w:uiPriority w:val="99"/>
    <w:semiHidden/>
    <w:unhideWhenUsed/>
    <w:rPr>
      <w:vertAlign w:val="superscript"/>
    </w:rPr>
  </w:style>
  <w:style w:type="paragraph" w:styleId="1088">
    <w:name w:val="Subtitle"/>
    <w:basedOn w:val="1019"/>
    <w:next w:val="1019"/>
    <w:link w:val="1089"/>
    <w:qFormat/>
    <w:pPr>
      <w:jc w:val="center"/>
      <w:spacing w:after="60"/>
      <w:outlineLvl w:val="1"/>
    </w:pPr>
    <w:rPr>
      <w:rFonts w:ascii="Cambria" w:hAnsi="Cambria"/>
    </w:rPr>
  </w:style>
  <w:style w:type="character" w:styleId="1089" w:customStyle="1">
    <w:name w:val="Подзаголовок Знак"/>
    <w:basedOn w:val="1028"/>
    <w:link w:val="1088"/>
    <w:rPr>
      <w:rFonts w:ascii="Cambria" w:hAnsi="Cambria" w:eastAsia="Times New Roman" w:cs="Times New Roman"/>
      <w:sz w:val="24"/>
      <w:szCs w:val="24"/>
      <w:lang w:eastAsia="ru-RU"/>
    </w:rPr>
  </w:style>
  <w:style w:type="paragraph" w:styleId="1090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ar-SA"/>
    </w:rPr>
  </w:style>
  <w:style w:type="paragraph" w:styleId="1091" w:customStyle="1">
    <w:name w:val="Обычный3"/>
    <w:pPr>
      <w:ind w:left="120" w:firstLine="560"/>
      <w:spacing w:after="0" w:line="240" w:lineRule="auto"/>
      <w:widowControl w:val="off"/>
    </w:pPr>
    <w:rPr>
      <w:rFonts w:ascii="Arial" w:hAnsi="Arial" w:eastAsia="Times New Roman" w:cs="Times New Roman"/>
      <w:szCs w:val="20"/>
      <w:lang w:eastAsia="ru-RU"/>
    </w:rPr>
  </w:style>
  <w:style w:type="paragraph" w:styleId="1092" w:customStyle="1">
    <w:name w:val="Основной текст с отступом 32"/>
    <w:basedOn w:val="1091"/>
    <w:pPr>
      <w:ind w:left="0" w:firstLine="709"/>
      <w:jc w:val="both"/>
      <w:spacing w:line="360" w:lineRule="auto"/>
    </w:pPr>
    <w:rPr>
      <w:sz w:val="24"/>
    </w:rPr>
  </w:style>
  <w:style w:type="paragraph" w:styleId="1093">
    <w:name w:val="annotation text"/>
    <w:basedOn w:val="1019"/>
    <w:link w:val="1094"/>
    <w:uiPriority w:val="99"/>
    <w:semiHidden/>
    <w:unhideWhenUsed/>
    <w:rPr>
      <w:sz w:val="20"/>
      <w:szCs w:val="20"/>
    </w:rPr>
  </w:style>
  <w:style w:type="character" w:styleId="1094" w:customStyle="1">
    <w:name w:val="Текст примечания Знак"/>
    <w:basedOn w:val="1028"/>
    <w:link w:val="1093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95">
    <w:name w:val="Hyperlink"/>
    <w:basedOn w:val="1028"/>
    <w:uiPriority w:val="99"/>
    <w:unhideWhenUsed/>
    <w:rPr>
      <w:color w:val="0000ff" w:themeColor="hyperlink"/>
      <w:u w:val="single"/>
    </w:rPr>
  </w:style>
  <w:style w:type="paragraph" w:styleId="1096" w:customStyle="1">
    <w:name w:val="Контракт"/>
    <w:basedOn w:val="1019"/>
    <w:qFormat/>
    <w:pPr>
      <w:ind w:firstLine="709"/>
      <w:jc w:val="both"/>
      <w:spacing w:line="360" w:lineRule="auto"/>
    </w:pPr>
    <w:rPr>
      <w:sz w:val="27"/>
      <w:szCs w:val="27"/>
    </w:rPr>
  </w:style>
  <w:style w:type="paragraph" w:styleId="1097" w:customStyle="1">
    <w:name w:val="Нормальный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98" w:customStyle="1">
    <w:name w:val="заголовок 11"/>
    <w:basedOn w:val="1019"/>
    <w:next w:val="1019"/>
    <w:pPr>
      <w:jc w:val="center"/>
      <w:keepNext/>
    </w:pPr>
    <w:rPr>
      <w:szCs w:val="20"/>
    </w:rPr>
  </w:style>
  <w:style w:type="paragraph" w:styleId="1099">
    <w:name w:val="Normal (Web)"/>
    <w:basedOn w:val="1019"/>
    <w:unhideWhenUsed/>
    <w:qFormat/>
    <w:pPr>
      <w:spacing w:before="100" w:beforeAutospacing="1" w:after="100" w:afterAutospacing="1"/>
    </w:pPr>
    <w:rPr>
      <w:rFonts w:eastAsiaTheme="minorEastAsia"/>
    </w:rPr>
  </w:style>
  <w:style w:type="character" w:styleId="1100" w:customStyle="1">
    <w:name w:val="Абзац списка Знак"/>
    <w:link w:val="1032"/>
    <w:uiPriority w:val="34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01" w:customStyle="1">
    <w:name w:val="VL_Основной текст"/>
    <w:basedOn w:val="1019"/>
    <w:link w:val="1102"/>
    <w:qFormat/>
    <w:pPr>
      <w:jc w:val="both"/>
      <w:spacing w:before="240"/>
    </w:pPr>
    <w:rPr>
      <w:rFonts w:eastAsia="Calibri"/>
      <w:color w:val="141618"/>
      <w:sz w:val="22"/>
      <w:szCs w:val="22"/>
      <w:lang w:eastAsia="en-US"/>
    </w:rPr>
  </w:style>
  <w:style w:type="character" w:styleId="1102" w:customStyle="1">
    <w:name w:val="VL_Основной текст Знак"/>
    <w:link w:val="1101"/>
    <w:rPr>
      <w:rFonts w:ascii="Times New Roman" w:hAnsi="Times New Roman" w:eastAsia="Calibri" w:cs="Times New Roman"/>
      <w:color w:val="141618"/>
    </w:rPr>
  </w:style>
  <w:style w:type="character" w:styleId="1103" w:customStyle="1">
    <w:name w:val="Гиперссылка"/>
    <w:next w:val="1077"/>
    <w:link w:val="1047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C173C-B765-4F89-9943-DA5E641E5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Malygina</dc:creator>
  <cp:revision>31</cp:revision>
  <dcterms:created xsi:type="dcterms:W3CDTF">2024-11-27T13:31:00Z</dcterms:created>
  <dcterms:modified xsi:type="dcterms:W3CDTF">2026-07-23T08:06:48Z</dcterms:modified>
</cp:coreProperties>
</file>