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9204BC" w:rsidRPr="00EE6A91" w:rsidRDefault="00A21F5C" w:rsidP="00BE1E81">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3450C6" w:rsidRPr="003450C6" w:rsidRDefault="009204BC" w:rsidP="00AC70E2">
      <w:pPr>
        <w:pStyle w:val="a4"/>
        <w:numPr>
          <w:ilvl w:val="1"/>
          <w:numId w:val="1"/>
        </w:numPr>
        <w:spacing w:after="0" w:line="240" w:lineRule="auto"/>
        <w:ind w:left="0" w:firstLine="709"/>
        <w:textAlignment w:val="auto"/>
        <w:rPr>
          <w:sz w:val="22"/>
          <w:szCs w:val="22"/>
        </w:rPr>
      </w:pPr>
      <w:r w:rsidRPr="003450C6">
        <w:rPr>
          <w:sz w:val="22"/>
          <w:szCs w:val="22"/>
        </w:rPr>
        <w:t>Поставка Товара по Контрак</w:t>
      </w:r>
      <w:r w:rsidR="0083504E" w:rsidRPr="003450C6">
        <w:rPr>
          <w:sz w:val="22"/>
          <w:szCs w:val="22"/>
        </w:rPr>
        <w:t>ту осуществляется Поставщиком</w:t>
      </w:r>
      <w:r w:rsidR="009627D7" w:rsidRPr="003450C6">
        <w:rPr>
          <w:sz w:val="22"/>
          <w:szCs w:val="22"/>
        </w:rPr>
        <w:t xml:space="preserve"> </w:t>
      </w:r>
      <w:r w:rsidR="003450C6" w:rsidRPr="003450C6">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3450C6" w:rsidRPr="003450C6">
        <w:rPr>
          <w:noProof/>
          <w:sz w:val="22"/>
          <w:szCs w:val="22"/>
        </w:rPr>
        <w:instrText xml:space="preserve"> FORMTEXT </w:instrText>
      </w:r>
      <w:r w:rsidR="003450C6" w:rsidRPr="003450C6">
        <w:rPr>
          <w:noProof/>
          <w:sz w:val="22"/>
          <w:szCs w:val="22"/>
        </w:rPr>
      </w:r>
      <w:r w:rsidR="003450C6" w:rsidRPr="003450C6">
        <w:rPr>
          <w:noProof/>
          <w:sz w:val="22"/>
          <w:szCs w:val="22"/>
        </w:rPr>
        <w:fldChar w:fldCharType="separate"/>
      </w:r>
      <w:r w:rsidR="003450C6">
        <w:rPr>
          <w:noProof/>
          <w:sz w:val="22"/>
          <w:szCs w:val="22"/>
        </w:rPr>
        <w:t>в</w:t>
      </w:r>
      <w:r w:rsidR="003450C6" w:rsidRPr="003450C6">
        <w:rPr>
          <w:noProof/>
          <w:sz w:val="22"/>
          <w:szCs w:val="22"/>
        </w:rPr>
        <w:t xml:space="preserve"> течение 6 (шести) рабочих дней после поступления заявки от Покупателя. Последняя дата подачи заявки на поставку 22.09.2026. Максимальное количество партий - 2 (две).</w:t>
      </w:r>
      <w:r w:rsidR="003450C6" w:rsidRPr="003450C6">
        <w:rPr>
          <w:noProof/>
          <w:sz w:val="22"/>
          <w:szCs w:val="22"/>
        </w:rPr>
        <w:fldChar w:fldCharType="end"/>
      </w:r>
      <w:bookmarkEnd w:id="0"/>
    </w:p>
    <w:p w:rsidR="009204BC" w:rsidRPr="003450C6" w:rsidRDefault="009204BC" w:rsidP="00AC70E2">
      <w:pPr>
        <w:pStyle w:val="a4"/>
        <w:numPr>
          <w:ilvl w:val="1"/>
          <w:numId w:val="1"/>
        </w:numPr>
        <w:spacing w:after="0" w:line="240" w:lineRule="auto"/>
        <w:ind w:left="0" w:firstLine="709"/>
        <w:textAlignment w:val="auto"/>
        <w:rPr>
          <w:sz w:val="22"/>
          <w:szCs w:val="22"/>
        </w:rPr>
      </w:pPr>
      <w:r w:rsidRPr="003450C6">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xml:space="preserve">, п. Песочный, ул. </w:t>
      </w:r>
      <w:r w:rsidR="00387FDA" w:rsidRPr="00EC45FD">
        <w:rPr>
          <w:sz w:val="22"/>
          <w:szCs w:val="22"/>
        </w:rPr>
        <w:lastRenderedPageBreak/>
        <w:t>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1"/>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03613C">
              <w:rPr>
                <w:sz w:val="22"/>
                <w:szCs w:val="22"/>
                <w:lang w:eastAsia="en-US"/>
              </w:rPr>
              <w:t>, литера</w:t>
            </w:r>
            <w:proofErr w:type="gramStart"/>
            <w:r w:rsidR="0003613C">
              <w:rPr>
                <w:sz w:val="22"/>
                <w:szCs w:val="22"/>
                <w:lang w:eastAsia="en-US"/>
              </w:rPr>
              <w:t xml:space="preserve"> А</w:t>
            </w:r>
            <w:proofErr w:type="gramEnd"/>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248"/>
        <w:gridCol w:w="4252"/>
        <w:gridCol w:w="1418"/>
        <w:gridCol w:w="1559"/>
        <w:gridCol w:w="992"/>
        <w:gridCol w:w="993"/>
        <w:gridCol w:w="1351"/>
        <w:gridCol w:w="1140"/>
        <w:gridCol w:w="1206"/>
      </w:tblGrid>
      <w:tr w:rsidR="003450C6" w:rsidRPr="003450C6" w:rsidTr="003450C6">
        <w:trPr>
          <w:trHeight w:val="1178"/>
          <w:jc w:val="center"/>
        </w:trPr>
        <w:tc>
          <w:tcPr>
            <w:tcW w:w="242" w:type="dxa"/>
            <w:tcBorders>
              <w:top w:val="single" w:sz="4" w:space="0" w:color="auto"/>
              <w:left w:val="single" w:sz="4" w:space="0" w:color="auto"/>
              <w:bottom w:val="single" w:sz="4" w:space="0" w:color="auto"/>
              <w:right w:val="nil"/>
            </w:tcBorders>
            <w:shd w:val="clear" w:color="auto" w:fill="auto"/>
            <w:vAlign w:val="center"/>
          </w:tcPr>
          <w:p w:rsidR="003450C6" w:rsidRPr="003450C6" w:rsidRDefault="003450C6" w:rsidP="003450C6">
            <w:pPr>
              <w:pStyle w:val="af4"/>
              <w:jc w:val="center"/>
              <w:rPr>
                <w:rFonts w:eastAsia="Times New Roman"/>
                <w:sz w:val="22"/>
                <w:szCs w:val="22"/>
              </w:rPr>
            </w:pPr>
            <w:proofErr w:type="gramStart"/>
            <w:r w:rsidRPr="003450C6">
              <w:rPr>
                <w:sz w:val="22"/>
                <w:szCs w:val="22"/>
              </w:rPr>
              <w:t>п</w:t>
            </w:r>
            <w:proofErr w:type="gramEnd"/>
            <w:r w:rsidRPr="003450C6">
              <w:rPr>
                <w:sz w:val="22"/>
                <w:szCs w:val="22"/>
              </w:rPr>
              <w:t>/н</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Наименование Товара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450C6" w:rsidRPr="003450C6" w:rsidRDefault="003450C6" w:rsidP="003450C6">
            <w:pPr>
              <w:pStyle w:val="af4"/>
              <w:jc w:val="center"/>
              <w:rPr>
                <w:rFonts w:eastAsia="Times New Roman"/>
                <w:sz w:val="22"/>
                <w:szCs w:val="22"/>
              </w:rPr>
            </w:pPr>
            <w:r w:rsidRPr="003450C6">
              <w:rPr>
                <w:sz w:val="22"/>
                <w:szCs w:val="22"/>
              </w:rPr>
              <w:t>Характеристики с указанием производителя и страны происхождения товара</w:t>
            </w:r>
          </w:p>
        </w:tc>
        <w:tc>
          <w:tcPr>
            <w:tcW w:w="1418"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Код по ОКПД</w:t>
            </w:r>
            <w:proofErr w:type="gramStart"/>
            <w:r w:rsidRPr="003450C6">
              <w:rPr>
                <w:sz w:val="22"/>
                <w:szCs w:val="22"/>
              </w:rPr>
              <w:t>2</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Кол-во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НДС %</w:t>
            </w:r>
          </w:p>
        </w:tc>
        <w:tc>
          <w:tcPr>
            <w:tcW w:w="1351"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Сумма (руб.)</w:t>
            </w:r>
          </w:p>
        </w:tc>
      </w:tr>
      <w:tr w:rsidR="003450C6" w:rsidRPr="003450C6" w:rsidTr="003450C6">
        <w:trPr>
          <w:trHeight w:val="581"/>
          <w:jc w:val="center"/>
        </w:trPr>
        <w:tc>
          <w:tcPr>
            <w:tcW w:w="242" w:type="dxa"/>
            <w:tcBorders>
              <w:top w:val="nil"/>
              <w:left w:val="single" w:sz="4" w:space="0" w:color="auto"/>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1</w:t>
            </w:r>
          </w:p>
        </w:tc>
        <w:tc>
          <w:tcPr>
            <w:tcW w:w="3248" w:type="dxa"/>
            <w:tcBorders>
              <w:top w:val="single" w:sz="4" w:space="0" w:color="auto"/>
              <w:left w:val="nil"/>
              <w:bottom w:val="single" w:sz="4" w:space="0" w:color="auto"/>
              <w:right w:val="single" w:sz="4" w:space="0" w:color="auto"/>
            </w:tcBorders>
            <w:shd w:val="clear" w:color="auto" w:fill="auto"/>
            <w:vAlign w:val="center"/>
          </w:tcPr>
          <w:p w:rsidR="003450C6" w:rsidRDefault="003450C6" w:rsidP="003450C6">
            <w:pPr>
              <w:pStyle w:val="af4"/>
              <w:jc w:val="center"/>
              <w:rPr>
                <w:sz w:val="22"/>
                <w:szCs w:val="22"/>
              </w:rPr>
            </w:pPr>
            <w:proofErr w:type="spellStart"/>
            <w:r w:rsidRPr="003450C6">
              <w:rPr>
                <w:sz w:val="22"/>
                <w:szCs w:val="22"/>
              </w:rPr>
              <w:t>Эритропоэтин</w:t>
            </w:r>
            <w:proofErr w:type="spellEnd"/>
            <w:r w:rsidRPr="003450C6">
              <w:rPr>
                <w:sz w:val="22"/>
                <w:szCs w:val="22"/>
              </w:rPr>
              <w:t xml:space="preserve"> </w:t>
            </w:r>
            <w:proofErr w:type="spellStart"/>
            <w:r w:rsidRPr="003450C6">
              <w:rPr>
                <w:sz w:val="22"/>
                <w:szCs w:val="22"/>
              </w:rPr>
              <w:t>ИВД</w:t>
            </w:r>
            <w:proofErr w:type="gramStart"/>
            <w:r w:rsidRPr="003450C6">
              <w:rPr>
                <w:sz w:val="22"/>
                <w:szCs w:val="22"/>
              </w:rPr>
              <w:t>,н</w:t>
            </w:r>
            <w:proofErr w:type="gramEnd"/>
            <w:r w:rsidRPr="003450C6">
              <w:rPr>
                <w:sz w:val="22"/>
                <w:szCs w:val="22"/>
              </w:rPr>
              <w:t>абор,иммуноферментный</w:t>
            </w:r>
            <w:proofErr w:type="spellEnd"/>
            <w:r w:rsidRPr="003450C6">
              <w:rPr>
                <w:sz w:val="22"/>
                <w:szCs w:val="22"/>
              </w:rPr>
              <w:t xml:space="preserve"> анализ (ИФА).</w:t>
            </w:r>
          </w:p>
          <w:p w:rsidR="003450C6" w:rsidRPr="003450C6" w:rsidRDefault="003450C6" w:rsidP="003450C6">
            <w:pPr>
              <w:pStyle w:val="af4"/>
              <w:jc w:val="center"/>
              <w:rPr>
                <w:sz w:val="22"/>
                <w:szCs w:val="22"/>
              </w:rPr>
            </w:pPr>
            <w:proofErr w:type="spellStart"/>
            <w:r w:rsidRPr="003450C6">
              <w:rPr>
                <w:sz w:val="22"/>
                <w:szCs w:val="22"/>
              </w:rPr>
              <w:t>Эритропоэтин</w:t>
            </w:r>
            <w:proofErr w:type="spellEnd"/>
            <w:r w:rsidRPr="003450C6">
              <w:rPr>
                <w:sz w:val="22"/>
                <w:szCs w:val="22"/>
              </w:rPr>
              <w:t>-ИФА-БЕСТ</w:t>
            </w:r>
          </w:p>
        </w:tc>
        <w:tc>
          <w:tcPr>
            <w:tcW w:w="4252" w:type="dxa"/>
            <w:tcBorders>
              <w:top w:val="nil"/>
              <w:left w:val="single" w:sz="4" w:space="0" w:color="auto"/>
              <w:bottom w:val="single" w:sz="4" w:space="0" w:color="auto"/>
              <w:right w:val="single" w:sz="4" w:space="0" w:color="auto"/>
            </w:tcBorders>
            <w:shd w:val="clear" w:color="auto" w:fill="auto"/>
            <w:vAlign w:val="center"/>
          </w:tcPr>
          <w:p w:rsidR="003450C6" w:rsidRPr="003450C6" w:rsidRDefault="003450C6" w:rsidP="003450C6">
            <w:pPr>
              <w:pStyle w:val="af4"/>
              <w:jc w:val="left"/>
              <w:rPr>
                <w:sz w:val="22"/>
                <w:szCs w:val="22"/>
              </w:rPr>
            </w:pPr>
            <w:r w:rsidRPr="003450C6">
              <w:rPr>
                <w:sz w:val="22"/>
                <w:szCs w:val="22"/>
              </w:rPr>
              <w:t xml:space="preserve">Набор реагентов и </w:t>
            </w:r>
            <w:proofErr w:type="gramStart"/>
            <w:r w:rsidRPr="003450C6">
              <w:rPr>
                <w:sz w:val="22"/>
                <w:szCs w:val="22"/>
              </w:rPr>
              <w:t>других</w:t>
            </w:r>
            <w:proofErr w:type="gramEnd"/>
            <w:r w:rsidRPr="003450C6">
              <w:rPr>
                <w:sz w:val="22"/>
                <w:szCs w:val="22"/>
              </w:rPr>
              <w:t xml:space="preserve"> связанных с ними материалов, предназначенный для количественного определения </w:t>
            </w:r>
            <w:proofErr w:type="spellStart"/>
            <w:r w:rsidRPr="003450C6">
              <w:rPr>
                <w:sz w:val="22"/>
                <w:szCs w:val="22"/>
              </w:rPr>
              <w:t>эритропоэтина</w:t>
            </w:r>
            <w:proofErr w:type="spellEnd"/>
            <w:r w:rsidRPr="003450C6">
              <w:rPr>
                <w:sz w:val="22"/>
                <w:szCs w:val="22"/>
              </w:rPr>
              <w:t xml:space="preserve"> (ЭПО) (</w:t>
            </w:r>
            <w:proofErr w:type="spellStart"/>
            <w:r w:rsidRPr="003450C6">
              <w:rPr>
                <w:sz w:val="22"/>
                <w:szCs w:val="22"/>
              </w:rPr>
              <w:t>erythropoietin</w:t>
            </w:r>
            <w:proofErr w:type="spellEnd"/>
            <w:r w:rsidRPr="003450C6">
              <w:rPr>
                <w:sz w:val="22"/>
                <w:szCs w:val="22"/>
              </w:rPr>
              <w:t xml:space="preserve"> (EPO)) в клиническом образце методом иммуноферментного анализа (ИФА). </w:t>
            </w:r>
            <w:r w:rsidRPr="003450C6">
              <w:rPr>
                <w:sz w:val="22"/>
                <w:szCs w:val="22"/>
              </w:rPr>
              <w:br/>
              <w:t xml:space="preserve">Количество выполняемых тестов не менее 96 </w:t>
            </w:r>
            <w:proofErr w:type="gramStart"/>
            <w:r w:rsidRPr="003450C6">
              <w:rPr>
                <w:sz w:val="22"/>
                <w:szCs w:val="22"/>
              </w:rPr>
              <w:t>шт</w:t>
            </w:r>
            <w:proofErr w:type="gramEnd"/>
            <w:r w:rsidRPr="003450C6">
              <w:rPr>
                <w:sz w:val="22"/>
                <w:szCs w:val="22"/>
              </w:rPr>
              <w:br/>
              <w:t xml:space="preserve">Метод: «сэндвич»-вариант ИФА, </w:t>
            </w:r>
            <w:proofErr w:type="spellStart"/>
            <w:r w:rsidRPr="003450C6">
              <w:rPr>
                <w:sz w:val="22"/>
                <w:szCs w:val="22"/>
              </w:rPr>
              <w:t>двухстадийный</w:t>
            </w:r>
            <w:proofErr w:type="spellEnd"/>
            <w:r w:rsidRPr="003450C6">
              <w:rPr>
                <w:sz w:val="22"/>
                <w:szCs w:val="22"/>
              </w:rPr>
              <w:t xml:space="preserve">.    </w:t>
            </w:r>
            <w:r w:rsidRPr="003450C6">
              <w:rPr>
                <w:sz w:val="22"/>
                <w:szCs w:val="22"/>
              </w:rPr>
              <w:br/>
            </w:r>
            <w:proofErr w:type="gramStart"/>
            <w:r w:rsidRPr="003450C6">
              <w:rPr>
                <w:sz w:val="22"/>
                <w:szCs w:val="22"/>
              </w:rPr>
              <w:t xml:space="preserve">Верхнее значение концентрации </w:t>
            </w:r>
            <w:proofErr w:type="spellStart"/>
            <w:r w:rsidRPr="003450C6">
              <w:rPr>
                <w:sz w:val="22"/>
                <w:szCs w:val="22"/>
              </w:rPr>
              <w:t>аналита</w:t>
            </w:r>
            <w:proofErr w:type="spellEnd"/>
            <w:r w:rsidRPr="003450C6">
              <w:rPr>
                <w:sz w:val="22"/>
                <w:szCs w:val="22"/>
              </w:rPr>
              <w:t xml:space="preserve"> в калибровочном образце не менее 0,2 МЕ/мл</w:t>
            </w:r>
            <w:r w:rsidRPr="003450C6">
              <w:rPr>
                <w:sz w:val="22"/>
                <w:szCs w:val="22"/>
              </w:rPr>
              <w:br/>
              <w:t>Чувствительность не более 0,0005 МЕ/мл</w:t>
            </w:r>
            <w:r w:rsidRPr="003450C6">
              <w:rPr>
                <w:sz w:val="22"/>
                <w:szCs w:val="22"/>
              </w:rPr>
              <w:br/>
              <w:t>Количество калибраторов с фиксированной концентрацией не менее 6 шт.</w:t>
            </w:r>
            <w:r w:rsidRPr="003450C6">
              <w:rPr>
                <w:sz w:val="22"/>
                <w:szCs w:val="22"/>
              </w:rPr>
              <w:br/>
              <w:t xml:space="preserve">Количество образца для анализа (сыворотка крови, плазма крови) не более 0,1 см3  </w:t>
            </w:r>
            <w:r w:rsidRPr="003450C6">
              <w:rPr>
                <w:sz w:val="22"/>
                <w:szCs w:val="22"/>
              </w:rPr>
              <w:br/>
              <w:t>Суммарное время инкубации не более 90 мин.</w:t>
            </w:r>
            <w:r w:rsidRPr="003450C6">
              <w:rPr>
                <w:sz w:val="22"/>
                <w:szCs w:val="22"/>
              </w:rPr>
              <w:br/>
              <w:t>Использование шейкера: постановка анализа с использованием шейкера.</w:t>
            </w:r>
            <w:proofErr w:type="gramEnd"/>
          </w:p>
        </w:tc>
        <w:tc>
          <w:tcPr>
            <w:tcW w:w="1418"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набор</w:t>
            </w:r>
          </w:p>
        </w:tc>
        <w:tc>
          <w:tcPr>
            <w:tcW w:w="1559"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21.20.23.110</w:t>
            </w:r>
          </w:p>
        </w:tc>
        <w:tc>
          <w:tcPr>
            <w:tcW w:w="992"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r w:rsidRPr="003450C6">
              <w:rPr>
                <w:sz w:val="22"/>
                <w:szCs w:val="22"/>
              </w:rPr>
              <w:t>2</w:t>
            </w:r>
          </w:p>
        </w:tc>
        <w:tc>
          <w:tcPr>
            <w:tcW w:w="993"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bookmarkStart w:id="6" w:name="_GoBack"/>
            <w:bookmarkEnd w:id="6"/>
          </w:p>
        </w:tc>
        <w:tc>
          <w:tcPr>
            <w:tcW w:w="1351"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3450C6" w:rsidRPr="003450C6" w:rsidRDefault="003450C6" w:rsidP="003450C6">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lastRenderedPageBreak/>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32" w:rsidRDefault="003D5632">
      <w:r>
        <w:separator/>
      </w:r>
    </w:p>
  </w:endnote>
  <w:endnote w:type="continuationSeparator" w:id="0">
    <w:p w:rsidR="003D5632" w:rsidRDefault="003D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287"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32" w:rsidRDefault="003D5632">
      <w:r>
        <w:separator/>
      </w:r>
    </w:p>
  </w:footnote>
  <w:footnote w:type="continuationSeparator" w:id="0">
    <w:p w:rsidR="003D5632" w:rsidRDefault="003D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613C"/>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450C6"/>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D5632"/>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24186"/>
    <w:rsid w:val="006311AA"/>
    <w:rsid w:val="00634997"/>
    <w:rsid w:val="00643056"/>
    <w:rsid w:val="006505AC"/>
    <w:rsid w:val="00654DFB"/>
    <w:rsid w:val="00663313"/>
    <w:rsid w:val="006669D1"/>
    <w:rsid w:val="006721C5"/>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20AE"/>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C68E2"/>
    <w:rsid w:val="009D68F4"/>
    <w:rsid w:val="009D712C"/>
    <w:rsid w:val="009F3A37"/>
    <w:rsid w:val="00A00D17"/>
    <w:rsid w:val="00A03EFE"/>
    <w:rsid w:val="00A06AE1"/>
    <w:rsid w:val="00A16698"/>
    <w:rsid w:val="00A21F5C"/>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C70E2"/>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70016"/>
    <w:rsid w:val="00B82231"/>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3447</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2026-07-01T13:40:00Z</dcterms:created>
  <dcterms:modified xsi:type="dcterms:W3CDTF">2026-07-01T13:40:00Z</dcterms:modified>
</cp:coreProperties>
</file>