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EC4577">
        <w:rPr>
          <w:b/>
          <w:color w:val="000000"/>
          <w:sz w:val="22"/>
          <w:szCs w:val="22"/>
        </w:rPr>
        <w:t>с</w:t>
      </w:r>
      <w:r w:rsidR="00EC4577" w:rsidRPr="00EC4577">
        <w:rPr>
          <w:b/>
          <w:color w:val="000000"/>
          <w:sz w:val="22"/>
          <w:szCs w:val="22"/>
        </w:rPr>
        <w:t>кальпель</w:t>
      </w:r>
      <w:r w:rsidR="00EC4577">
        <w:rPr>
          <w:b/>
          <w:color w:val="000000"/>
          <w:sz w:val="22"/>
          <w:szCs w:val="22"/>
        </w:rPr>
        <w:t>и</w:t>
      </w:r>
      <w:r w:rsidR="00EC4577" w:rsidRPr="00EC4577">
        <w:rPr>
          <w:b/>
          <w:color w:val="000000"/>
          <w:sz w:val="22"/>
          <w:szCs w:val="22"/>
        </w:rPr>
        <w:t>, одноразового использования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EC4577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EC4577">
        <w:rPr>
          <w:color w:val="000000"/>
          <w:sz w:val="22"/>
          <w:szCs w:val="22"/>
        </w:rPr>
        <w:t xml:space="preserve">в течение </w:t>
      </w:r>
      <w:r w:rsidR="00EC4577" w:rsidRPr="00EC4577">
        <w:rPr>
          <w:color w:val="000000"/>
          <w:sz w:val="22"/>
          <w:szCs w:val="22"/>
        </w:rPr>
        <w:t xml:space="preserve">2 рабочих </w:t>
      </w:r>
      <w:r w:rsidR="009D0569" w:rsidRPr="00EC4577">
        <w:rPr>
          <w:color w:val="000000"/>
          <w:sz w:val="22"/>
          <w:szCs w:val="22"/>
        </w:rPr>
        <w:t>дней с даты подписания</w:t>
      </w:r>
      <w:r w:rsidR="004537B9" w:rsidRPr="00EC4577">
        <w:rPr>
          <w:color w:val="000000"/>
          <w:sz w:val="22"/>
          <w:szCs w:val="22"/>
        </w:rPr>
        <w:t xml:space="preserve"> Договора</w:t>
      </w:r>
      <w:r w:rsidR="009D0569" w:rsidRPr="00EC4577">
        <w:rPr>
          <w:color w:val="000000"/>
          <w:sz w:val="22"/>
          <w:szCs w:val="22"/>
        </w:rPr>
        <w:t>.</w:t>
      </w:r>
    </w:p>
    <w:p w:rsidR="00B3314E" w:rsidRPr="00EC4577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EC4577">
        <w:rPr>
          <w:color w:val="000000"/>
          <w:sz w:val="22"/>
          <w:szCs w:val="22"/>
        </w:rPr>
        <w:t>2.2</w:t>
      </w:r>
      <w:r w:rsidR="00E844ED" w:rsidRPr="00EC4577">
        <w:rPr>
          <w:color w:val="000000"/>
          <w:sz w:val="22"/>
          <w:szCs w:val="22"/>
        </w:rPr>
        <w:t>.</w:t>
      </w:r>
      <w:r w:rsidRPr="00EC4577">
        <w:rPr>
          <w:color w:val="000000"/>
          <w:sz w:val="22"/>
          <w:szCs w:val="22"/>
        </w:rPr>
        <w:t xml:space="preserve"> Настоящий</w:t>
      </w:r>
      <w:r w:rsidR="00B3314E" w:rsidRPr="00EC4577">
        <w:rPr>
          <w:sz w:val="22"/>
          <w:szCs w:val="22"/>
        </w:rPr>
        <w:t xml:space="preserve"> </w:t>
      </w:r>
      <w:r w:rsidR="004537B9" w:rsidRPr="00EC4577">
        <w:rPr>
          <w:sz w:val="22"/>
          <w:szCs w:val="22"/>
        </w:rPr>
        <w:t xml:space="preserve">Договор </w:t>
      </w:r>
      <w:r w:rsidR="00B3314E" w:rsidRPr="00EC4577">
        <w:rPr>
          <w:sz w:val="22"/>
          <w:szCs w:val="22"/>
        </w:rPr>
        <w:t>действует</w:t>
      </w:r>
      <w:r w:rsidR="00730B5F">
        <w:rPr>
          <w:sz w:val="22"/>
          <w:szCs w:val="22"/>
        </w:rPr>
        <w:t xml:space="preserve"> 31.12.2026</w:t>
      </w:r>
      <w:r w:rsidR="00B3314E" w:rsidRPr="00EC4577">
        <w:rPr>
          <w:sz w:val="22"/>
          <w:szCs w:val="22"/>
        </w:rPr>
        <w:t>.</w:t>
      </w:r>
    </w:p>
    <w:p w:rsidR="00B3314E" w:rsidRPr="00EC4577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EC4577">
        <w:rPr>
          <w:sz w:val="22"/>
          <w:szCs w:val="22"/>
        </w:rPr>
        <w:t>2.3. Поставщик</w:t>
      </w:r>
      <w:r w:rsidR="00E844ED" w:rsidRPr="00EC4577">
        <w:rPr>
          <w:sz w:val="22"/>
          <w:szCs w:val="22"/>
        </w:rPr>
        <w:t xml:space="preserve"> самостоятельно доставляет товар З</w:t>
      </w:r>
      <w:r w:rsidRPr="00EC4577">
        <w:rPr>
          <w:sz w:val="22"/>
          <w:szCs w:val="22"/>
        </w:rPr>
        <w:t>аказчик</w:t>
      </w:r>
      <w:r w:rsidR="00E844ED" w:rsidRPr="00EC4577">
        <w:rPr>
          <w:sz w:val="22"/>
          <w:szCs w:val="22"/>
        </w:rPr>
        <w:t>у</w:t>
      </w:r>
      <w:bookmarkStart w:id="0" w:name="_GoBack"/>
      <w:bookmarkEnd w:id="0"/>
      <w:r w:rsidRPr="00EC4577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EC4577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EC4577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EC4577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EC4577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EC4577">
        <w:rPr>
          <w:sz w:val="22"/>
          <w:szCs w:val="22"/>
        </w:rPr>
        <w:t>3.4. Расчет</w:t>
      </w:r>
      <w:r w:rsidR="0024195E" w:rsidRPr="00EC4577">
        <w:rPr>
          <w:sz w:val="22"/>
          <w:szCs w:val="22"/>
        </w:rPr>
        <w:t>ы</w:t>
      </w:r>
      <w:r w:rsidRPr="00EC4577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24195E" w:rsidRPr="00EC4577">
        <w:rPr>
          <w:sz w:val="22"/>
          <w:szCs w:val="22"/>
        </w:rPr>
        <w:t>5</w:t>
      </w:r>
      <w:r w:rsidRPr="00EC4577">
        <w:rPr>
          <w:sz w:val="22"/>
          <w:szCs w:val="22"/>
        </w:rPr>
        <w:t xml:space="preserve"> (</w:t>
      </w:r>
      <w:r w:rsidR="0024195E" w:rsidRPr="00EC4577">
        <w:rPr>
          <w:sz w:val="22"/>
          <w:szCs w:val="22"/>
        </w:rPr>
        <w:t>пяти</w:t>
      </w:r>
      <w:r w:rsidRPr="00EC4577">
        <w:rPr>
          <w:sz w:val="22"/>
          <w:szCs w:val="22"/>
        </w:rPr>
        <w:t xml:space="preserve">) рабочих дней с даты подписания </w:t>
      </w:r>
      <w:r w:rsidR="00F92E84" w:rsidRPr="00EC4577">
        <w:rPr>
          <w:sz w:val="22"/>
          <w:szCs w:val="22"/>
        </w:rPr>
        <w:t xml:space="preserve">сторонами </w:t>
      </w:r>
      <w:r w:rsidRPr="00EC4577">
        <w:rPr>
          <w:sz w:val="22"/>
          <w:szCs w:val="22"/>
        </w:rPr>
        <w:t>акт</w:t>
      </w:r>
      <w:r w:rsidR="00F92E84" w:rsidRPr="00EC4577">
        <w:rPr>
          <w:sz w:val="22"/>
          <w:szCs w:val="22"/>
        </w:rPr>
        <w:t>а</w:t>
      </w:r>
      <w:r w:rsidRPr="00EC4577">
        <w:rPr>
          <w:sz w:val="22"/>
          <w:szCs w:val="22"/>
        </w:rPr>
        <w:t xml:space="preserve"> приемки товаров</w:t>
      </w:r>
      <w:r w:rsidR="00236C40" w:rsidRPr="00EC4577">
        <w:rPr>
          <w:sz w:val="22"/>
          <w:szCs w:val="22"/>
        </w:rPr>
        <w:t>,</w:t>
      </w:r>
      <w:r w:rsidRPr="00EC4577">
        <w:rPr>
          <w:sz w:val="22"/>
          <w:szCs w:val="22"/>
        </w:rPr>
        <w:t xml:space="preserve"> работ</w:t>
      </w:r>
      <w:r w:rsidR="00236C40" w:rsidRPr="00EC4577">
        <w:rPr>
          <w:sz w:val="22"/>
          <w:szCs w:val="22"/>
        </w:rPr>
        <w:t>,</w:t>
      </w:r>
      <w:r w:rsidRPr="00EC4577">
        <w:rPr>
          <w:sz w:val="22"/>
          <w:szCs w:val="22"/>
        </w:rPr>
        <w:t xml:space="preserve"> услуг</w:t>
      </w:r>
      <w:r w:rsidR="00236C40" w:rsidRPr="00EC4577">
        <w:rPr>
          <w:sz w:val="22"/>
          <w:szCs w:val="22"/>
        </w:rPr>
        <w:t xml:space="preserve"> (ф. 0510452</w:t>
      </w:r>
      <w:r w:rsidR="00F92E84" w:rsidRPr="00EC4577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EC4577">
        <w:rPr>
          <w:sz w:val="22"/>
          <w:szCs w:val="22"/>
        </w:rPr>
        <w:t xml:space="preserve">       </w:t>
      </w:r>
      <w:r w:rsidR="00011356" w:rsidRPr="00EC4577">
        <w:rPr>
          <w:sz w:val="22"/>
          <w:szCs w:val="22"/>
        </w:rPr>
        <w:t>3.</w:t>
      </w:r>
      <w:r w:rsidR="0024195E" w:rsidRPr="00EC4577">
        <w:rPr>
          <w:sz w:val="22"/>
          <w:szCs w:val="22"/>
        </w:rPr>
        <w:t>5</w:t>
      </w:r>
      <w:r w:rsidR="00011356" w:rsidRPr="00EC4577">
        <w:rPr>
          <w:sz w:val="22"/>
          <w:szCs w:val="22"/>
        </w:rPr>
        <w:t xml:space="preserve">. </w:t>
      </w:r>
      <w:r w:rsidRPr="00EC4577">
        <w:rPr>
          <w:sz w:val="22"/>
          <w:szCs w:val="22"/>
        </w:rPr>
        <w:t>Если настоящий договор подлежит оплате за счет</w:t>
      </w:r>
      <w:r w:rsidRPr="0024195E">
        <w:rPr>
          <w:sz w:val="22"/>
          <w:szCs w:val="22"/>
        </w:rPr>
        <w:t xml:space="preserve">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EC4577">
        <w:rPr>
          <w:rFonts w:ascii="Times New Roman" w:hAnsi="Times New Roman" w:cs="Times New Roman"/>
          <w:sz w:val="22"/>
          <w:szCs w:val="22"/>
        </w:rPr>
        <w:t>- в течение 20</w:t>
      </w:r>
      <w:r w:rsidRPr="00EC4577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EC4577">
        <w:rPr>
          <w:rFonts w:ascii="Times New Roman" w:hAnsi="Times New Roman" w:cs="Times New Roman"/>
          <w:sz w:val="22"/>
          <w:szCs w:val="22"/>
        </w:rPr>
        <w:lastRenderedPageBreak/>
        <w:t>электронной почт</w:t>
      </w:r>
      <w:r w:rsidR="005669C0" w:rsidRPr="00EC4577">
        <w:rPr>
          <w:rFonts w:ascii="Times New Roman" w:hAnsi="Times New Roman" w:cs="Times New Roman"/>
          <w:sz w:val="22"/>
          <w:szCs w:val="22"/>
        </w:rPr>
        <w:t>ы</w:t>
      </w:r>
      <w:r w:rsidRPr="00EC4577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EC4577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</w:t>
      </w:r>
      <w:r w:rsidRPr="00EC4577">
        <w:rPr>
          <w:sz w:val="22"/>
          <w:szCs w:val="22"/>
        </w:rPr>
        <w:t>акта приемки товаров, работ, услуг (ф. 0510452) производится Заказчиком в одностороннем порядке.</w:t>
      </w:r>
    </w:p>
    <w:p w:rsidR="003D27FE" w:rsidRPr="00EC4577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EC4577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EC4577">
        <w:rPr>
          <w:bCs/>
          <w:sz w:val="22"/>
          <w:szCs w:val="22"/>
        </w:rPr>
        <w:t>товаросопроводительных документах</w:t>
      </w:r>
      <w:r w:rsidRPr="00EC4577">
        <w:rPr>
          <w:bCs/>
          <w:sz w:val="22"/>
          <w:szCs w:val="22"/>
        </w:rPr>
        <w:t xml:space="preserve"> </w:t>
      </w:r>
      <w:r w:rsidR="00F92E84" w:rsidRPr="00EC4577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EC4577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EC4577">
        <w:rPr>
          <w:bCs/>
          <w:sz w:val="22"/>
          <w:szCs w:val="22"/>
        </w:rPr>
        <w:t xml:space="preserve">5.3. </w:t>
      </w:r>
      <w:r w:rsidR="00B3314E" w:rsidRPr="00EC4577">
        <w:rPr>
          <w:bCs/>
          <w:sz w:val="22"/>
          <w:szCs w:val="22"/>
        </w:rPr>
        <w:t xml:space="preserve"> </w:t>
      </w:r>
      <w:r w:rsidRPr="00EC4577">
        <w:rPr>
          <w:b/>
          <w:bCs/>
          <w:sz w:val="22"/>
          <w:szCs w:val="22"/>
        </w:rPr>
        <w:t>Ответственное лицо за приемку Товара от Заказчика – (аптека), тел</w:t>
      </w:r>
      <w:r w:rsidRPr="009B42DA">
        <w:rPr>
          <w:b/>
          <w:bCs/>
          <w:sz w:val="22"/>
          <w:szCs w:val="22"/>
        </w:rPr>
        <w:t>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496E0B" w:rsidRDefault="00496E0B" w:rsidP="00496E0B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>6.</w:t>
      </w:r>
      <w:r w:rsidRPr="00EC4577">
        <w:rPr>
          <w:b/>
          <w:bCs/>
          <w:color w:val="000000"/>
          <w:spacing w:val="-1"/>
          <w:sz w:val="22"/>
          <w:szCs w:val="22"/>
        </w:rPr>
        <w:t xml:space="preserve">3. </w:t>
      </w:r>
      <w:r w:rsidR="009D30D3" w:rsidRPr="00EC4577">
        <w:t xml:space="preserve">Остаточный срок годности (стерильности) (при его установлении производителем) на момент поставки должен составлять не менее </w:t>
      </w:r>
      <w:r w:rsidR="00EC4577" w:rsidRPr="00EC4577">
        <w:t>12 месяцев.</w:t>
      </w:r>
    </w:p>
    <w:p w:rsidR="009D30D3" w:rsidRDefault="00EC4577" w:rsidP="00EC4577">
      <w:pPr>
        <w:tabs>
          <w:tab w:val="left" w:pos="8550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ab/>
      </w: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B3314E" w:rsidRPr="00F92E84">
        <w:rPr>
          <w:sz w:val="22"/>
          <w:szCs w:val="22"/>
        </w:rPr>
        <w:lastRenderedPageBreak/>
        <w:t>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lastRenderedPageBreak/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>Договору «____» _____________</w:t>
      </w:r>
      <w:r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E0DF9" w:rsidRPr="00EC4577" w:rsidRDefault="004E0DF9" w:rsidP="004E0DF9">
      <w:pPr>
        <w:tabs>
          <w:tab w:val="left" w:pos="708"/>
        </w:tabs>
        <w:spacing w:line="216" w:lineRule="auto"/>
        <w:jc w:val="center"/>
        <w:rPr>
          <w:sz w:val="20"/>
          <w:szCs w:val="20"/>
        </w:rPr>
      </w:pPr>
    </w:p>
    <w:tbl>
      <w:tblPr>
        <w:tblW w:w="10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276"/>
        <w:gridCol w:w="3108"/>
        <w:gridCol w:w="709"/>
        <w:gridCol w:w="708"/>
        <w:gridCol w:w="851"/>
        <w:gridCol w:w="1134"/>
      </w:tblGrid>
      <w:tr w:rsidR="00EC4577" w:rsidRPr="00EC4577" w:rsidTr="00257696">
        <w:trPr>
          <w:trHeight w:val="181"/>
        </w:trPr>
        <w:tc>
          <w:tcPr>
            <w:tcW w:w="392" w:type="dxa"/>
            <w:shd w:val="clear" w:color="000000" w:fill="FFFFFF"/>
            <w:hideMark/>
          </w:tcPr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  <w:r w:rsidRPr="00EC457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shd w:val="clear" w:color="000000" w:fill="FFFFFF"/>
            <w:hideMark/>
          </w:tcPr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  <w:r w:rsidRPr="00EC4577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75" w:type="dxa"/>
            <w:shd w:val="clear" w:color="000000" w:fill="FFFFFF"/>
          </w:tcPr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</w:p>
          <w:p w:rsidR="00EC4577" w:rsidRPr="00EC4577" w:rsidRDefault="00EC4577" w:rsidP="00EC4577">
            <w:pPr>
              <w:jc w:val="center"/>
              <w:rPr>
                <w:b/>
                <w:sz w:val="20"/>
                <w:szCs w:val="20"/>
              </w:rPr>
            </w:pPr>
            <w:r w:rsidRPr="00EC4577">
              <w:rPr>
                <w:b/>
                <w:sz w:val="20"/>
                <w:szCs w:val="20"/>
              </w:rPr>
              <w:t>КТРУ/ОКПД2</w:t>
            </w:r>
          </w:p>
        </w:tc>
        <w:tc>
          <w:tcPr>
            <w:tcW w:w="1276" w:type="dxa"/>
            <w:shd w:val="clear" w:color="auto" w:fill="auto"/>
          </w:tcPr>
          <w:p w:rsidR="00EC4577" w:rsidRPr="00257696" w:rsidRDefault="00EC4577" w:rsidP="00806BB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57696">
              <w:rPr>
                <w:b/>
                <w:sz w:val="20"/>
                <w:szCs w:val="20"/>
                <w:highlight w:val="yellow"/>
              </w:rPr>
              <w:t xml:space="preserve">Страна </w:t>
            </w:r>
          </w:p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  <w:r w:rsidRPr="00257696">
              <w:rPr>
                <w:b/>
                <w:sz w:val="20"/>
                <w:szCs w:val="20"/>
                <w:highlight w:val="yellow"/>
              </w:rPr>
              <w:t>происхождения</w:t>
            </w:r>
          </w:p>
        </w:tc>
        <w:tc>
          <w:tcPr>
            <w:tcW w:w="3108" w:type="dxa"/>
            <w:shd w:val="clear" w:color="auto" w:fill="auto"/>
          </w:tcPr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  <w:r w:rsidRPr="00257696">
              <w:rPr>
                <w:b/>
                <w:sz w:val="20"/>
                <w:szCs w:val="20"/>
                <w:highlight w:val="yellow"/>
              </w:rPr>
              <w:t>Описание товара</w:t>
            </w:r>
          </w:p>
        </w:tc>
        <w:tc>
          <w:tcPr>
            <w:tcW w:w="709" w:type="dxa"/>
            <w:shd w:val="clear" w:color="000000" w:fill="FFFFFF"/>
            <w:hideMark/>
          </w:tcPr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  <w:r w:rsidRPr="00EC4577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708" w:type="dxa"/>
            <w:shd w:val="clear" w:color="000000" w:fill="FFFFFF"/>
            <w:hideMark/>
          </w:tcPr>
          <w:p w:rsidR="00EC4577" w:rsidRPr="00EC4577" w:rsidRDefault="00EC4577" w:rsidP="00806BB1">
            <w:pPr>
              <w:jc w:val="center"/>
              <w:rPr>
                <w:b/>
                <w:sz w:val="20"/>
                <w:szCs w:val="20"/>
              </w:rPr>
            </w:pPr>
            <w:r w:rsidRPr="00EC4577">
              <w:rPr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851" w:type="dxa"/>
            <w:shd w:val="clear" w:color="000000" w:fill="FFFFFF"/>
          </w:tcPr>
          <w:p w:rsidR="00EC4577" w:rsidRPr="00257696" w:rsidRDefault="00EC4577" w:rsidP="00806BB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57696">
              <w:rPr>
                <w:b/>
                <w:sz w:val="20"/>
                <w:szCs w:val="20"/>
                <w:highlight w:val="yellow"/>
              </w:rPr>
              <w:t>Цена</w:t>
            </w:r>
          </w:p>
        </w:tc>
        <w:tc>
          <w:tcPr>
            <w:tcW w:w="1134" w:type="dxa"/>
            <w:shd w:val="clear" w:color="000000" w:fill="FFFFFF"/>
          </w:tcPr>
          <w:p w:rsidR="00EC4577" w:rsidRPr="00257696" w:rsidRDefault="00EC4577" w:rsidP="00806BB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57696">
              <w:rPr>
                <w:b/>
                <w:sz w:val="20"/>
                <w:szCs w:val="20"/>
                <w:highlight w:val="yellow"/>
              </w:rPr>
              <w:t>Сумма</w:t>
            </w:r>
          </w:p>
        </w:tc>
      </w:tr>
      <w:tr w:rsidR="00EC4577" w:rsidRPr="00EC4577" w:rsidTr="00257696">
        <w:trPr>
          <w:trHeight w:val="1663"/>
        </w:trPr>
        <w:tc>
          <w:tcPr>
            <w:tcW w:w="392" w:type="dxa"/>
            <w:shd w:val="clear" w:color="000000" w:fill="FFFFFF"/>
            <w:hideMark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FFFFFF"/>
          </w:tcPr>
          <w:p w:rsidR="00EC4577" w:rsidRPr="00EC4577" w:rsidRDefault="00257696" w:rsidP="00EC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Скальпель</w:t>
            </w:r>
            <w:r w:rsidR="00EC4577" w:rsidRPr="00EC4577">
              <w:rPr>
                <w:sz w:val="20"/>
                <w:szCs w:val="20"/>
              </w:rPr>
              <w:t>, одноразового использования</w:t>
            </w:r>
          </w:p>
          <w:p w:rsidR="00EC4577" w:rsidRPr="00EC4577" w:rsidRDefault="00EC4577" w:rsidP="00EC45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EC4577" w:rsidRPr="00EC4577" w:rsidRDefault="00EC4577" w:rsidP="00EC4577">
            <w:pPr>
              <w:rPr>
                <w:color w:val="000000"/>
                <w:sz w:val="20"/>
                <w:szCs w:val="20"/>
              </w:rPr>
            </w:pPr>
            <w:r w:rsidRPr="00EC4577">
              <w:rPr>
                <w:color w:val="000000"/>
                <w:sz w:val="20"/>
                <w:szCs w:val="20"/>
              </w:rPr>
              <w:t>32.50.13.190-00007709</w:t>
            </w:r>
          </w:p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000000" w:fill="FFFFFF"/>
          </w:tcPr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Штука</w:t>
            </w: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000000" w:fill="FFFFFF"/>
          </w:tcPr>
          <w:p w:rsidR="00EC4577" w:rsidRPr="00EC4577" w:rsidRDefault="00EC4577" w:rsidP="00806B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C4577" w:rsidRPr="00EC4577" w:rsidRDefault="00EC4577" w:rsidP="00806BB1">
            <w:pPr>
              <w:jc w:val="right"/>
              <w:rPr>
                <w:sz w:val="20"/>
                <w:szCs w:val="20"/>
              </w:rPr>
            </w:pPr>
          </w:p>
        </w:tc>
      </w:tr>
      <w:tr w:rsidR="00EC4577" w:rsidRPr="00EC4577" w:rsidTr="00257696">
        <w:trPr>
          <w:trHeight w:val="1320"/>
        </w:trPr>
        <w:tc>
          <w:tcPr>
            <w:tcW w:w="392" w:type="dxa"/>
            <w:shd w:val="clear" w:color="000000" w:fill="FFFFFF"/>
            <w:noWrap/>
            <w:hideMark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EC4577" w:rsidRPr="00EC4577" w:rsidRDefault="00EC4577" w:rsidP="00EC4577">
            <w:pPr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Скальпель, одноразового использования</w:t>
            </w:r>
          </w:p>
          <w:p w:rsidR="00EC4577" w:rsidRPr="00EC4577" w:rsidRDefault="00EC4577" w:rsidP="00D56983">
            <w:pPr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rPr>
                <w:sz w:val="20"/>
                <w:szCs w:val="20"/>
              </w:rPr>
            </w:pPr>
          </w:p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EC4577" w:rsidRPr="00EC4577" w:rsidRDefault="00EC4577" w:rsidP="00EC4577">
            <w:pPr>
              <w:rPr>
                <w:color w:val="000000"/>
                <w:sz w:val="20"/>
                <w:szCs w:val="20"/>
              </w:rPr>
            </w:pPr>
            <w:r w:rsidRPr="00EC4577">
              <w:rPr>
                <w:color w:val="000000"/>
                <w:sz w:val="20"/>
                <w:szCs w:val="20"/>
              </w:rPr>
              <w:t>32.50.13.190-00007709</w:t>
            </w:r>
          </w:p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000000" w:fill="FFFFFF"/>
          </w:tcPr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Штука</w:t>
            </w: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D56983">
            <w:pPr>
              <w:jc w:val="center"/>
              <w:rPr>
                <w:sz w:val="20"/>
                <w:szCs w:val="20"/>
              </w:rPr>
            </w:pPr>
          </w:p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000000" w:fill="FFFFFF"/>
          </w:tcPr>
          <w:p w:rsidR="00EC4577" w:rsidRPr="00EC4577" w:rsidRDefault="00EC4577" w:rsidP="00806B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C4577" w:rsidRPr="00EC4577" w:rsidRDefault="00EC4577" w:rsidP="00806BB1">
            <w:pPr>
              <w:jc w:val="right"/>
              <w:rPr>
                <w:sz w:val="20"/>
                <w:szCs w:val="20"/>
              </w:rPr>
            </w:pPr>
          </w:p>
        </w:tc>
      </w:tr>
      <w:tr w:rsidR="00EC4577" w:rsidRPr="00EC4577" w:rsidTr="00257696">
        <w:trPr>
          <w:trHeight w:val="643"/>
        </w:trPr>
        <w:tc>
          <w:tcPr>
            <w:tcW w:w="392" w:type="dxa"/>
            <w:shd w:val="clear" w:color="000000" w:fill="FFFFFF"/>
            <w:noWrap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EC4577" w:rsidRPr="00EC4577" w:rsidRDefault="00EC4577" w:rsidP="00EC4577">
            <w:pPr>
              <w:rPr>
                <w:sz w:val="20"/>
                <w:szCs w:val="20"/>
              </w:rPr>
            </w:pPr>
          </w:p>
          <w:p w:rsidR="00EC4577" w:rsidRPr="00EC4577" w:rsidRDefault="00EC4577" w:rsidP="00EC4577">
            <w:pPr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Скальпель, одноразового использования</w:t>
            </w:r>
          </w:p>
          <w:p w:rsidR="00EC4577" w:rsidRPr="00EC4577" w:rsidRDefault="00EC4577" w:rsidP="00EC4577">
            <w:pPr>
              <w:rPr>
                <w:sz w:val="20"/>
                <w:szCs w:val="20"/>
              </w:rPr>
            </w:pPr>
          </w:p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EC4577" w:rsidRPr="00EC4577" w:rsidRDefault="00EC4577" w:rsidP="00EC4577">
            <w:pPr>
              <w:rPr>
                <w:color w:val="000000"/>
                <w:sz w:val="20"/>
                <w:szCs w:val="20"/>
              </w:rPr>
            </w:pPr>
            <w:r w:rsidRPr="00EC4577">
              <w:rPr>
                <w:color w:val="000000"/>
                <w:sz w:val="20"/>
                <w:szCs w:val="20"/>
              </w:rPr>
              <w:t>32.50.13.190-00007709</w:t>
            </w:r>
          </w:p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shd w:val="clear" w:color="000000" w:fill="FFFFFF"/>
          </w:tcPr>
          <w:p w:rsidR="00EC4577" w:rsidRPr="00EC4577" w:rsidRDefault="00EC4577" w:rsidP="00806B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Штука</w:t>
            </w:r>
          </w:p>
        </w:tc>
        <w:tc>
          <w:tcPr>
            <w:tcW w:w="708" w:type="dxa"/>
            <w:shd w:val="clear" w:color="000000" w:fill="FFFFFF"/>
            <w:noWrap/>
          </w:tcPr>
          <w:p w:rsidR="00EC4577" w:rsidRPr="00EC4577" w:rsidRDefault="00EC4577" w:rsidP="00806BB1">
            <w:pPr>
              <w:jc w:val="center"/>
              <w:rPr>
                <w:sz w:val="20"/>
                <w:szCs w:val="20"/>
              </w:rPr>
            </w:pPr>
            <w:r w:rsidRPr="00EC457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EC4577" w:rsidRPr="00EC4577" w:rsidRDefault="00EC4577" w:rsidP="00806B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C4577" w:rsidRPr="00EC4577" w:rsidRDefault="00EC4577" w:rsidP="00806BB1">
            <w:pPr>
              <w:jc w:val="right"/>
              <w:rPr>
                <w:sz w:val="20"/>
                <w:szCs w:val="20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5D" w:rsidRDefault="00B44E5D">
      <w:r>
        <w:separator/>
      </w:r>
    </w:p>
  </w:endnote>
  <w:endnote w:type="continuationSeparator" w:id="0">
    <w:p w:rsidR="00B44E5D" w:rsidRDefault="00B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5D" w:rsidRDefault="00B44E5D">
      <w:r>
        <w:separator/>
      </w:r>
    </w:p>
  </w:footnote>
  <w:footnote w:type="continuationSeparator" w:id="0">
    <w:p w:rsidR="00B44E5D" w:rsidRDefault="00B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57696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0B5F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C4577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07214-1946-4DD6-AC46-63DB1501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13041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2026-05-19T12:54:00Z</cp:lastPrinted>
  <dcterms:created xsi:type="dcterms:W3CDTF">2026-06-03T09:18:00Z</dcterms:created>
  <dcterms:modified xsi:type="dcterms:W3CDTF">2026-06-03T09:18:00Z</dcterms:modified>
</cp:coreProperties>
</file>